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4" w:name="claude-toolkit--user-manual"/>
    <w:p>
      <w:pPr>
        <w:pStyle w:val="Heading1"/>
      </w:pPr>
      <w:r>
        <w:t xml:space="preserve">Claude Toolkit — User Manual</w:t>
      </w:r>
    </w:p>
    <w:p>
      <w:pPr>
        <w:pStyle w:val="FirstParagraph"/>
      </w:pPr>
      <w:r>
        <w:t xml:space="preserve">This is the single entry point to the toolkit's documentation (Constitution</w:t>
      </w:r>
      <w:r>
        <w:t xml:space="preserve"> </w:t>
      </w:r>
      <w:r>
        <w:t xml:space="preserve">§11.4.257: manual + guides + FAQ per feature, §11.4.212: everything reachable</w:t>
      </w:r>
      <w:r>
        <w:t xml:space="preserve"> </w:t>
      </w:r>
      <w:r>
        <w:t xml:space="preserve">from the README). Each feature has a guide for doing the task and an FAQ for</w:t>
      </w:r>
      <w:r>
        <w:t xml:space="preserve"> </w:t>
      </w:r>
      <w:r>
        <w:t xml:space="preserve">the questions people actually ask; the manual below indexes them in reading</w:t>
      </w:r>
      <w:r>
        <w:t xml:space="preserve"> </w:t>
      </w:r>
      <w:r>
        <w:t xml:space="preserve">order.</w:t>
      </w:r>
    </w:p>
    <w:bookmarkStart w:id="14" w:name="X09b78ebd9fdc7d7a9e26f807942e2aa448c14ee"/>
    <w:p>
      <w:pPr>
        <w:pStyle w:val="Heading2"/>
      </w:pPr>
      <w:r>
        <w:t xml:space="preserve">1. Orientation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to...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and run several Claude Code accounts on one host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README quick start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Fine-Tuning deep dive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Know where claude_toolkit sits in a constitution-governed project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README hub-engine section</w:t>
              </w:r>
            </w:hyperlink>
            <w:r>
              <w:t xml:space="preserve">,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placement diagram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See every command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README daily commands</w:t>
              </w:r>
            </w:hyperlink>
          </w:p>
        </w:tc>
      </w:tr>
    </w:tbl>
    <w:bookmarkEnd w:id="14"/>
    <w:bookmarkStart w:id="23" w:name="Xfbf973e222c5619bd8984c3f0b8d7d242d6bc7b"/>
    <w:p>
      <w:pPr>
        <w:pStyle w:val="Heading2"/>
      </w:pPr>
      <w:r>
        <w:t xml:space="preserve">2. Provider aliases (any LLM as a Claude Code alias)</w:t>
      </w:r>
    </w:p>
    <w:p>
      <w:pPr>
        <w:pStyle w:val="Compact"/>
        <w:numPr>
          <w:ilvl w:val="0"/>
          <w:numId w:val="1001"/>
        </w:numPr>
      </w:pPr>
      <w:r>
        <w:t xml:space="preserve">Guide:</w:t>
      </w:r>
      <w:r>
        <w:t xml:space="preserve"> </w:t>
      </w:r>
      <w:hyperlink r:id="rId15">
        <w:r>
          <w:rPr>
            <w:rStyle w:val="Hyperlink"/>
          </w:rPr>
          <w:t xml:space="preserve">Provider Aliases User Guide</w:t>
        </w:r>
      </w:hyperlink>
    </w:p>
    <w:p>
      <w:pPr>
        <w:pStyle w:val="Compact"/>
        <w:numPr>
          <w:ilvl w:val="0"/>
          <w:numId w:val="1001"/>
        </w:numPr>
      </w:pPr>
      <w:r>
        <w:t xml:space="preserve">FAQ:</w:t>
      </w:r>
      <w:r>
        <w:t xml:space="preserve"> </w:t>
      </w:r>
      <w:hyperlink r:id="rId16">
        <w:r>
          <w:rPr>
            <w:rStyle w:val="Hyperlink"/>
          </w:rPr>
          <w:t xml:space="preserve">Provider FAQ</w:t>
        </w:r>
      </w:hyperlink>
    </w:p>
    <w:p>
      <w:pPr>
        <w:pStyle w:val="Compact"/>
        <w:numPr>
          <w:ilvl w:val="0"/>
          <w:numId w:val="1001"/>
        </w:numPr>
      </w:pPr>
      <w:r>
        <w:t xml:space="preserve">Verification:</w:t>
      </w:r>
      <w:r>
        <w:t xml:space="preserve"> </w:t>
      </w:r>
      <w:hyperlink r:id="rId17">
        <w:r>
          <w:rPr>
            <w:rStyle w:val="Hyperlink"/>
          </w:rPr>
          <w:t xml:space="preserve">Provider Verification Guide</w:t>
        </w:r>
      </w:hyperlink>
    </w:p>
    <w:p>
      <w:pPr>
        <w:pStyle w:val="Compact"/>
        <w:numPr>
          <w:ilvl w:val="0"/>
          <w:numId w:val="1001"/>
        </w:numPr>
      </w:pPr>
      <w:r>
        <w:t xml:space="preserve">Kimi Code accounts:</w:t>
      </w:r>
      <w:r>
        <w:t xml:space="preserve"> </w:t>
      </w:r>
      <w:hyperlink r:id="rId18">
        <w:r>
          <w:rPr>
            <w:rStyle w:val="Hyperlink"/>
          </w:rPr>
          <w:t xml:space="preserve">Kimi Accounts User Guide</w:t>
        </w:r>
      </w:hyperlink>
    </w:p>
    <w:p>
      <w:pPr>
        <w:pStyle w:val="Compact"/>
        <w:numPr>
          <w:ilvl w:val="0"/>
          <w:numId w:val="1001"/>
        </w:numPr>
      </w:pPr>
      <w:r>
        <w:t xml:space="preserve">Diagrams:</w:t>
      </w:r>
      <w:r>
        <w:t xml:space="preserve"> </w:t>
      </w:r>
      <w:hyperlink r:id="rId19">
        <w:r>
          <w:rPr>
            <w:rStyle w:val="Hyperlink"/>
          </w:rPr>
          <w:t xml:space="preserve">index</w:t>
        </w:r>
      </w:hyperlink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quota-limits-flow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kimi-family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enable-policy</w:t>
        </w:r>
      </w:hyperlink>
      <w:r>
        <w:t xml:space="preserve">)</w:t>
      </w:r>
    </w:p>
    <w:bookmarkEnd w:id="23"/>
    <w:bookmarkStart w:id="29" w:name="Xca78bbd7ff0005c2b2cf2c93c8bb1582a97cc12"/>
    <w:p>
      <w:pPr>
        <w:pStyle w:val="Heading2"/>
      </w:pPr>
      <w:r>
        <w:t xml:space="preserve">3. Local models through llmctl (and the validation gate)</w:t>
      </w:r>
    </w:p>
    <w:p>
      <w:pPr>
        <w:pStyle w:val="Compact"/>
        <w:numPr>
          <w:ilvl w:val="0"/>
          <w:numId w:val="1002"/>
        </w:numPr>
      </w:pPr>
      <w:r>
        <w:t xml:space="preserve">Quickstart:</w:t>
      </w:r>
      <w:r>
        <w:t xml:space="preserve"> </w:t>
      </w:r>
      <w:hyperlink r:id="rId24">
        <w:r>
          <w:rPr>
            <w:rStyle w:val="Hyperlink"/>
          </w:rPr>
          <w:t xml:space="preserve">llmctl quickstart</w:t>
        </w:r>
      </w:hyperlink>
    </w:p>
    <w:p>
      <w:pPr>
        <w:pStyle w:val="Compact"/>
        <w:numPr>
          <w:ilvl w:val="0"/>
          <w:numId w:val="1002"/>
        </w:numPr>
      </w:pPr>
      <w:r>
        <w:t xml:space="preserve">Guide:</w:t>
      </w:r>
      <w:r>
        <w:t xml:space="preserve"> </w:t>
      </w:r>
      <w:hyperlink r:id="rId25">
        <w:r>
          <w:rPr>
            <w:rStyle w:val="Hyperlink"/>
          </w:rPr>
          <w:t xml:space="preserve">llmctl user guide</w:t>
        </w:r>
      </w:hyperlink>
      <w:r>
        <w:t xml:space="preserve"> </w:t>
      </w:r>
      <w:r>
        <w:t xml:space="preserve">— includes §5a, the</w:t>
      </w:r>
      <w:r>
        <w:t xml:space="preserve"> </w:t>
      </w:r>
      <w:r>
        <w:t xml:space="preserve">§11.4.277 validation gate (</w:t>
      </w:r>
      <w:r>
        <w:rPr>
          <w:rStyle w:val="VerbatimChar"/>
        </w:rPr>
        <w:t xml:space="preserve">LLMCTL_VALIDATE_STRICT=1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) and the §11.4.278 Vision QA relationship</w:t>
      </w:r>
    </w:p>
    <w:p>
      <w:pPr>
        <w:pStyle w:val="Compact"/>
        <w:numPr>
          <w:ilvl w:val="0"/>
          <w:numId w:val="1002"/>
        </w:numPr>
      </w:pPr>
      <w:r>
        <w:t xml:space="preserve">FAQ:</w:t>
      </w:r>
      <w:r>
        <w:t xml:space="preserve"> </w:t>
      </w:r>
      <w:hyperlink r:id="rId26">
        <w:r>
          <w:rPr>
            <w:rStyle w:val="Hyperlink"/>
          </w:rPr>
          <w:t xml:space="preserve">llmctl FAQ</w:t>
        </w:r>
      </w:hyperlink>
    </w:p>
    <w:p>
      <w:pPr>
        <w:pStyle w:val="Compact"/>
        <w:numPr>
          <w:ilvl w:val="0"/>
          <w:numId w:val="1002"/>
        </w:numPr>
      </w:pPr>
      <w:r>
        <w:t xml:space="preserve">Diagrams:</w:t>
      </w:r>
      <w:r>
        <w:t xml:space="preserve"> </w:t>
      </w:r>
      <w:hyperlink r:id="rId27">
        <w:r>
          <w:rPr>
            <w:rStyle w:val="Hyperlink"/>
          </w:rPr>
          <w:t xml:space="preserve">detection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switch</w:t>
        </w:r>
      </w:hyperlink>
    </w:p>
    <w:bookmarkEnd w:id="29"/>
    <w:bookmarkStart w:id="35" w:name="Xc0d211da56265d1471b0ebc1b5d736ee248011d"/>
    <w:p>
      <w:pPr>
        <w:pStyle w:val="Heading2"/>
      </w:pPr>
      <w:r>
        <w:t xml:space="preserve">4. Decision models (Jev) — the §11.4.279 layer</w:t>
      </w:r>
    </w:p>
    <w:p>
      <w:pPr>
        <w:pStyle w:val="Compact"/>
        <w:numPr>
          <w:ilvl w:val="0"/>
          <w:numId w:val="1003"/>
        </w:numPr>
      </w:pPr>
      <w:r>
        <w:t xml:space="preserve">Quickstart:</w:t>
      </w:r>
      <w:r>
        <w:t xml:space="preserve"> </w:t>
      </w:r>
      <w:hyperlink r:id="rId30">
        <w:r>
          <w:rPr>
            <w:rStyle w:val="Hyperlink"/>
          </w:rPr>
          <w:t xml:space="preserve">Jev quickstart</w:t>
        </w:r>
      </w:hyperlink>
    </w:p>
    <w:p>
      <w:pPr>
        <w:pStyle w:val="Compact"/>
        <w:numPr>
          <w:ilvl w:val="0"/>
          <w:numId w:val="1003"/>
        </w:numPr>
      </w:pPr>
      <w:r>
        <w:t xml:space="preserve">Guide:</w:t>
      </w:r>
      <w:r>
        <w:t xml:space="preserve"> </w:t>
      </w:r>
      <w:hyperlink r:id="rId31">
        <w:r>
          <w:rPr>
            <w:rStyle w:val="Hyperlink"/>
          </w:rPr>
          <w:t xml:space="preserve">Jev user guide</w:t>
        </w:r>
      </w:hyperlink>
      <w:r>
        <w:t xml:space="preserve"> </w:t>
      </w:r>
      <w:r>
        <w:t xml:space="preserve">(gate, MCP server, stats,</w:t>
      </w:r>
      <w:r>
        <w:t xml:space="preserve"> </w:t>
      </w:r>
      <w:r>
        <w:t xml:space="preserve">calibration, the HTTPS + bearer-key decide gateway, honest limitations)</w:t>
      </w:r>
    </w:p>
    <w:p>
      <w:pPr>
        <w:pStyle w:val="Compact"/>
        <w:numPr>
          <w:ilvl w:val="0"/>
          <w:numId w:val="1003"/>
        </w:numPr>
      </w:pPr>
      <w:r>
        <w:t xml:space="preserve">FAQ:</w:t>
      </w:r>
      <w:r>
        <w:t xml:space="preserve"> </w:t>
      </w:r>
      <w:hyperlink r:id="rId32">
        <w:r>
          <w:rPr>
            <w:rStyle w:val="Hyperlink"/>
          </w:rPr>
          <w:t xml:space="preserve">Jev FAQ</w:t>
        </w:r>
      </w:hyperlink>
    </w:p>
    <w:p>
      <w:pPr>
        <w:pStyle w:val="Compact"/>
        <w:numPr>
          <w:ilvl w:val="0"/>
          <w:numId w:val="1003"/>
        </w:numPr>
      </w:pPr>
      <w:r>
        <w:t xml:space="preserve">Diagrams:</w:t>
      </w:r>
      <w:r>
        <w:t xml:space="preserve"> </w:t>
      </w:r>
      <w:hyperlink r:id="rId33">
        <w:r>
          <w:rPr>
            <w:rStyle w:val="Hyperlink"/>
          </w:rPr>
          <w:t xml:space="preserve">architecture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decide-gateway flow</w:t>
        </w:r>
      </w:hyperlink>
    </w:p>
    <w:bookmarkEnd w:id="35"/>
    <w:bookmarkStart w:id="40" w:name="Xc051c99402894d57de76dc0a7d2ad0696a05949"/>
    <w:p>
      <w:pPr>
        <w:pStyle w:val="Heading2"/>
      </w:pPr>
      <w:r>
        <w:t xml:space="preserve">5. Other utilities</w:t>
      </w:r>
    </w:p>
    <w:p>
      <w:pPr>
        <w:pStyle w:val="Compact"/>
        <w:numPr>
          <w:ilvl w:val="0"/>
          <w:numId w:val="1004"/>
        </w:numPr>
      </w:pPr>
      <w:hyperlink r:id="rId36">
        <w:r>
          <w:rPr>
            <w:rStyle w:val="Hyperlink"/>
          </w:rPr>
          <w:t xml:space="preserve">OpenCode Integration</w:t>
        </w:r>
      </w:hyperlink>
      <w:r>
        <w:t xml:space="preserve"> </w:t>
      </w:r>
      <w:r>
        <w:t xml:space="preserve">— share Skills + MCP +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Session &amp; Color</w:t>
        </w:r>
      </w:hyperlink>
      <w:r>
        <w:t xml:space="preserve"> </w:t>
      </w:r>
      <w:r>
        <w:t xml:space="preserve">— per-project session naming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TOON Integration</w:t>
        </w:r>
      </w:hyperlink>
      <w:r>
        <w:t xml:space="preserve"> </w:t>
      </w:r>
      <w:r>
        <w:t xml:space="preserve">— token-efficient JSON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Multi-host rollout</w:t>
        </w:r>
      </w:hyperlink>
    </w:p>
    <w:bookmarkEnd w:id="40"/>
    <w:bookmarkStart w:id="42" w:name="Xaa45b83d0f919d13a9f0ce614ebd7d36e92dc4b"/>
    <w:p>
      <w:pPr>
        <w:pStyle w:val="Heading2"/>
      </w:pPr>
      <w:r>
        <w:t xml:space="preserve">6. Project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CHANGELOG</w:t>
        </w:r>
      </w:hyperlink>
      <w:r>
        <w:t xml:space="preserve"> </w:t>
      </w:r>
      <w:r>
        <w:t xml:space="preserve">— release history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Diagram index</w:t>
        </w:r>
      </w:hyperlink>
      <w:r>
        <w:t xml:space="preserve"> </w:t>
      </w:r>
      <w:r>
        <w:t xml:space="preserve">— Mermaid sources and rendered SVGs</w:t>
      </w:r>
    </w:p>
    <w:bookmarkEnd w:id="42"/>
    <w:bookmarkStart w:id="43" w:name="X345f761c5a96b06c67deaaf8279c125a462ab91"/>
    <w:p>
      <w:pPr>
        <w:pStyle w:val="Heading2"/>
      </w:pPr>
      <w:r>
        <w:t xml:space="preserve">7. Honest scope</w:t>
      </w:r>
    </w:p>
    <w:p>
      <w:pPr>
        <w:pStyle w:val="FirstParagraph"/>
      </w:pPr>
      <w:r>
        <w:t xml:space="preserve">The manual indexes documentation that exists; it does not claim features</w:t>
      </w:r>
      <w:r>
        <w:t xml:space="preserve"> </w:t>
      </w:r>
      <w:r>
        <w:t xml:space="preserve">beyond what the guides state. The decide-gateway transport (HTTPS + bearer</w:t>
      </w:r>
      <w:r>
        <w:t xml:space="preserve"> </w:t>
      </w:r>
      <w:r>
        <w:t xml:space="preserve">key) is verified only against a hermetic TLS stand-in, not a real llmctl</w:t>
      </w:r>
      <w:r>
        <w:t xml:space="preserve"> </w:t>
      </w:r>
      <w:r>
        <w:t xml:space="preserve">gateway (Jev guide, limitation 11). The toolkit forwards the llmctl validation</w:t>
      </w:r>
      <w:r>
        <w:t xml:space="preserve"> </w:t>
      </w:r>
      <w:r>
        <w:t xml:space="preserve">gate's environment and honours its refusals but runs no Vision known-answer</w:t>
      </w:r>
      <w:r>
        <w:t xml:space="preserve"> </w:t>
      </w:r>
      <w:r>
        <w:t xml:space="preserve">suite of its own.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../CHANGELOG.md" TargetMode="External" /><Relationship Type="http://schemas.openxmlformats.org/officeDocument/2006/relationships/hyperlink" Id="rId10" Target="../Claude_Multi_Account_Fine_Tuning.md" TargetMode="External" /><Relationship Type="http://schemas.openxmlformats.org/officeDocument/2006/relationships/hyperlink" Id="rId18" Target="../Kimi_Accounts_User_Guide.md" TargetMode="External" /><Relationship Type="http://schemas.openxmlformats.org/officeDocument/2006/relationships/hyperlink" Id="rId36" Target="../OpenCode_Integration.md" TargetMode="External" /><Relationship Type="http://schemas.openxmlformats.org/officeDocument/2006/relationships/hyperlink" Id="rId11" Target="../README.md#-constitution-hub-engine" TargetMode="External" /><Relationship Type="http://schemas.openxmlformats.org/officeDocument/2006/relationships/hyperlink" Id="rId13" Target="../README.md#-daily-commands" TargetMode="External" /><Relationship Type="http://schemas.openxmlformats.org/officeDocument/2006/relationships/hyperlink" Id="rId9" Target="../README.md#-quick-start" TargetMode="External" /><Relationship Type="http://schemas.openxmlformats.org/officeDocument/2006/relationships/hyperlink" Id="rId39" Target="MULTI_HOST_ROLLOUT.md" TargetMode="External" /><Relationship Type="http://schemas.openxmlformats.org/officeDocument/2006/relationships/hyperlink" Id="rId15" Target="Provider_Aliases_User_Guide.md" TargetMode="External" /><Relationship Type="http://schemas.openxmlformats.org/officeDocument/2006/relationships/hyperlink" Id="rId16" Target="Provider_FAQ.md" TargetMode="External" /><Relationship Type="http://schemas.openxmlformats.org/officeDocument/2006/relationships/hyperlink" Id="rId17" Target="Provider_Verification_Guide.md" TargetMode="External" /><Relationship Type="http://schemas.openxmlformats.org/officeDocument/2006/relationships/hyperlink" Id="rId37" Target="SESSION_COLOR.md" TargetMode="External" /><Relationship Type="http://schemas.openxmlformats.org/officeDocument/2006/relationships/hyperlink" Id="rId38" Target="TOON_Integration.md" TargetMode="External" /><Relationship Type="http://schemas.openxmlformats.org/officeDocument/2006/relationships/hyperlink" Id="rId19" Target="diagrams/README.md" TargetMode="External" /><Relationship Type="http://schemas.openxmlformats.org/officeDocument/2006/relationships/hyperlink" Id="rId34" Target="diagrams/decide-gateway-flow.svg" TargetMode="External" /><Relationship Type="http://schemas.openxmlformats.org/officeDocument/2006/relationships/hyperlink" Id="rId22" Target="diagrams/enable-policy.svg" TargetMode="External" /><Relationship Type="http://schemas.openxmlformats.org/officeDocument/2006/relationships/hyperlink" Id="rId12" Target="diagrams/hub-engine-placement.svg" TargetMode="External" /><Relationship Type="http://schemas.openxmlformats.org/officeDocument/2006/relationships/hyperlink" Id="rId33" Target="diagrams/jev-architecture.svg" TargetMode="External" /><Relationship Type="http://schemas.openxmlformats.org/officeDocument/2006/relationships/hyperlink" Id="rId21" Target="diagrams/kimi-family.svg" TargetMode="External" /><Relationship Type="http://schemas.openxmlformats.org/officeDocument/2006/relationships/hyperlink" Id="rId27" Target="diagrams/llmctl-detection-flow.svg" TargetMode="External" /><Relationship Type="http://schemas.openxmlformats.org/officeDocument/2006/relationships/hyperlink" Id="rId28" Target="diagrams/llmctl-switch-flow.svg" TargetMode="External" /><Relationship Type="http://schemas.openxmlformats.org/officeDocument/2006/relationships/hyperlink" Id="rId20" Target="diagrams/quota-limits-flow.svg" TargetMode="External" /><Relationship Type="http://schemas.openxmlformats.org/officeDocument/2006/relationships/hyperlink" Id="rId32" Target="jev/Jev_FAQ.md" TargetMode="External" /><Relationship Type="http://schemas.openxmlformats.org/officeDocument/2006/relationships/hyperlink" Id="rId30" Target="jev/Jev_Quickstart.md" TargetMode="External" /><Relationship Type="http://schemas.openxmlformats.org/officeDocument/2006/relationships/hyperlink" Id="rId31" Target="jev/Jev_User_Guide.md" TargetMode="External" /><Relationship Type="http://schemas.openxmlformats.org/officeDocument/2006/relationships/hyperlink" Id="rId26" Target="llmctl/FAQ.md" TargetMode="External" /><Relationship Type="http://schemas.openxmlformats.org/officeDocument/2006/relationships/hyperlink" Id="rId24" Target="llmctl/quickstart.md" TargetMode="External" /><Relationship Type="http://schemas.openxmlformats.org/officeDocument/2006/relationships/hyperlink" Id="rId25" Target="llmctl/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CHANGELOG.md" TargetMode="External" /><Relationship Type="http://schemas.openxmlformats.org/officeDocument/2006/relationships/hyperlink" Id="rId10" Target="../Claude_Multi_Account_Fine_Tuning.md" TargetMode="External" /><Relationship Type="http://schemas.openxmlformats.org/officeDocument/2006/relationships/hyperlink" Id="rId18" Target="../Kimi_Accounts_User_Guide.md" TargetMode="External" /><Relationship Type="http://schemas.openxmlformats.org/officeDocument/2006/relationships/hyperlink" Id="rId36" Target="../OpenCode_Integration.md" TargetMode="External" /><Relationship Type="http://schemas.openxmlformats.org/officeDocument/2006/relationships/hyperlink" Id="rId11" Target="../README.md#-constitution-hub-engine" TargetMode="External" /><Relationship Type="http://schemas.openxmlformats.org/officeDocument/2006/relationships/hyperlink" Id="rId13" Target="../README.md#-daily-commands" TargetMode="External" /><Relationship Type="http://schemas.openxmlformats.org/officeDocument/2006/relationships/hyperlink" Id="rId9" Target="../README.md#-quick-start" TargetMode="External" /><Relationship Type="http://schemas.openxmlformats.org/officeDocument/2006/relationships/hyperlink" Id="rId39" Target="MULTI_HOST_ROLLOUT.md" TargetMode="External" /><Relationship Type="http://schemas.openxmlformats.org/officeDocument/2006/relationships/hyperlink" Id="rId15" Target="Provider_Aliases_User_Guide.md" TargetMode="External" /><Relationship Type="http://schemas.openxmlformats.org/officeDocument/2006/relationships/hyperlink" Id="rId16" Target="Provider_FAQ.md" TargetMode="External" /><Relationship Type="http://schemas.openxmlformats.org/officeDocument/2006/relationships/hyperlink" Id="rId17" Target="Provider_Verification_Guide.md" TargetMode="External" /><Relationship Type="http://schemas.openxmlformats.org/officeDocument/2006/relationships/hyperlink" Id="rId37" Target="SESSION_COLOR.md" TargetMode="External" /><Relationship Type="http://schemas.openxmlformats.org/officeDocument/2006/relationships/hyperlink" Id="rId38" Target="TOON_Integration.md" TargetMode="External" /><Relationship Type="http://schemas.openxmlformats.org/officeDocument/2006/relationships/hyperlink" Id="rId19" Target="diagrams/README.md" TargetMode="External" /><Relationship Type="http://schemas.openxmlformats.org/officeDocument/2006/relationships/hyperlink" Id="rId34" Target="diagrams/decide-gateway-flow.svg" TargetMode="External" /><Relationship Type="http://schemas.openxmlformats.org/officeDocument/2006/relationships/hyperlink" Id="rId22" Target="diagrams/enable-policy.svg" TargetMode="External" /><Relationship Type="http://schemas.openxmlformats.org/officeDocument/2006/relationships/hyperlink" Id="rId12" Target="diagrams/hub-engine-placement.svg" TargetMode="External" /><Relationship Type="http://schemas.openxmlformats.org/officeDocument/2006/relationships/hyperlink" Id="rId33" Target="diagrams/jev-architecture.svg" TargetMode="External" /><Relationship Type="http://schemas.openxmlformats.org/officeDocument/2006/relationships/hyperlink" Id="rId21" Target="diagrams/kimi-family.svg" TargetMode="External" /><Relationship Type="http://schemas.openxmlformats.org/officeDocument/2006/relationships/hyperlink" Id="rId27" Target="diagrams/llmctl-detection-flow.svg" TargetMode="External" /><Relationship Type="http://schemas.openxmlformats.org/officeDocument/2006/relationships/hyperlink" Id="rId28" Target="diagrams/llmctl-switch-flow.svg" TargetMode="External" /><Relationship Type="http://schemas.openxmlformats.org/officeDocument/2006/relationships/hyperlink" Id="rId20" Target="diagrams/quota-limits-flow.svg" TargetMode="External" /><Relationship Type="http://schemas.openxmlformats.org/officeDocument/2006/relationships/hyperlink" Id="rId32" Target="jev/Jev_FAQ.md" TargetMode="External" /><Relationship Type="http://schemas.openxmlformats.org/officeDocument/2006/relationships/hyperlink" Id="rId30" Target="jev/Jev_Quickstart.md" TargetMode="External" /><Relationship Type="http://schemas.openxmlformats.org/officeDocument/2006/relationships/hyperlink" Id="rId31" Target="jev/Jev_User_Guide.md" TargetMode="External" /><Relationship Type="http://schemas.openxmlformats.org/officeDocument/2006/relationships/hyperlink" Id="rId26" Target="llmctl/FAQ.md" TargetMode="External" /><Relationship Type="http://schemas.openxmlformats.org/officeDocument/2006/relationships/hyperlink" Id="rId24" Target="llmctl/quickstart.md" TargetMode="External" /><Relationship Type="http://schemas.openxmlformats.org/officeDocument/2006/relationships/hyperlink" Id="rId25" Target="llmctl/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2026-10-22T15:40:18Z</dcterms:created>
  <dcterms:modified xsi:type="dcterms:W3CDTF">2026-10-22T15:40:18Z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