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claude-toolkit--user-manual"/>
    <w:p>
      <w:pPr>
        <w:pStyle w:val="Heading1"/>
      </w:pPr>
      <w:r>
        <w:t xml:space="preserve">Claude Toolkit — User Manual</w:t>
      </w:r>
    </w:p>
    <w:p>
      <w:pPr>
        <w:pStyle w:val="FirstParagraph"/>
      </w:pPr>
      <w:r>
        <w:t xml:space="preserve">This is the single entry point to the toolkit's documentation (Constitution</w:t>
      </w:r>
      <w:r>
        <w:t xml:space="preserve"> </w:t>
      </w:r>
      <w:r>
        <w:t xml:space="preserve">§11.4.257: manual + guides + FAQ per feature, §11.4.212: everything reachable</w:t>
      </w:r>
      <w:r>
        <w:t xml:space="preserve"> </w:t>
      </w:r>
      <w:r>
        <w:t xml:space="preserve">from the README). Each feature has a guide for doing the task and an FAQ for</w:t>
      </w:r>
      <w:r>
        <w:t xml:space="preserve"> </w:t>
      </w:r>
      <w:r>
        <w:t xml:space="preserve">the questions people actually ask; the manual below indexes them in reading</w:t>
      </w:r>
      <w:r>
        <w:t xml:space="preserve"> </w:t>
      </w:r>
      <w:r>
        <w:t xml:space="preserve">order.</w:t>
      </w:r>
    </w:p>
    <w:bookmarkStart w:id="14" w:name="X09b78ebd9fdc7d7a9e26f807942e2aa448c14ee"/>
    <w:p>
      <w:pPr>
        <w:pStyle w:val="Heading2"/>
      </w:pPr>
      <w:r>
        <w:t xml:space="preserve">1. Orientation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 to...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and run several Claude Code accounts on one host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README quick start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Fine-Tuning deep dive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Know where claude_toolkit sits in a constitution-governed project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README hub-engine section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placement diagram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See every command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README daily commands</w:t>
              </w:r>
            </w:hyperlink>
          </w:p>
        </w:tc>
      </w:tr>
    </w:tbl>
    <w:bookmarkEnd w:id="14"/>
    <w:bookmarkStart w:id="24" w:name="Xfbf973e222c5619bd8984c3f0b8d7d242d6bc7b"/>
    <w:p>
      <w:pPr>
        <w:pStyle w:val="Heading2"/>
      </w:pPr>
      <w:r>
        <w:t xml:space="preserve">2. Provider aliases (any LLM as a Claude Code alias)</w:t>
      </w:r>
    </w:p>
    <w:p>
      <w:pPr>
        <w:pStyle w:val="Compact"/>
        <w:numPr>
          <w:ilvl w:val="0"/>
          <w:numId w:val="1001"/>
        </w:numPr>
      </w:pPr>
      <w:r>
        <w:t xml:space="preserve">Guide:</w:t>
      </w:r>
      <w:r>
        <w:t xml:space="preserve"> </w:t>
      </w:r>
      <w:hyperlink r:id="rId15">
        <w:r>
          <w:rPr>
            <w:rStyle w:val="Hyperlink"/>
          </w:rPr>
          <w:t xml:space="preserve">Provider Aliases User Guide</w:t>
        </w:r>
      </w:hyperlink>
    </w:p>
    <w:p>
      <w:pPr>
        <w:pStyle w:val="Compact"/>
        <w:numPr>
          <w:ilvl w:val="0"/>
          <w:numId w:val="1001"/>
        </w:numPr>
      </w:pPr>
      <w:r>
        <w:t xml:space="preserve">FAQ:</w:t>
      </w:r>
      <w:r>
        <w:t xml:space="preserve"> </w:t>
      </w:r>
      <w:hyperlink r:id="rId16">
        <w:r>
          <w:rPr>
            <w:rStyle w:val="Hyperlink"/>
          </w:rPr>
          <w:t xml:space="preserve">Provider FAQ</w:t>
        </w:r>
      </w:hyperlink>
    </w:p>
    <w:p>
      <w:pPr>
        <w:pStyle w:val="Compact"/>
        <w:numPr>
          <w:ilvl w:val="0"/>
          <w:numId w:val="1001"/>
        </w:numPr>
      </w:pPr>
      <w:r>
        <w:t xml:space="preserve">Verification:</w:t>
      </w:r>
      <w:r>
        <w:t xml:space="preserve"> </w:t>
      </w:r>
      <w:hyperlink r:id="rId17">
        <w:r>
          <w:rPr>
            <w:rStyle w:val="Hyperlink"/>
          </w:rPr>
          <w:t xml:space="preserve">Provider Verification Guide</w:t>
        </w:r>
      </w:hyperlink>
    </w:p>
    <w:p>
      <w:pPr>
        <w:pStyle w:val="Compact"/>
        <w:numPr>
          <w:ilvl w:val="0"/>
          <w:numId w:val="1001"/>
        </w:numPr>
      </w:pPr>
      <w:r>
        <w:t xml:space="preserve">Kimi Code accounts:</w:t>
      </w:r>
      <w:r>
        <w:t xml:space="preserve"> </w:t>
      </w:r>
      <w:hyperlink r:id="rId18">
        <w:r>
          <w:rPr>
            <w:rStyle w:val="Hyperlink"/>
          </w:rPr>
          <w:t xml:space="preserve">Kimi Accounts User Guide</w:t>
        </w:r>
      </w:hyperlink>
    </w:p>
    <w:p>
      <w:pPr>
        <w:pStyle w:val="Compact"/>
        <w:numPr>
          <w:ilvl w:val="0"/>
          <w:numId w:val="1001"/>
        </w:numPr>
      </w:pPr>
      <w:r>
        <w:t xml:space="preserve">Diagrams:</w:t>
      </w:r>
      <w:r>
        <w:t xml:space="preserve"> </w:t>
      </w:r>
      <w:hyperlink r:id="rId19">
        <w:r>
          <w:rPr>
            <w:rStyle w:val="Hyperlink"/>
          </w:rPr>
          <w:t xml:space="preserve">index</w:t>
        </w:r>
      </w:hyperlink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quota-limits-flow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kimi-family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enable-policy</w:t>
        </w:r>
      </w:hyperlink>
      <w:r>
        <w:t xml:space="preserve">)</w:t>
      </w:r>
    </w:p>
    <w:bookmarkStart w:id="23" w:name="X37e873a6e26b35f12a202720d647e3fe4d5f2a0"/>
    <w:p>
      <w:pPr>
        <w:pStyle w:val="Heading3"/>
      </w:pPr>
      <w:r>
        <w:t xml:space="preserve">2.1 Demotion, and switching aliases across organizations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claude-providers sync</w:t>
      </w:r>
      <w:r>
        <w:t xml:space="preserve"> </w:t>
      </w:r>
      <w:r>
        <w:t xml:space="preserve">only REPORTS orphaned provider aliases; to demote them run</w:t>
      </w:r>
      <w:r>
        <w:t xml:space="preserve"> </w:t>
      </w:r>
      <w:r>
        <w:rPr>
          <w:rStyle w:val="VerbatimChar"/>
        </w:rPr>
        <w:t xml:space="preserve">claude-providers sync --demote</w:t>
      </w:r>
      <w:r>
        <w:t xml:space="preserve"> </w:t>
      </w:r>
      <w:r>
        <w:t xml:space="preserve">(opt-in, v1.33.2).</w:t>
      </w:r>
    </w:p>
    <w:p>
      <w:pPr>
        <w:pStyle w:val="Compact"/>
        <w:numPr>
          <w:ilvl w:val="0"/>
          <w:numId w:val="1002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 is a separate Anthropic organization.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shares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, so resuming a session under</w:t>
      </w:r>
      <w:r>
        <w:t xml:space="preserve"> </w:t>
      </w:r>
      <w:r>
        <w:t xml:space="preserve">an alias of another organization makes Claude Code print "can't use thinking from another organization": thinking-block signatures are</w:t>
      </w:r>
      <w:r>
        <w:t xml:space="preserve"> </w:t>
      </w:r>
      <w:r>
        <w:t xml:space="preserve">organization-bound, so the CLI drops them and re-reads the whole session uncached (slower, more tokens). This cannot be avoided at API</w:t>
      </w:r>
      <w:r>
        <w:t xml:space="preserve"> </w:t>
      </w:r>
      <w:r>
        <w:t xml:space="preserve">level for the unmodified session. The toolkit warns before launch (with the context size and a same-org alias to use instead);</w:t>
      </w:r>
      <w:r>
        <w:t xml:space="preserve"> </w:t>
      </w:r>
      <w:r>
        <w:rPr>
          <w:rStyle w:val="VerbatimChar"/>
        </w:rPr>
        <w:t xml:space="preserve">CMA_SESSION_SANITIZE_ON_ORG_CHANGE=1</w:t>
      </w:r>
      <w:r>
        <w:t xml:space="preserve"> </w:t>
      </w:r>
      <w:r>
        <w:t xml:space="preserve">resumes a sanitized copy without thinking blocks (original kept);</w:t>
      </w:r>
      <w:r>
        <w:t xml:space="preserve"> </w:t>
      </w:r>
      <w:r>
        <w:rPr>
          <w:rStyle w:val="VerbatimChar"/>
        </w:rPr>
        <w:t xml:space="preserve">claude-session sanitize-fork &lt;config_dir&gt; [sid]</w:t>
      </w:r>
      <w:r>
        <w:t xml:space="preserve"> </w:t>
      </w:r>
      <w:r>
        <w:t xml:space="preserve">does it by hand.</w:t>
      </w:r>
      <w:r>
        <w:t xml:space="preserve"> </w:t>
      </w:r>
      <w:r>
        <w:t xml:space="preserve">Provider aliases are not Anthropic organizations and are not guarded.</w:t>
      </w:r>
    </w:p>
    <w:p>
      <w:pPr>
        <w:pStyle w:val="Compact"/>
        <w:numPr>
          <w:ilvl w:val="0"/>
          <w:numId w:val="1002"/>
        </w:numPr>
      </w:pPr>
      <w:r>
        <w:t xml:space="preserve">Opt-in Jev wiring of every supported agent home:</w:t>
      </w:r>
      <w:r>
        <w:t xml:space="preserve"> </w:t>
      </w:r>
      <w:r>
        <w:rPr>
          <w:rStyle w:val="VerbatimChar"/>
        </w:rPr>
        <w:t xml:space="preserve">jev-setup.sh --base-homes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JEV_WIRE_AGENT_HOMES=1</w:t>
      </w:r>
      <w:r>
        <w:t xml:space="preserve">; hosted decision endpoints stay SHADOW.</w:t>
      </w:r>
    </w:p>
    <w:bookmarkEnd w:id="23"/>
    <w:bookmarkEnd w:id="24"/>
    <w:bookmarkStart w:id="30" w:name="Xca78bbd7ff0005c2b2cf2c93c8bb1582a97cc12"/>
    <w:p>
      <w:pPr>
        <w:pStyle w:val="Heading2"/>
      </w:pPr>
      <w:r>
        <w:t xml:space="preserve">3. Local models through llmctl (and the validation gate)</w:t>
      </w:r>
    </w:p>
    <w:p>
      <w:pPr>
        <w:pStyle w:val="Compact"/>
        <w:numPr>
          <w:ilvl w:val="0"/>
          <w:numId w:val="1003"/>
        </w:numPr>
      </w:pPr>
      <w:r>
        <w:t xml:space="preserve">Quickstart:</w:t>
      </w:r>
      <w:r>
        <w:t xml:space="preserve"> </w:t>
      </w:r>
      <w:hyperlink r:id="rId25">
        <w:r>
          <w:rPr>
            <w:rStyle w:val="Hyperlink"/>
          </w:rPr>
          <w:t xml:space="preserve">llmctl quickstart</w:t>
        </w:r>
      </w:hyperlink>
    </w:p>
    <w:p>
      <w:pPr>
        <w:pStyle w:val="Compact"/>
        <w:numPr>
          <w:ilvl w:val="0"/>
          <w:numId w:val="1003"/>
        </w:numPr>
      </w:pPr>
      <w:r>
        <w:t xml:space="preserve">Guide:</w:t>
      </w:r>
      <w:r>
        <w:t xml:space="preserve"> </w:t>
      </w:r>
      <w:hyperlink r:id="rId26">
        <w:r>
          <w:rPr>
            <w:rStyle w:val="Hyperlink"/>
          </w:rPr>
          <w:t xml:space="preserve">llmctl user guide</w:t>
        </w:r>
      </w:hyperlink>
      <w:r>
        <w:t xml:space="preserve"> </w:t>
      </w:r>
      <w:r>
        <w:t xml:space="preserve">— includes §5a, the</w:t>
      </w:r>
      <w:r>
        <w:t xml:space="preserve"> </w:t>
      </w:r>
      <w:r>
        <w:t xml:space="preserve">§11.4.277 validation gate (</w:t>
      </w:r>
      <w:r>
        <w:rPr>
          <w:rStyle w:val="VerbatimChar"/>
        </w:rPr>
        <w:t xml:space="preserve">LLMCTL_VALIDATE_STRICT=1</w:t>
      </w:r>
      <w:r>
        <w:t xml:space="preserve">,</w:t>
      </w:r>
      <w:r>
        <w:t xml:space="preserve"> </w:t>
      </w:r>
      <w:r>
        <w:rPr>
          <w:rStyle w:val="VerbatimChar"/>
        </w:rPr>
        <w:t xml:space="preserve">llmctl require-validated</w:t>
      </w:r>
      <w:r>
        <w:t xml:space="preserve">) and the §11.4.278 Vision QA relationship</w:t>
      </w:r>
    </w:p>
    <w:p>
      <w:pPr>
        <w:pStyle w:val="Compact"/>
        <w:numPr>
          <w:ilvl w:val="0"/>
          <w:numId w:val="1003"/>
        </w:numPr>
      </w:pPr>
      <w:r>
        <w:t xml:space="preserve">FAQ:</w:t>
      </w:r>
      <w:r>
        <w:t xml:space="preserve"> </w:t>
      </w:r>
      <w:hyperlink r:id="rId27">
        <w:r>
          <w:rPr>
            <w:rStyle w:val="Hyperlink"/>
          </w:rPr>
          <w:t xml:space="preserve">llmctl FAQ</w:t>
        </w:r>
      </w:hyperlink>
    </w:p>
    <w:p>
      <w:pPr>
        <w:pStyle w:val="Compact"/>
        <w:numPr>
          <w:ilvl w:val="0"/>
          <w:numId w:val="1003"/>
        </w:numPr>
      </w:pPr>
      <w:r>
        <w:t xml:space="preserve">Diagrams:</w:t>
      </w:r>
      <w:r>
        <w:t xml:space="preserve"> </w:t>
      </w:r>
      <w:hyperlink r:id="rId28">
        <w:r>
          <w:rPr>
            <w:rStyle w:val="Hyperlink"/>
          </w:rPr>
          <w:t xml:space="preserve">detection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switch</w:t>
        </w:r>
      </w:hyperlink>
    </w:p>
    <w:bookmarkEnd w:id="30"/>
    <w:bookmarkStart w:id="36" w:name="Xc0d211da56265d1471b0ebc1b5d736ee248011d"/>
    <w:p>
      <w:pPr>
        <w:pStyle w:val="Heading2"/>
      </w:pPr>
      <w:r>
        <w:t xml:space="preserve">4. Decision models (Jev) — the §11.4.279 layer</w:t>
      </w:r>
    </w:p>
    <w:p>
      <w:pPr>
        <w:pStyle w:val="Compact"/>
        <w:numPr>
          <w:ilvl w:val="0"/>
          <w:numId w:val="1004"/>
        </w:numPr>
      </w:pPr>
      <w:r>
        <w:t xml:space="preserve">Quickstart:</w:t>
      </w:r>
      <w:r>
        <w:t xml:space="preserve"> </w:t>
      </w:r>
      <w:hyperlink r:id="rId31">
        <w:r>
          <w:rPr>
            <w:rStyle w:val="Hyperlink"/>
          </w:rPr>
          <w:t xml:space="preserve">Jev quickstart</w:t>
        </w:r>
      </w:hyperlink>
    </w:p>
    <w:p>
      <w:pPr>
        <w:pStyle w:val="Compact"/>
        <w:numPr>
          <w:ilvl w:val="0"/>
          <w:numId w:val="1004"/>
        </w:numPr>
      </w:pPr>
      <w:r>
        <w:t xml:space="preserve">Guide:</w:t>
      </w:r>
      <w:r>
        <w:t xml:space="preserve"> </w:t>
      </w:r>
      <w:hyperlink r:id="rId32">
        <w:r>
          <w:rPr>
            <w:rStyle w:val="Hyperlink"/>
          </w:rPr>
          <w:t xml:space="preserve">Jev user guide</w:t>
        </w:r>
      </w:hyperlink>
      <w:r>
        <w:t xml:space="preserve"> </w:t>
      </w:r>
      <w:r>
        <w:t xml:space="preserve">(gate, MCP server, stats,</w:t>
      </w:r>
      <w:r>
        <w:t xml:space="preserve"> </w:t>
      </w:r>
      <w:r>
        <w:t xml:space="preserve">calibration, the HTTPS + bearer-key decide gateway, honest limitations)</w:t>
      </w:r>
    </w:p>
    <w:p>
      <w:pPr>
        <w:pStyle w:val="Compact"/>
        <w:numPr>
          <w:ilvl w:val="0"/>
          <w:numId w:val="1004"/>
        </w:numPr>
      </w:pPr>
      <w:r>
        <w:t xml:space="preserve">FAQ:</w:t>
      </w:r>
      <w:r>
        <w:t xml:space="preserve"> </w:t>
      </w:r>
      <w:hyperlink r:id="rId33">
        <w:r>
          <w:rPr>
            <w:rStyle w:val="Hyperlink"/>
          </w:rPr>
          <w:t xml:space="preserve">Jev FAQ</w:t>
        </w:r>
      </w:hyperlink>
    </w:p>
    <w:p>
      <w:pPr>
        <w:pStyle w:val="Compact"/>
        <w:numPr>
          <w:ilvl w:val="0"/>
          <w:numId w:val="1004"/>
        </w:numPr>
      </w:pPr>
      <w:r>
        <w:t xml:space="preserve">Diagrams:</w:t>
      </w:r>
      <w:r>
        <w:t xml:space="preserve"> </w:t>
      </w:r>
      <w:hyperlink r:id="rId34">
        <w:r>
          <w:rPr>
            <w:rStyle w:val="Hyperlink"/>
          </w:rPr>
          <w:t xml:space="preserve">architecture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decide-gateway flow</w:t>
        </w:r>
      </w:hyperlink>
    </w:p>
    <w:bookmarkEnd w:id="36"/>
    <w:bookmarkStart w:id="41" w:name="Xc051c99402894d57de76dc0a7d2ad0696a05949"/>
    <w:p>
      <w:pPr>
        <w:pStyle w:val="Heading2"/>
      </w:pPr>
      <w:r>
        <w:t xml:space="preserve">5. Other utilities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OpenCode Integration</w:t>
        </w:r>
      </w:hyperlink>
      <w:r>
        <w:t xml:space="preserve"> </w:t>
      </w:r>
      <w:r>
        <w:t xml:space="preserve">— share Skills + MCP +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5"/>
        </w:numPr>
      </w:pPr>
      <w:hyperlink r:id="rId38">
        <w:r>
          <w:rPr>
            <w:rStyle w:val="Hyperlink"/>
          </w:rPr>
          <w:t xml:space="preserve">Session &amp; Color</w:t>
        </w:r>
      </w:hyperlink>
      <w:r>
        <w:t xml:space="preserve"> </w:t>
      </w:r>
      <w:r>
        <w:t xml:space="preserve">— per-project session naming</w:t>
      </w:r>
    </w:p>
    <w:p>
      <w:pPr>
        <w:pStyle w:val="Compact"/>
        <w:numPr>
          <w:ilvl w:val="0"/>
          <w:numId w:val="1005"/>
        </w:numPr>
      </w:pPr>
      <w:hyperlink r:id="rId39">
        <w:r>
          <w:rPr>
            <w:rStyle w:val="Hyperlink"/>
          </w:rPr>
          <w:t xml:space="preserve">TOON Integration</w:t>
        </w:r>
      </w:hyperlink>
      <w:r>
        <w:t xml:space="preserve"> </w:t>
      </w:r>
      <w:r>
        <w:t xml:space="preserve">— token-efficient JSON</w:t>
      </w:r>
    </w:p>
    <w:p>
      <w:pPr>
        <w:pStyle w:val="Compact"/>
        <w:numPr>
          <w:ilvl w:val="0"/>
          <w:numId w:val="1005"/>
        </w:numPr>
      </w:pPr>
      <w:hyperlink r:id="rId40">
        <w:r>
          <w:rPr>
            <w:rStyle w:val="Hyperlink"/>
          </w:rPr>
          <w:t xml:space="preserve">Multi-host rollout</w:t>
        </w:r>
      </w:hyperlink>
    </w:p>
    <w:bookmarkEnd w:id="41"/>
    <w:bookmarkStart w:id="43" w:name="Xaa45b83d0f919d13a9f0ce614ebd7d36e92dc4b"/>
    <w:p>
      <w:pPr>
        <w:pStyle w:val="Heading2"/>
      </w:pPr>
      <w:r>
        <w:t xml:space="preserve">6. Project</w:t>
      </w:r>
    </w:p>
    <w:p>
      <w:pPr>
        <w:pStyle w:val="Compact"/>
        <w:numPr>
          <w:ilvl w:val="0"/>
          <w:numId w:val="1006"/>
        </w:numPr>
      </w:pPr>
      <w:hyperlink r:id="rId42">
        <w:r>
          <w:rPr>
            <w:rStyle w:val="Hyperlink"/>
          </w:rPr>
          <w:t xml:space="preserve">CHANGELOG</w:t>
        </w:r>
      </w:hyperlink>
      <w:r>
        <w:t xml:space="preserve"> </w:t>
      </w:r>
      <w:r>
        <w:t xml:space="preserve">— release history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Diagram index</w:t>
        </w:r>
      </w:hyperlink>
      <w:r>
        <w:t xml:space="preserve"> </w:t>
      </w:r>
      <w:r>
        <w:t xml:space="preserve">— Mermaid sources and rendered SVGs</w:t>
      </w:r>
    </w:p>
    <w:bookmarkEnd w:id="43"/>
    <w:bookmarkStart w:id="44" w:name="X345f761c5a96b06c67deaaf8279c125a462ab91"/>
    <w:p>
      <w:pPr>
        <w:pStyle w:val="Heading2"/>
      </w:pPr>
      <w:r>
        <w:t xml:space="preserve">7. Honest scope</w:t>
      </w:r>
    </w:p>
    <w:p>
      <w:pPr>
        <w:pStyle w:val="FirstParagraph"/>
      </w:pPr>
      <w:r>
        <w:t xml:space="preserve">The manual indexes documentation that exists; it does not claim features</w:t>
      </w:r>
      <w:r>
        <w:t xml:space="preserve"> </w:t>
      </w:r>
      <w:r>
        <w:t xml:space="preserve">beyond what the guides state. The decide-gateway transport (HTTPS + bearer</w:t>
      </w:r>
      <w:r>
        <w:t xml:space="preserve"> </w:t>
      </w:r>
      <w:r>
        <w:t xml:space="preserve">key) is verified only against a hermetic TLS stand-in, not a real llmctl</w:t>
      </w:r>
      <w:r>
        <w:t xml:space="preserve"> </w:t>
      </w:r>
      <w:r>
        <w:t xml:space="preserve">gateway (Jev guide, limitation 11). The toolkit forwards the llmctl validation</w:t>
      </w:r>
      <w:r>
        <w:t xml:space="preserve"> </w:t>
      </w:r>
      <w:r>
        <w:t xml:space="preserve">gate's environment and honours its refusals but runs no Vision known-answer</w:t>
      </w:r>
      <w:r>
        <w:t xml:space="preserve"> </w:t>
      </w:r>
      <w:r>
        <w:t xml:space="preserve">suite of its own.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CHANGELOG.md" TargetMode="External" /><Relationship Type="http://schemas.openxmlformats.org/officeDocument/2006/relationships/hyperlink" Id="rId10" Target="../Claude_Multi_Account_Fine_Tuning.md" TargetMode="External" /><Relationship Type="http://schemas.openxmlformats.org/officeDocument/2006/relationships/hyperlink" Id="rId18" Target="../Kimi_Accounts_User_Guide.md" TargetMode="External" /><Relationship Type="http://schemas.openxmlformats.org/officeDocument/2006/relationships/hyperlink" Id="rId37" Target="../OpenCode_Integration.md" TargetMode="External" /><Relationship Type="http://schemas.openxmlformats.org/officeDocument/2006/relationships/hyperlink" Id="rId11" Target="../README.md#-constitution-hub-engine" TargetMode="External" /><Relationship Type="http://schemas.openxmlformats.org/officeDocument/2006/relationships/hyperlink" Id="rId13" Target="../README.md#-daily-commands" TargetMode="External" /><Relationship Type="http://schemas.openxmlformats.org/officeDocument/2006/relationships/hyperlink" Id="rId9" Target="../README.md#-quick-start" TargetMode="External" /><Relationship Type="http://schemas.openxmlformats.org/officeDocument/2006/relationships/hyperlink" Id="rId40" Target="MULTI_HOST_ROLLOUT.md" TargetMode="External" /><Relationship Type="http://schemas.openxmlformats.org/officeDocument/2006/relationships/hyperlink" Id="rId15" Target="Provider_Aliases_User_Guide.md" TargetMode="External" /><Relationship Type="http://schemas.openxmlformats.org/officeDocument/2006/relationships/hyperlink" Id="rId16" Target="Provider_FAQ.md" TargetMode="External" /><Relationship Type="http://schemas.openxmlformats.org/officeDocument/2006/relationships/hyperlink" Id="rId17" Target="Provider_Verification_Guide.md" TargetMode="External" /><Relationship Type="http://schemas.openxmlformats.org/officeDocument/2006/relationships/hyperlink" Id="rId38" Target="SESSION_COLOR.md" TargetMode="External" /><Relationship Type="http://schemas.openxmlformats.org/officeDocument/2006/relationships/hyperlink" Id="rId39" Target="TOON_Integration.md" TargetMode="External" /><Relationship Type="http://schemas.openxmlformats.org/officeDocument/2006/relationships/hyperlink" Id="rId19" Target="diagrams/README.md" TargetMode="External" /><Relationship Type="http://schemas.openxmlformats.org/officeDocument/2006/relationships/hyperlink" Id="rId35" Target="diagrams/decide-gateway-flow.svg" TargetMode="External" /><Relationship Type="http://schemas.openxmlformats.org/officeDocument/2006/relationships/hyperlink" Id="rId22" Target="diagrams/enable-policy.svg" TargetMode="External" /><Relationship Type="http://schemas.openxmlformats.org/officeDocument/2006/relationships/hyperlink" Id="rId12" Target="diagrams/hub-engine-placement.svg" TargetMode="External" /><Relationship Type="http://schemas.openxmlformats.org/officeDocument/2006/relationships/hyperlink" Id="rId34" Target="diagrams/jev-architecture.svg" TargetMode="External" /><Relationship Type="http://schemas.openxmlformats.org/officeDocument/2006/relationships/hyperlink" Id="rId21" Target="diagrams/kimi-family.svg" TargetMode="External" /><Relationship Type="http://schemas.openxmlformats.org/officeDocument/2006/relationships/hyperlink" Id="rId28" Target="diagrams/llmctl-detection-flow.svg" TargetMode="External" /><Relationship Type="http://schemas.openxmlformats.org/officeDocument/2006/relationships/hyperlink" Id="rId29" Target="diagrams/llmctl-switch-flow.svg" TargetMode="External" /><Relationship Type="http://schemas.openxmlformats.org/officeDocument/2006/relationships/hyperlink" Id="rId20" Target="diagrams/quota-limits-flow.svg" TargetMode="External" /><Relationship Type="http://schemas.openxmlformats.org/officeDocument/2006/relationships/hyperlink" Id="rId33" Target="jev/Jev_FAQ.md" TargetMode="External" /><Relationship Type="http://schemas.openxmlformats.org/officeDocument/2006/relationships/hyperlink" Id="rId31" Target="jev/Jev_Quickstart.md" TargetMode="External" /><Relationship Type="http://schemas.openxmlformats.org/officeDocument/2006/relationships/hyperlink" Id="rId32" Target="jev/Jev_User_Guide.md" TargetMode="External" /><Relationship Type="http://schemas.openxmlformats.org/officeDocument/2006/relationships/hyperlink" Id="rId27" Target="llmctl/FAQ.md" TargetMode="External" /><Relationship Type="http://schemas.openxmlformats.org/officeDocument/2006/relationships/hyperlink" Id="rId25" Target="llmctl/quickstart.md" TargetMode="External" /><Relationship Type="http://schemas.openxmlformats.org/officeDocument/2006/relationships/hyperlink" Id="rId26" Target="llmctl/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CHANGELOG.md" TargetMode="External" /><Relationship Type="http://schemas.openxmlformats.org/officeDocument/2006/relationships/hyperlink" Id="rId10" Target="../Claude_Multi_Account_Fine_Tuning.md" TargetMode="External" /><Relationship Type="http://schemas.openxmlformats.org/officeDocument/2006/relationships/hyperlink" Id="rId18" Target="../Kimi_Accounts_User_Guide.md" TargetMode="External" /><Relationship Type="http://schemas.openxmlformats.org/officeDocument/2006/relationships/hyperlink" Id="rId37" Target="../OpenCode_Integration.md" TargetMode="External" /><Relationship Type="http://schemas.openxmlformats.org/officeDocument/2006/relationships/hyperlink" Id="rId11" Target="../README.md#-constitution-hub-engine" TargetMode="External" /><Relationship Type="http://schemas.openxmlformats.org/officeDocument/2006/relationships/hyperlink" Id="rId13" Target="../README.md#-daily-commands" TargetMode="External" /><Relationship Type="http://schemas.openxmlformats.org/officeDocument/2006/relationships/hyperlink" Id="rId9" Target="../README.md#-quick-start" TargetMode="External" /><Relationship Type="http://schemas.openxmlformats.org/officeDocument/2006/relationships/hyperlink" Id="rId40" Target="MULTI_HOST_ROLLOUT.md" TargetMode="External" /><Relationship Type="http://schemas.openxmlformats.org/officeDocument/2006/relationships/hyperlink" Id="rId15" Target="Provider_Aliases_User_Guide.md" TargetMode="External" /><Relationship Type="http://schemas.openxmlformats.org/officeDocument/2006/relationships/hyperlink" Id="rId16" Target="Provider_FAQ.md" TargetMode="External" /><Relationship Type="http://schemas.openxmlformats.org/officeDocument/2006/relationships/hyperlink" Id="rId17" Target="Provider_Verification_Guide.md" TargetMode="External" /><Relationship Type="http://schemas.openxmlformats.org/officeDocument/2006/relationships/hyperlink" Id="rId38" Target="SESSION_COLOR.md" TargetMode="External" /><Relationship Type="http://schemas.openxmlformats.org/officeDocument/2006/relationships/hyperlink" Id="rId39" Target="TOON_Integration.md" TargetMode="External" /><Relationship Type="http://schemas.openxmlformats.org/officeDocument/2006/relationships/hyperlink" Id="rId19" Target="diagrams/README.md" TargetMode="External" /><Relationship Type="http://schemas.openxmlformats.org/officeDocument/2006/relationships/hyperlink" Id="rId35" Target="diagrams/decide-gateway-flow.svg" TargetMode="External" /><Relationship Type="http://schemas.openxmlformats.org/officeDocument/2006/relationships/hyperlink" Id="rId22" Target="diagrams/enable-policy.svg" TargetMode="External" /><Relationship Type="http://schemas.openxmlformats.org/officeDocument/2006/relationships/hyperlink" Id="rId12" Target="diagrams/hub-engine-placement.svg" TargetMode="External" /><Relationship Type="http://schemas.openxmlformats.org/officeDocument/2006/relationships/hyperlink" Id="rId34" Target="diagrams/jev-architecture.svg" TargetMode="External" /><Relationship Type="http://schemas.openxmlformats.org/officeDocument/2006/relationships/hyperlink" Id="rId21" Target="diagrams/kimi-family.svg" TargetMode="External" /><Relationship Type="http://schemas.openxmlformats.org/officeDocument/2006/relationships/hyperlink" Id="rId28" Target="diagrams/llmctl-detection-flow.svg" TargetMode="External" /><Relationship Type="http://schemas.openxmlformats.org/officeDocument/2006/relationships/hyperlink" Id="rId29" Target="diagrams/llmctl-switch-flow.svg" TargetMode="External" /><Relationship Type="http://schemas.openxmlformats.org/officeDocument/2006/relationships/hyperlink" Id="rId20" Target="diagrams/quota-limits-flow.svg" TargetMode="External" /><Relationship Type="http://schemas.openxmlformats.org/officeDocument/2006/relationships/hyperlink" Id="rId33" Target="jev/Jev_FAQ.md" TargetMode="External" /><Relationship Type="http://schemas.openxmlformats.org/officeDocument/2006/relationships/hyperlink" Id="rId31" Target="jev/Jev_Quickstart.md" TargetMode="External" /><Relationship Type="http://schemas.openxmlformats.org/officeDocument/2006/relationships/hyperlink" Id="rId32" Target="jev/Jev_User_Guide.md" TargetMode="External" /><Relationship Type="http://schemas.openxmlformats.org/officeDocument/2006/relationships/hyperlink" Id="rId27" Target="llmctl/FAQ.md" TargetMode="External" /><Relationship Type="http://schemas.openxmlformats.org/officeDocument/2006/relationships/hyperlink" Id="rId25" Target="llmctl/quickstart.md" TargetMode="External" /><Relationship Type="http://schemas.openxmlformats.org/officeDocument/2006/relationships/hyperlink" Id="rId26" Target="llmctl/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2026-10-28T11:28:00Z</dcterms:created>
  <dcterms:modified xsi:type="dcterms:W3CDTF">2026-10-28T11:28:00Z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