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CONSTITUTION_INTEGRATION</w:t>
      </w:r>
    </w:p>
    <w:bookmarkStart w:id="21" w:name="docs-chain-helixconstitution-integration"/>
    <w:p>
      <w:pPr>
        <w:pStyle w:val="Heading1"/>
      </w:pPr>
      <w:r>
        <w:t xml:space="preserve">Docs Chain — HelixConstitution Integration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2026-05-31T12:00:00Z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documentation — DESCRIBES the integration. The Phase-4 config loader + CLI it references are now IMPLEMENTED (and a first consumer, Herald, has wired a verify-green 66-doc corpus); the constitution-submodule integration itself is still PLANNED (Phase 6) and OPERATOR-GATED. This document does NOT implement that integration.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2026-05-29 (Docs Chain initiative)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authoritative Phase-0 DESIGN / RESEARCH / PLAN live in the consuming project research tree (</w:t>
      </w:r>
      <w:r>
        <w:rPr>
          <w:rStyle w:val="VerbatimChar"/>
        </w:rPr>
        <w:t xml:space="preserve">docs/research/docs_chain/</w:t>
      </w:r>
      <w:r>
        <w:t xml:space="preserve">); this document is the self-contained specification.</w:t>
      </w:r>
    </w:p>
    <w:p>
      <w:r>
        <w:pict>
          <v:rect style="width:0;height:1.5pt" o:hralign="center" o:hrstd="t" o:hr="t"/>
        </w:pict>
      </w:r>
    </w:p>
    <w:bookmarkStart w:id="9" w:name="status-and-scope-boundary"/>
    <w:p>
      <w:pPr>
        <w:pStyle w:val="Heading2"/>
      </w:pPr>
      <w:r>
        <w:t xml:space="preserve">Status and scope boundary</w:t>
      </w:r>
    </w:p>
    <w:p>
      <w:pPr>
        <w:pStyle w:val="FirstParagraph"/>
      </w:pPr>
      <w:r>
        <w:rPr>
          <w:b/>
          <w:bCs/>
        </w:rPr>
        <w:t xml:space="preserve">PLANNED (Phase 6) — OPERATOR-GATED.</w:t>
      </w:r>
      <w:r>
        <w:t xml:space="preserve"> </w:t>
      </w:r>
      <w:r>
        <w:t xml:space="preserve">Phase 6 of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covers remote-repo</w:t>
      </w:r>
      <w:r>
        <w:t xml:space="preserve"> </w:t>
      </w:r>
      <w:r>
        <w:t xml:space="preserve">creation, the constitution-submodule pointer add, and the</w:t>
      </w:r>
      <w:r>
        <w:t xml:space="preserve"> </w:t>
      </w:r>
      <w:r>
        <w:t xml:space="preserve">governance-file edits (Constitution.md / CLAUDE.md / AGENTS.md / QWEN.md).</w:t>
      </w:r>
      <w:r>
        <w:t xml:space="preserve"> </w:t>
      </w:r>
      <w:r>
        <w:t xml:space="preserve">Those steps are performed by the operator, not by an agent (§11.4.66 /</w:t>
      </w:r>
      <w:r>
        <w:t xml:space="preserve"> </w:t>
      </w:r>
      <w:r>
        <w:t xml:space="preserve">§11.4.35 / §11.4.26).</w:t>
      </w:r>
    </w:p>
    <w:p>
      <w:pPr>
        <w:pStyle w:val="BodyText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describes</w:t>
      </w:r>
      <w:r>
        <w:t xml:space="preserve"> </w:t>
      </w:r>
      <w:r>
        <w:t xml:space="preserve">the integration model so the operator and</w:t>
      </w:r>
      <w:r>
        <w:t xml:space="preserve"> </w:t>
      </w:r>
      <w:r>
        <w:t xml:space="preserve">future consuming projects know the plan. It is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implementation: nothing here edits any governance file, creates any</w:t>
      </w:r>
      <w:r>
        <w:t xml:space="preserve"> </w:t>
      </w:r>
      <w:r>
        <w:t xml:space="preserve">remote, or adds any submodule. The reader should treat every</w:t>
      </w:r>
      <w:r>
        <w:t xml:space="preserve"> </w:t>
      </w:r>
      <w:r>
        <w:t xml:space="preserve">“the</w:t>
      </w:r>
      <w:r>
        <w:t xml:space="preserve"> </w:t>
      </w:r>
      <w:r>
        <w:t xml:space="preserve">constitution submodule will …”</w:t>
      </w:r>
      <w:r>
        <w:t xml:space="preserve"> </w:t>
      </w:r>
      <w:r>
        <w:t xml:space="preserve">statement as the DESIGNED Phase 6 outcome,</w:t>
      </w:r>
      <w:r>
        <w:t xml:space="preserve"> </w:t>
      </w:r>
      <w:r>
        <w:t xml:space="preserve">not a current fact.</w:t>
      </w:r>
    </w:p>
    <w:p>
      <w:r>
        <w:pict>
          <v:rect style="width:0;height:1.5pt" o:hralign="center" o:hrstd="t" o:hr="t"/>
        </w:pict>
      </w:r>
    </w:p>
    <w:bookmarkEnd w:id="9"/>
    <w:bookmarkStart w:id="10" w:name="the-distribution-model"/>
    <w:p>
      <w:pPr>
        <w:pStyle w:val="Heading2"/>
      </w:pPr>
      <w:r>
        <w:t xml:space="preserve">1. The distribution model</w:t>
      </w:r>
    </w:p>
    <w:p>
      <w:pPr>
        <w:pStyle w:val="FirstParagraph"/>
      </w:pPr>
      <w:r>
        <w:t xml:space="preserve">Docs Chain ships as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submodule and is consumed as a</w:t>
      </w:r>
      <w:r>
        <w:t xml:space="preserve"> </w:t>
      </w:r>
      <w:r>
        <w:t xml:space="preserve">CORE part of the HelixConstitution submodule. Once Phase 6 lands, any</w:t>
      </w:r>
      <w:r>
        <w:t xml:space="preserve"> </w:t>
      </w:r>
      <w:r>
        <w:t xml:space="preserve">project that already inherits the constitution submodule gets Docs Chain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— the same inheritance mechanism the project already uses</w:t>
      </w:r>
      <w:r>
        <w:t xml:space="preserve"> </w:t>
      </w:r>
      <w:r>
        <w:t xml:space="preserve">for the constitution’s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DCRepo[vasic-digital/docs_chain&lt;br/&gt;standalone submodule] --&gt; CONST[HelixConstitution submodule]</w:t>
      </w:r>
      <w:r>
        <w:br/>
      </w:r>
      <w:r>
        <w:rPr>
          <w:rStyle w:val="VerbatimChar"/>
        </w:rPr>
        <w:t xml:space="preserve">    CONST --&gt; P1[Consuming project A]</w:t>
      </w:r>
      <w:r>
        <w:br/>
      </w:r>
      <w:r>
        <w:rPr>
          <w:rStyle w:val="VerbatimChar"/>
        </w:rPr>
        <w:t xml:space="preserve">    CONST --&gt; P2[Consuming project B]</w:t>
      </w:r>
      <w:r>
        <w:br/>
      </w:r>
      <w:r>
        <w:rPr>
          <w:rStyle w:val="VerbatimChar"/>
        </w:rPr>
        <w:t xml:space="preserve">    CONST --&gt; P3[Consuming project N]</w:t>
      </w:r>
      <w:r>
        <w:br/>
      </w:r>
      <w:r>
        <w:rPr>
          <w:rStyle w:val="VerbatimChar"/>
        </w:rPr>
        <w:t xml:space="preserve">    P1 -.registers.-&gt; C1[.docs_chain/contexts/*.yaml]</w:t>
      </w:r>
      <w:r>
        <w:br/>
      </w:r>
      <w:r>
        <w:rPr>
          <w:rStyle w:val="VerbatimChar"/>
        </w:rPr>
        <w:t xml:space="preserve">    P2 -.registers.-&gt; C2[.docs_chain/contexts/*.yaml]</w:t>
      </w:r>
      <w:r>
        <w:br/>
      </w:r>
      <w:r>
        <w:rPr>
          <w:rStyle w:val="VerbatimChar"/>
        </w:rPr>
        <w:t xml:space="preserve">    P3 -.registers.-&gt; C3[.docs_chain/contexts/*.yaml]</w:t>
      </w:r>
    </w:p>
    <w:p>
      <w:pPr>
        <w:pStyle w:val="FirstParagraph"/>
      </w:pPr>
      <w:r>
        <w:t xml:space="preserve">The engine (Go binary + builtins) is shared and project-agnostic; the</w:t>
      </w:r>
      <w:r>
        <w:t xml:space="preserve"> </w:t>
      </w:r>
      <w:r>
        <w:rPr>
          <w:b/>
          <w:bCs/>
        </w:rPr>
        <w:t xml:space="preserve">contexts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.docs_chain/contexts/*.yaml</w:t>
      </w:r>
      <w:r>
        <w:t xml:space="preserve">) are per-project data the</w:t>
      </w:r>
      <w:r>
        <w:t xml:space="preserve"> </w:t>
      </w:r>
      <w:r>
        <w:t xml:space="preserve">consumer owns and registers. This mirrors the §11.4.28 decoupling rule:</w:t>
      </w:r>
      <w:r>
        <w:t xml:space="preserve"> </w:t>
      </w:r>
      <w:r>
        <w:t xml:space="preserve">the submodule never carries project-specific context; the consumer</w:t>
      </w:r>
      <w:r>
        <w:t xml:space="preserve"> </w:t>
      </w:r>
      <w:r>
        <w:t xml:space="preserve">injects its chains via config.</w:t>
      </w:r>
    </w:p>
    <w:p>
      <w:r>
        <w:pict>
          <v:rect style="width:0;height:1.5pt" o:hralign="center" o:hrstd="t" o:hr="t"/>
        </w:pict>
      </w:r>
    </w:p>
    <w:bookmarkEnd w:id="10"/>
    <w:bookmarkStart w:id="11" w:name="inheritance-model"/>
    <w:p>
      <w:pPr>
        <w:pStyle w:val="Heading2"/>
      </w:pPr>
      <w:r>
        <w:t xml:space="preserve">2. Inheritance model</w:t>
      </w:r>
    </w:p>
    <w:p>
      <w:pPr>
        <w:pStyle w:val="FirstParagraph"/>
      </w:pPr>
      <w:r>
        <w:t xml:space="preserve">Per §11.4.35 (canonical-root inheritance clarity), there are two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root (the constitution submodule).</w:t>
      </w:r>
      <w:r>
        <w:t xml:space="preserve"> </w:t>
      </w:r>
      <w:r>
        <w:t xml:space="preserve">Hosts the Docs Chain</w:t>
      </w:r>
      <w:r>
        <w:t xml:space="preserve"> </w:t>
      </w:r>
      <w:r>
        <w:t xml:space="preserve">engine reference + the universal anchor describing the mandate</w:t>
      </w:r>
      <w:r>
        <w:t xml:space="preserve"> </w:t>
      </w:r>
      <w:r>
        <w:t xml:space="preserve">Docs Chain satisfies. Project-agnostic.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Consumer (this and every other project).</w:t>
      </w:r>
      <w:r>
        <w:t xml:space="preserve"> </w:t>
      </w:r>
      <w:r>
        <w:t xml:space="preserve">Registers its own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, invokes the engine via the path the</w:t>
      </w:r>
      <w:r>
        <w:t xml:space="preserve"> </w:t>
      </w:r>
      <w:r>
        <w:t xml:space="preserve">constitution exposes, and lists its chains in its own docs.</w:t>
      </w:r>
    </w:p>
    <w:p>
      <w:pPr>
        <w:pStyle w:val="FirstParagraph"/>
      </w:pPr>
      <w:r>
        <w:t xml:space="preserve">A consuming project does NOT copy the engine; it references it at the</w:t>
      </w:r>
      <w:r>
        <w:t xml:space="preserve"> </w:t>
      </w:r>
      <w:r>
        <w:t xml:space="preserve">path the constitution exposes (the same pattern §11.4.80 uses for the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scripts — inherited by reference, never copied).</w:t>
      </w:r>
    </w:p>
    <w:p>
      <w:r>
        <w:pict>
          <v:rect style="width:0;height:1.5pt" o:hralign="center" o:hrstd="t" o:hr="t"/>
        </w:pict>
      </w:r>
    </w:p>
    <w:bookmarkEnd w:id="11"/>
    <w:bookmarkStart w:id="12" w:name="config-discovery-convention"/>
    <w:p>
      <w:pPr>
        <w:pStyle w:val="Heading2"/>
      </w:pPr>
      <w:r>
        <w:t xml:space="preserve">3. Config-discovery convention</w:t>
      </w:r>
    </w:p>
    <w:p>
      <w:pPr>
        <w:pStyle w:val="FirstParagraph"/>
      </w:pPr>
      <w:r>
        <w:rPr>
          <w:b/>
          <w:bCs/>
        </w:rPr>
        <w:t xml:space="preserve">Status: IMPLEMENTED (Phase 4 loader); Phase 6 distribution PLANNED</w:t>
      </w:r>
      <w:r>
        <w:rPr>
          <w:b/>
          <w:bCs/>
        </w:rPr>
        <w:t xml:space="preserve"> </w:t>
      </w:r>
      <w:r>
        <w:rPr>
          <w:b/>
          <w:bCs/>
        </w:rPr>
        <w:t xml:space="preserve">(operator-gated).</w:t>
      </w:r>
      <w:r>
        <w:t xml:space="preserve"> </w:t>
      </w:r>
      <w:r>
        <w:t xml:space="preserve">The loader resolves and validates contexts today; only</w:t>
      </w:r>
      <w:r>
        <w:t xml:space="preserve"> </w:t>
      </w:r>
      <w:r>
        <w:t xml:space="preserve">the submodule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the engine remains a Phase-6 step.</w:t>
      </w:r>
    </w:p>
    <w:p>
      <w:pPr>
        <w:pStyle w:val="BodyText"/>
      </w:pPr>
      <w:r>
        <w:t xml:space="preserve">The discovery convention a consuming project follows out of the box:</w:t>
      </w:r>
    </w:p>
    <w:p>
      <w:pPr>
        <w:pStyle w:val="Compact"/>
        <w:numPr>
          <w:ilvl w:val="0"/>
          <w:numId w:val="1002"/>
        </w:numPr>
      </w:pPr>
      <w:r>
        <w:t xml:space="preserve">Engine resolves contexts from</w:t>
      </w:r>
      <w:r>
        <w:t xml:space="preserve"> </w:t>
      </w:r>
      <w:r>
        <w:rPr>
          <w:rStyle w:val="VerbatimChar"/>
        </w:rPr>
        <w:t xml:space="preserve">&lt;project-root&gt;/.docs_chain/contexts/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*.yaml</w:t>
      </w:r>
      <w:r>
        <w:t xml:space="preserve"> </w:t>
      </w:r>
      <w:r>
        <w:t xml:space="preserve">is one independent context (ARCHITECTURE §9).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state.json</w:t>
      </w:r>
      <w:r>
        <w:t xml:space="preserve"> </w:t>
      </w:r>
      <w:r>
        <w:t xml:space="preserve">lives at</w:t>
      </w:r>
      <w:r>
        <w:t xml:space="preserve"> </w:t>
      </w:r>
      <w:r>
        <w:rPr>
          <w:rStyle w:val="VerbatimChar"/>
        </w:rPr>
        <w:t xml:space="preserve">&lt;project-root&gt;/.docs_chain/state.json</w:t>
      </w:r>
      <w:r>
        <w:t xml:space="preserve">,</w:t>
      </w:r>
      <w:r>
        <w:t xml:space="preserve"> </w:t>
      </w:r>
      <w:r>
        <w:t xml:space="preserve">gitignored, regenerated on demand (§11.4.77 — the regeneration</w:t>
      </w:r>
      <w:r>
        <w:t xml:space="preserve"> </w:t>
      </w:r>
      <w:r>
        <w:t xml:space="preserve">mechanism is</w:t>
      </w:r>
      <w:r>
        <w:t xml:space="preserve"> </w:t>
      </w:r>
      <w:r>
        <w:rPr>
          <w:rStyle w:val="VerbatimChar"/>
        </w:rPr>
        <w:t xml:space="preserve">docs_chain sync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docs_chain sync --all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docs_chain verify --all</w:t>
      </w:r>
      <w:r>
        <w:t xml:space="preserve"> </w:t>
      </w:r>
      <w:r>
        <w:t xml:space="preserve">walk every context</w:t>
      </w:r>
      <w:r>
        <w:t xml:space="preserve"> </w:t>
      </w:r>
      <w:r>
        <w:t xml:space="preserve">file; per-context commands take the context name.</w:t>
      </w:r>
    </w:p>
    <w:p>
      <w:pPr>
        <w:pStyle w:val="FirstParagraph"/>
      </w:pPr>
      <w:r>
        <w:t xml:space="preserve">No hardcoded project paths live in the engine — every path is supplied by</w:t>
      </w:r>
      <w:r>
        <w:t xml:space="preserve"> </w:t>
      </w:r>
      <w:r>
        <w:t xml:space="preserve">the consumer’s YAML (§11.4.28-B decoupling).</w:t>
      </w:r>
    </w:p>
    <w:p>
      <w:r>
        <w:pict>
          <v:rect style="width:0;height:1.5pt" o:hralign="center" o:hrstd="t" o:hr="t"/>
        </w:pict>
      </w:r>
    </w:p>
    <w:bookmarkEnd w:id="12"/>
    <w:bookmarkStart w:id="15" w:name="X0ffd9fac2fb8c11107a2043321af0cdec97c75b"/>
    <w:p>
      <w:pPr>
        <w:pStyle w:val="Heading2"/>
      </w:pPr>
      <w:r>
        <w:t xml:space="preserve">4. §11.4.x anchors Docs Chain satisfies / supersedes</w:t>
      </w:r>
    </w:p>
    <w:p>
      <w:pPr>
        <w:pStyle w:val="FirstParagraph"/>
      </w:pPr>
      <w:r>
        <w:t xml:space="preserve">Docs Chain is the mechanical engine behind a family of existing</w:t>
      </w:r>
      <w:r>
        <w:t xml:space="preserve"> </w:t>
      </w:r>
      <w:r>
        <w:t xml:space="preserve">documentation-sync mandates. Once a consuming project registers the</w:t>
      </w:r>
      <w:r>
        <w:t xml:space="preserve"> </w:t>
      </w:r>
      <w:r>
        <w:t xml:space="preserve">matching context (see</w:t>
      </w:r>
      <w:r>
        <w:t xml:space="preserve"> </w:t>
      </w:r>
      <w:hyperlink r:id="rId13">
        <w:r>
          <w:rPr>
            <w:rStyle w:val="VerbatimChar"/>
          </w:rPr>
          <w:t xml:space="preserve">USE_CASE_CATALOGUE.md</w:t>
        </w:r>
      </w:hyperlink>
      <w:r>
        <w:t xml:space="preserve">),</w:t>
      </w:r>
      <w:r>
        <w:t xml:space="preserve"> </w:t>
      </w:r>
      <w:r>
        <w:t xml:space="preserve">the engine enforces the anchor in place of the ad-hoc 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545"/>
        <w:gridCol w:w="311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What it mandates</w:t>
            </w:r>
          </w:p>
        </w:tc>
        <w:tc>
          <w:tcPr/>
          <w:p>
            <w:pPr>
              <w:pStyle w:val="Compact"/>
            </w:pPr>
            <w:r>
              <w:t xml:space="preserve">Docs Chain mechanism</w:t>
            </w:r>
          </w:p>
        </w:tc>
        <w:tc>
          <w:tcPr/>
          <w:p>
            <w:pPr>
              <w:pStyle w:val="Compact"/>
            </w:pPr>
            <w:r>
              <w:t xml:space="preserve">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§11.4.12</w:t>
            </w:r>
          </w:p>
        </w:tc>
        <w:tc>
          <w:tcPr/>
          <w:p>
            <w:pPr>
              <w:pStyle w:val="Compact"/>
            </w:pPr>
            <w:r>
              <w:t xml:space="preserve">Issues_Summary always-sync</w:t>
            </w:r>
          </w:p>
        </w:tc>
        <w:tc>
          <w:tcPr/>
          <w:p>
            <w:pPr>
              <w:pStyle w:val="Compact"/>
            </w:pPr>
            <w:r>
              <w:t xml:space="preserve">derive</w:t>
            </w:r>
            <w:r>
              <w:t xml:space="preserve"> </w:t>
            </w:r>
            <w:r>
              <w:rPr>
                <w:rStyle w:val="VerbatimChar"/>
              </w:rPr>
              <w:t xml:space="preserve">summary ← markdown</w:t>
            </w:r>
            <w:r>
              <w:t xml:space="preserve"> </w:t>
            </w:r>
            <w:r>
              <w:t xml:space="preserve">+ early-cutoff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§11.4.53</w:t>
            </w:r>
          </w:p>
        </w:tc>
        <w:tc>
          <w:tcPr/>
          <w:p>
            <w:pPr>
              <w:pStyle w:val="Compact"/>
            </w:pPr>
            <w:r>
              <w:t xml:space="preserve">Fixed_Summary parity</w:t>
            </w:r>
          </w:p>
        </w:tc>
        <w:tc>
          <w:tcPr/>
          <w:p>
            <w:pPr>
              <w:pStyle w:val="Compact"/>
            </w:pPr>
            <w:r>
              <w:t xml:space="preserve">derive</w:t>
            </w:r>
            <w:r>
              <w:t xml:space="preserve"> </w:t>
            </w:r>
            <w:r>
              <w:rPr>
                <w:rStyle w:val="VerbatimChar"/>
              </w:rPr>
              <w:t xml:space="preserve">fixed_summary ← Fixed.md</w:t>
            </w:r>
          </w:p>
        </w:tc>
        <w:tc>
          <w:tcPr/>
          <w:p>
            <w:pPr>
              <w:pStyle w:val="Compact"/>
            </w:pPr>
            <w:r>
              <w:t xml:space="preserve">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§11.4.45</w:t>
            </w:r>
          </w:p>
        </w:tc>
        <w:tc>
          <w:tcPr/>
          <w:p>
            <w:pPr>
              <w:pStyle w:val="Compact"/>
            </w:pPr>
            <w:r>
              <w:t xml:space="preserve">Status.md maintenance</w:t>
            </w:r>
          </w:p>
        </w:tc>
        <w:tc>
          <w:tcPr/>
          <w:p>
            <w:pPr>
              <w:pStyle w:val="Compact"/>
            </w:pPr>
            <w:r>
              <w:t xml:space="preserve">status-doc context</w:t>
            </w:r>
          </w:p>
        </w:tc>
        <w:tc>
          <w:tcPr/>
          <w:p>
            <w:pPr>
              <w:pStyle w:val="Compact"/>
            </w:pPr>
            <w:r>
              <w:t xml:space="preserve">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§11.4.56</w:t>
            </w:r>
          </w:p>
        </w:tc>
        <w:tc>
          <w:tcPr/>
          <w:p>
            <w:pPr>
              <w:pStyle w:val="Compact"/>
            </w:pPr>
            <w:r>
              <w:t xml:space="preserve">Status_Summary two-audience parity</w:t>
            </w:r>
          </w:p>
        </w:tc>
        <w:tc>
          <w:tcPr/>
          <w:p>
            <w:pPr>
              <w:pStyle w:val="Compact"/>
            </w:pPr>
            <w:r>
              <w:t xml:space="preserve">derive</w:t>
            </w:r>
            <w:r>
              <w:t xml:space="preserve"> </w:t>
            </w:r>
            <w:r>
              <w:rPr>
                <w:rStyle w:val="VerbatimChar"/>
              </w:rPr>
              <w:t xml:space="preserve">status_summary ← Status.md</w:t>
            </w:r>
          </w:p>
        </w:tc>
        <w:tc>
          <w:tcPr/>
          <w:p>
            <w:pPr>
              <w:pStyle w:val="Compact"/>
            </w:pPr>
            <w:r>
              <w:t xml:space="preserve">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§11.4.57</w:t>
            </w:r>
          </w:p>
        </w:tc>
        <w:tc>
          <w:tcPr/>
          <w:p>
            <w:pPr>
              <w:pStyle w:val="Compact"/>
            </w:pPr>
            <w:r>
              <w:t xml:space="preserve">README doc-link section</w:t>
            </w:r>
          </w:p>
        </w:tc>
        <w:tc>
          <w:tcPr/>
          <w:p>
            <w:pPr>
              <w:pStyle w:val="Compact"/>
            </w:pPr>
            <w:r>
              <w:t xml:space="preserve">multi-input derive into README</w:t>
            </w:r>
          </w:p>
        </w:tc>
        <w:tc>
          <w:tcPr/>
          <w:p>
            <w:pPr>
              <w:pStyle w:val="Compact"/>
            </w:pPr>
            <w:r>
              <w:t xml:space="preserve">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§11.4.59</w:t>
            </w:r>
          </w:p>
        </w:tc>
        <w:tc>
          <w:tcPr/>
          <w:p>
            <w:pPr>
              <w:pStyle w:val="Compact"/>
            </w:pPr>
            <w:r>
              <w:t xml:space="preserve">README always-sync export</w:t>
            </w:r>
          </w:p>
        </w:tc>
        <w:tc>
          <w:tcPr/>
          <w:p>
            <w:pPr>
              <w:pStyle w:val="Compact"/>
            </w:pPr>
            <w:r>
              <w:t xml:space="preserve">derive README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§11.4.60</w:t>
            </w:r>
          </w:p>
        </w:tc>
        <w:tc>
          <w:tcPr/>
          <w:p>
            <w:pPr>
              <w:pStyle w:val="Compact"/>
            </w:pPr>
            <w:r>
              <w:t xml:space="preserve">Documentation composite-sync</w:t>
            </w:r>
          </w:p>
        </w:tc>
        <w:tc>
          <w:tcPr/>
          <w:p>
            <w:pPr>
              <w:pStyle w:val="Compact"/>
            </w:pPr>
            <w:r>
              <w:t xml:space="preserve">the composite of all derive edges</w:t>
            </w:r>
          </w:p>
        </w:tc>
        <w:tc>
          <w:tcPr/>
          <w:p>
            <w:pPr>
              <w:pStyle w:val="Compact"/>
            </w:pPr>
            <w:r>
              <w:t xml:space="preserve">(a)–(h)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§11.4.65</w:t>
            </w:r>
          </w:p>
        </w:tc>
        <w:tc>
          <w:tcPr/>
          <w:p>
            <w:pPr>
              <w:pStyle w:val="Compact"/>
            </w:pPr>
            <w:r>
              <w:t xml:space="preserve">Universal markdown export</w:t>
            </w:r>
          </w:p>
        </w:tc>
        <w:tc>
          <w:tcPr/>
          <w:p>
            <w:pPr>
              <w:pStyle w:val="Compact"/>
            </w:pPr>
            <w:r>
              <w:t xml:space="preserve">derive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(e),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§11.4.86</w:t>
            </w:r>
          </w:p>
        </w:tc>
        <w:tc>
          <w:tcPr/>
          <w:p>
            <w:pPr>
              <w:pStyle w:val="Compact"/>
            </w:pPr>
            <w:r>
              <w:t xml:space="preserve">Roster/corpus auto-sync (fingerprint not mtime)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members-fingerprint</w:t>
            </w:r>
            <w:r>
              <w:t xml:space="preserve"> </w:t>
            </w:r>
            <w:r>
              <w:t xml:space="preserve">node + content-hash detection</w:t>
            </w:r>
          </w:p>
        </w:tc>
        <w:tc>
          <w:tcPr/>
          <w:p>
            <w:pPr>
              <w:pStyle w:val="Compact"/>
            </w:pPr>
            <w:r>
              <w:t xml:space="preserve">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§11.4.93</w:t>
            </w:r>
          </w:p>
        </w:tc>
        <w:tc>
          <w:tcPr/>
          <w:p>
            <w:pPr>
              <w:pStyle w:val="Compact"/>
            </w:pPr>
            <w:r>
              <w:t xml:space="preserve">Workable-items DB single source of truth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edge</w:t>
            </w:r>
            <w:r>
              <w:t xml:space="preserve"> </w:t>
            </w:r>
            <w:r>
              <w:rPr>
                <w:rStyle w:val="VerbatimChar"/>
              </w:rPr>
              <w:t xml:space="preserve">md ↔ sqlite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§11.4.95</w:t>
            </w:r>
          </w:p>
        </w:tc>
        <w:tc>
          <w:tcPr/>
          <w:p>
            <w:pPr>
              <w:pStyle w:val="Compact"/>
            </w:pPr>
            <w:r>
              <w:t xml:space="preserve">DB tracked + WAL-checkpoint commit</w:t>
            </w:r>
          </w:p>
        </w:tc>
        <w:tc>
          <w:tcPr/>
          <w:p>
            <w:pPr>
              <w:pStyle w:val="Compact"/>
            </w:pPr>
            <w:r>
              <w:t xml:space="preserve">atomic SQLite-txn commit phase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§12.10</w:t>
            </w:r>
          </w:p>
        </w:tc>
        <w:tc>
          <w:tcPr/>
          <w:p>
            <w:pPr>
              <w:pStyle w:val="Compact"/>
            </w:pPr>
            <w:r>
              <w:t xml:space="preserve">CONTINUATION maintenance</w:t>
            </w:r>
          </w:p>
        </w:tc>
        <w:tc>
          <w:tcPr/>
          <w:p>
            <w:pPr>
              <w:pStyle w:val="Compact"/>
            </w:pPr>
            <w:r>
              <w:t xml:space="preserve">derive CONTINUATION exports</w:t>
            </w:r>
          </w:p>
        </w:tc>
        <w:tc>
          <w:tcPr/>
          <w:p>
            <w:pPr>
              <w:pStyle w:val="Compact"/>
            </w:pPr>
            <w:r>
              <w:t xml:space="preserve">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§11.4.44</w:t>
            </w:r>
          </w:p>
        </w:tc>
        <w:tc>
          <w:tcPr/>
          <w:p>
            <w:pPr>
              <w:pStyle w:val="Compact"/>
            </w:pPr>
            <w:r>
              <w:t xml:space="preserve">Document revision header</w:t>
            </w:r>
          </w:p>
        </w:tc>
        <w:tc>
          <w:tcPr/>
          <w:p>
            <w:pPr>
              <w:pStyle w:val="Compact"/>
            </w:pPr>
            <w:r>
              <w:t xml:space="preserve">source-author owns header; engine keeps exports in sync</w:t>
            </w:r>
          </w:p>
        </w:tc>
        <w:tc>
          <w:tcPr/>
          <w:p>
            <w:pPr>
              <w:pStyle w:val="Compact"/>
            </w:pPr>
            <w:r>
              <w:t xml:space="preserve">(a)–(h)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§9.2</w:t>
            </w:r>
          </w:p>
        </w:tc>
        <w:tc>
          <w:tcPr/>
          <w:p>
            <w:pPr>
              <w:pStyle w:val="Compact"/>
            </w:pPr>
            <w:r>
              <w:t xml:space="preserve">Zero-risk data safety</w:t>
            </w:r>
          </w:p>
        </w:tc>
        <w:tc>
          <w:tcPr/>
          <w:p>
            <w:pPr>
              <w:pStyle w:val="Compact"/>
            </w:pPr>
            <w:r>
              <w:t xml:space="preserve">atomic-rename commit + rollback + optional hardlink backup</w:t>
            </w:r>
          </w:p>
        </w:tc>
        <w:tc>
          <w:tcPr/>
          <w:p>
            <w:pPr>
              <w:pStyle w:val="Compact"/>
            </w:pPr>
            <w:r>
              <w:t xml:space="preserve">engine-wide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</w:t>
            </w:r>
          </w:p>
        </w:tc>
        <w:tc>
          <w:tcPr/>
          <w:p>
            <w:pPr>
              <w:pStyle w:val="Compact"/>
            </w:pPr>
            <w:r>
              <w:t xml:space="preserve">No-guessing</w:t>
            </w:r>
          </w:p>
        </w:tc>
        <w:tc>
          <w:tcPr/>
          <w:p>
            <w:pPr>
              <w:pStyle w:val="Compact"/>
            </w:pPr>
            <w:r>
              <w:t xml:space="preserve">both-dirty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→ conflict (exit 2), never silent merge</w:t>
            </w:r>
          </w:p>
        </w:tc>
        <w:tc>
          <w:tcPr/>
          <w:p>
            <w:pPr>
              <w:pStyle w:val="Compact"/>
            </w:pPr>
            <w:r>
              <w:t xml:space="preserve">engine-wide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§11.4.50</w:t>
            </w:r>
          </w:p>
        </w:tc>
        <w:tc>
          <w:tcPr/>
          <w:p>
            <w:pPr>
              <w:pStyle w:val="Compact"/>
            </w:pPr>
            <w:r>
              <w:t xml:space="preserve">Deterministic 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is the deterministic sink-side check; byte-stable transforms</w:t>
            </w:r>
          </w:p>
        </w:tc>
        <w:tc>
          <w:tcPr/>
          <w:p>
            <w:pPr>
              <w:pStyle w:val="Compact"/>
            </w:pPr>
            <w:r>
              <w:t xml:space="preserve">engine-wide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§11.4.69</w:t>
            </w:r>
          </w:p>
        </w:tc>
        <w:tc>
          <w:tcPr/>
          <w:p>
            <w:pPr>
              <w:pStyle w:val="Compact"/>
            </w:pPr>
            <w:r>
              <w:t xml:space="preserve">Sink-side positive-evidence</w:t>
            </w:r>
          </w:p>
        </w:tc>
        <w:tc>
          <w:tcPr/>
          <w:p>
            <w:pPr>
              <w:pStyle w:val="Compact"/>
            </w:pPr>
            <w:r>
              <w:t xml:space="preserve">per-run evidence to</w:t>
            </w:r>
            <w:r>
              <w:t xml:space="preserve"> </w:t>
            </w:r>
            <w:r>
              <w:rPr>
                <w:rStyle w:val="VerbatimChar"/>
              </w:rPr>
              <w:t xml:space="preserve">qa-results/docs_chain/&lt;run-id&gt;/</w:t>
            </w:r>
          </w:p>
        </w:tc>
        <w:tc>
          <w:tcPr/>
          <w:p>
            <w:pPr>
              <w:pStyle w:val="Compact"/>
            </w:pPr>
            <w:r>
              <w:t xml:space="preserve">engine-wide</w:t>
            </w:r>
          </w:p>
        </w:tc>
      </w:tr>
    </w:tbl>
    <w:p>
      <w:pPr>
        <w:pStyle w:val="BodyText"/>
      </w:pPr>
      <w:r>
        <w:t xml:space="preserve">Docs Chain does NOT replace the authoring discipline of any anchor (e.g.</w:t>
      </w:r>
      <w:r>
        <w:t xml:space="preserve"> </w:t>
      </w:r>
      <w:r>
        <w:t xml:space="preserve">the operator still writes the §11.4.44 revision header into the source);</w:t>
      </w:r>
      <w:r>
        <w:t xml:space="preserve"> </w:t>
      </w:r>
      <w:r>
        <w:t xml:space="preserve">it replaces the</w:t>
      </w:r>
      <w:r>
        <w:t xml:space="preserve"> </w:t>
      </w:r>
      <w:r>
        <w:rPr>
          <w:b/>
          <w:bCs/>
        </w:rPr>
        <w:t xml:space="preserve">mechanical sync</w:t>
      </w:r>
      <w:r>
        <w:t xml:space="preserve"> </w:t>
      </w:r>
      <w:r>
        <w:t xml:space="preserve">the anchor requires.</w:t>
      </w:r>
    </w:p>
    <w:p>
      <w:pPr>
        <w:pStyle w:val="BodyText"/>
      </w:pPr>
      <w:r>
        <w:rPr>
          <w:b/>
          <w:bCs/>
        </w:rPr>
        <w:t xml:space="preserve">Worked consumer proof.</w:t>
      </w:r>
      <w:r>
        <w:t xml:space="preserve"> </w:t>
      </w:r>
      <w:r>
        <w:t xml:space="preserve">The first downstream consumer (Herald) wired</w:t>
      </w:r>
      <w:r>
        <w:t xml:space="preserve"> </w:t>
      </w:r>
      <w:r>
        <w:t xml:space="preserve">its full 66-doc Markdown→HTML/PDF/DOCX corpus to this engine — the §11.4.65</w:t>
      </w:r>
      <w:r>
        <w:t xml:space="preserve"> </w:t>
      </w:r>
      <w:r>
        <w:t xml:space="preserve">universal-export anchor enforced by</w:t>
      </w:r>
      <w:r>
        <w:t xml:space="preserve"> </w:t>
      </w:r>
      <w:r>
        <w:rPr>
          <w:rStyle w:val="VerbatimChar"/>
        </w:rPr>
        <w:t xml:space="preserve">docs_chain verify</w:t>
      </w:r>
      <w:r>
        <w:t xml:space="preserve"> </w:t>
      </w:r>
      <w:r>
        <w:t xml:space="preserve">(exit 0 across 66</w:t>
      </w:r>
      <w:r>
        <w:t xml:space="preserve"> </w:t>
      </w:r>
      <w:r>
        <w:t xml:space="preserve">docs, HTML byte-identical to the prior ad-hoc exporter). The non-obvious</w:t>
      </w:r>
      <w:r>
        <w:t xml:space="preserve"> </w:t>
      </w:r>
      <w:r>
        <w:t xml:space="preserve">part — keeping</w:t>
      </w:r>
      <w:r>
        <w:t xml:space="preserve"> </w:t>
      </w:r>
      <w:r>
        <w:rPr>
          <w:b/>
          <w:bCs/>
        </w:rPr>
        <w:t xml:space="preserve">relative-asset</w:t>
      </w:r>
      <w:r>
        <w:t xml:space="preserve"> </w:t>
      </w:r>
      <w:r>
        <w:t xml:space="preserve">exports byte-stable under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when</w:t>
      </w:r>
      <w:r>
        <w:t xml:space="preserve"> </w:t>
      </w:r>
      <w:r>
        <w:t xml:space="preserve">Docs Chain stages inputs to temp files with cwd = projectRoot — is</w:t>
      </w:r>
      <w:r>
        <w:t xml:space="preserve"> </w:t>
      </w:r>
      <w:r>
        <w:t xml:space="preserve">captured as the canonical pattern in</w:t>
      </w:r>
      <w:r>
        <w:t xml:space="preserve"> </w:t>
      </w:r>
      <w:hyperlink r:id="rId14">
        <w:r>
          <w:rPr>
            <w:rStyle w:val="VerbatimChar"/>
          </w:rPr>
          <w:t xml:space="preserve">USE_CASE_CATALOGUE.md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Appendix Z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Xe91a4f9dd90165c7546f91ff242331b553805ed"/>
    <w:p>
      <w:pPr>
        <w:pStyle w:val="Heading2"/>
      </w:pPr>
      <w:r>
        <w:t xml:space="preserve">5. What a consuming project gets for free vs must register</w:t>
      </w:r>
    </w:p>
    <w:bookmarkStart w:id="16" w:name="X4b216e23009157a9cf699f6d7bf374d6c3e9525"/>
    <w:p>
      <w:pPr>
        <w:pStyle w:val="Heading3"/>
      </w:pPr>
      <w:r>
        <w:t xml:space="preserve">5.1 For free (provided by the constitution submodule once Phase 6 lands)</w:t>
      </w:r>
    </w:p>
    <w:p>
      <w:pPr>
        <w:pStyle w:val="Compact"/>
        <w:numPr>
          <w:ilvl w:val="0"/>
          <w:numId w:val="1003"/>
        </w:numPr>
      </w:pPr>
      <w:r>
        <w:t xml:space="preserve">The Docs Chain engine (Go binary + builtins: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colorize-html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members-fingerprint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gen-summary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md-to-sqlite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sqlite-to-md</w:t>
      </w:r>
      <w:r>
        <w:t xml:space="preserve"> </w:t>
      </w:r>
      <w:r>
        <w:t xml:space="preserve">adapters).</w:t>
      </w:r>
    </w:p>
    <w:p>
      <w:pPr>
        <w:pStyle w:val="Compact"/>
        <w:numPr>
          <w:ilvl w:val="0"/>
          <w:numId w:val="1003"/>
        </w:numPr>
      </w:pPr>
      <w:r>
        <w:t xml:space="preserve">The CLI and exit-code contract: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(fsnotify daemon) are ALL IMPLEMENTED today (the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daemon is</w:t>
      </w:r>
      <w:r>
        <w:t xml:space="preserve"> </w:t>
      </w:r>
      <w:r>
        <w:t xml:space="preserve">proven by the full-automation test</w:t>
      </w:r>
      <w:r>
        <w:t xml:space="preserve"> </w:t>
      </w:r>
      <w:r>
        <w:rPr>
          <w:rStyle w:val="VerbatimChar"/>
        </w:rPr>
        <w:t xml:space="preserve">cmd/docs_chain/watch_test.go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Atomic-commit + rollback + conflict semantics (ARCHITECTURE §5, §8).</w:t>
      </w:r>
    </w:p>
    <w:p>
      <w:pPr>
        <w:pStyle w:val="Compact"/>
        <w:numPr>
          <w:ilvl w:val="0"/>
          <w:numId w:val="1003"/>
        </w:numPr>
      </w:pPr>
      <w:r>
        <w:t xml:space="preserve">Content-hash change detection (§11.4.86 not-mtime).</w:t>
      </w:r>
    </w:p>
    <w:p>
      <w:pPr>
        <w:pStyle w:val="Compact"/>
        <w:numPr>
          <w:ilvl w:val="0"/>
          <w:numId w:val="1003"/>
        </w:numPr>
      </w:pPr>
      <w:r>
        <w:t xml:space="preserve">The use-case recipe catalogue (this submodule’s</w:t>
      </w:r>
      <w:r>
        <w:t xml:space="preserve"> </w:t>
      </w:r>
      <w:hyperlink r:id="rId13">
        <w:r>
          <w:rPr>
            <w:rStyle w:val="VerbatimChar"/>
          </w:rPr>
          <w:t xml:space="preserve">USE_CASE_CATALOGUE.md</w:t>
        </w:r>
      </w:hyperlink>
      <w:r>
        <w:t xml:space="preserve">) as a starting point.</w:t>
      </w:r>
    </w:p>
    <w:bookmarkEnd w:id="16"/>
    <w:bookmarkStart w:id="17" w:name="must-register-the-consumer-owns"/>
    <w:p>
      <w:pPr>
        <w:pStyle w:val="Heading3"/>
      </w:pPr>
      <w:r>
        <w:t xml:space="preserve">5.2 Must register (the consumer owns)</w:t>
      </w:r>
    </w:p>
    <w:p>
      <w:pPr>
        <w:pStyle w:val="Compact"/>
        <w:numPr>
          <w:ilvl w:val="0"/>
          <w:numId w:val="1004"/>
        </w:numPr>
      </w:pPr>
      <w:r>
        <w:t xml:space="preserve">Its own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 </w:t>
      </w:r>
      <w:r>
        <w:t xml:space="preserve">describing its chains.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exec:</w:t>
      </w:r>
      <w:r>
        <w:t xml:space="preserve"> </w:t>
      </w:r>
      <w:r>
        <w:t xml:space="preserve">transform scripts its contexts reference (during migration —</w:t>
      </w:r>
      <w:r>
        <w:t xml:space="preserve"> </w:t>
      </w:r>
      <w:r>
        <w:t xml:space="preserve">its existing generators).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entries for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*.docs_chain.tmp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CI / pre-build wiring that calls</w:t>
      </w:r>
      <w:r>
        <w:t xml:space="preserve"> </w:t>
      </w:r>
      <w:r>
        <w:rPr>
          <w:rStyle w:val="VerbatimChar"/>
        </w:rPr>
        <w:t xml:space="preserve">docs_chain verify</w:t>
      </w:r>
      <w:r>
        <w:t xml:space="preserve"> </w:t>
      </w:r>
      <w:r>
        <w:t xml:space="preserve">(operator-gated</w:t>
      </w:r>
      <w:r>
        <w:t xml:space="preserve"> </w:t>
      </w:r>
      <w:r>
        <w:t xml:space="preserve">where it edits a gate file — Phase 7.4).</w:t>
      </w:r>
    </w:p>
    <w:p>
      <w:pPr>
        <w:pStyle w:val="Compact"/>
        <w:numPr>
          <w:ilvl w:val="0"/>
          <w:numId w:val="1004"/>
        </w:numPr>
      </w:pPr>
      <w:r>
        <w:t xml:space="preserve">Any project-specific node kinds beyond the universal set (rare).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out-of-the-box-adoption-checklist"/>
    <w:p>
      <w:pPr>
        <w:pStyle w:val="Heading2"/>
      </w:pPr>
      <w:r>
        <w:t xml:space="preserve">6. Out-of-the-box adoption checklist</w:t>
      </w:r>
    </w:p>
    <w:p>
      <w:pPr>
        <w:pStyle w:val="FirstParagraph"/>
      </w:pPr>
      <w:r>
        <w:rPr>
          <w:b/>
          <w:bCs/>
        </w:rPr>
        <w:t xml:space="preserve">Status: PARTIALLY USABLE TODAY — the Phase-4 CLI has landed, so steps 2–6</w:t>
      </w:r>
      <w:r>
        <w:rPr>
          <w:b/>
          <w:bCs/>
        </w:rPr>
        <w:t xml:space="preserve"> </w:t>
      </w:r>
      <w:r>
        <w:rPr>
          <w:b/>
          <w:bCs/>
        </w:rPr>
        <w:t xml:space="preserve">work now against a by-reference Projects-root sibling checkout (as Herald does);</w:t>
      </w:r>
      <w:r>
        <w:rPr>
          <w:b/>
          <w:bCs/>
        </w:rPr>
        <w:t xml:space="preserve"> </w:t>
      </w:r>
      <w:r>
        <w:rPr>
          <w:b/>
          <w:bCs/>
        </w:rPr>
        <w:t xml:space="preserve">only the Phase-6 constitution-submodule distribution (a turnkey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submodule</w:t>
      </w:r>
      <w:r>
        <w:rPr>
          <w:b/>
          <w:bCs/>
        </w:rPr>
        <w:t xml:space="preserve"> </w:t>
      </w:r>
      <w:r>
        <w:rPr>
          <w:b/>
          <w:bCs/>
        </w:rPr>
        <w:t xml:space="preserve">pointer) remains PLANNED + OPERATOR-GATED.</w:t>
      </w:r>
    </w:p>
    <w:p>
      <w:pPr>
        <w:pStyle w:val="BodyText"/>
      </w:pPr>
      <w:r>
        <w:t xml:space="preserve">A project follows these steps to start using Docs Chain:</w:t>
      </w:r>
    </w:p>
    <w:p>
      <w:pPr>
        <w:pStyle w:val="Compact"/>
        <w:numPr>
          <w:ilvl w:val="0"/>
          <w:numId w:val="1005"/>
        </w:numPr>
      </w:pPr>
      <w:r>
        <w:t xml:space="preserve">Inherit the constitution submodule (already done by every governed</w:t>
      </w:r>
      <w:r>
        <w:t xml:space="preserve"> </w:t>
      </w:r>
      <w:r>
        <w:t xml:space="preserve">project).</w:t>
      </w:r>
    </w:p>
    <w:p>
      <w:pPr>
        <w:pStyle w:val="Compact"/>
        <w:numPr>
          <w:ilvl w:val="0"/>
          <w:numId w:val="1005"/>
        </w:numPr>
      </w:pPr>
      <w:r>
        <w:t xml:space="preserve">Build / obtain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binary (ARCHITECTURE §11; USER_GUIDE</w:t>
      </w:r>
      <w:r>
        <w:t xml:space="preserve"> </w:t>
      </w:r>
      <w:r>
        <w:t xml:space="preserve">§3).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mkdir -p .docs_chain/contexts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*.docs_chain.tmp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Copy the relevant recipes from</w:t>
      </w:r>
      <w:r>
        <w:t xml:space="preserve"> </w:t>
      </w:r>
      <w:hyperlink r:id="rId13">
        <w:r>
          <w:rPr>
            <w:rStyle w:val="VerbatimChar"/>
          </w:rPr>
          <w:t xml:space="preserve">USE_CASE_CATALOGUE.md</w:t>
        </w:r>
      </w:hyperlink>
      <w:r>
        <w:t xml:space="preserve">, adjusting paths.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docs_chain doctor</w:t>
      </w:r>
      <w:r>
        <w:t xml:space="preserve"> </w:t>
      </w:r>
      <w:r>
        <w:t xml:space="preserve">to validate every context.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docs_chain sync --all</w:t>
      </w:r>
      <w:r>
        <w:t xml:space="preserve"> </w:t>
      </w:r>
      <w:r>
        <w:t xml:space="preserve">to bring everything in sync; inspect any</w:t>
      </w:r>
      <w:r>
        <w:t xml:space="preserve"> </w:t>
      </w:r>
      <w:r>
        <w:t xml:space="preserve">conflicts (USER_GUIDE §9).</w:t>
      </w:r>
    </w:p>
    <w:p>
      <w:pPr>
        <w:pStyle w:val="Compact"/>
        <w:numPr>
          <w:ilvl w:val="0"/>
          <w:numId w:val="1005"/>
        </w:numPr>
      </w:pPr>
      <w:r>
        <w:t xml:space="preserve">Wire</w:t>
      </w:r>
      <w:r>
        <w:t xml:space="preserve"> </w:t>
      </w:r>
      <w:r>
        <w:rPr>
          <w:rStyle w:val="VerbatimChar"/>
        </w:rPr>
        <w:t xml:space="preserve">docs_chain verify --all</w:t>
      </w:r>
      <w:r>
        <w:t xml:space="preserve"> </w:t>
      </w:r>
      <w:r>
        <w:t xml:space="preserve">into CI / the pre-build gate</w:t>
      </w:r>
      <w:r>
        <w:t xml:space="preserve"> </w:t>
      </w:r>
      <w:r>
        <w:t xml:space="preserve">(operator-gated where it edits a gate file).</w:t>
      </w:r>
    </w:p>
    <w:p>
      <w:pPr>
        <w:pStyle w:val="Compact"/>
        <w:numPr>
          <w:ilvl w:val="0"/>
          <w:numId w:val="1005"/>
        </w:numPr>
      </w:pPr>
      <w:r>
        <w:t xml:space="preserve">Optionally run</w:t>
      </w:r>
      <w:r>
        <w:t xml:space="preserve"> </w:t>
      </w:r>
      <w:r>
        <w:rPr>
          <w:rStyle w:val="VerbatimChar"/>
        </w:rPr>
        <w:t xml:space="preserve">docs_chain watch</w:t>
      </w:r>
      <w:r>
        <w:t xml:space="preserve"> </w:t>
      </w:r>
      <w:r>
        <w:t xml:space="preserve">during interactive development.</w:t>
      </w:r>
    </w:p>
    <w:p>
      <w:r>
        <w:pict>
          <v:rect style="width:0;height:1.5pt" o:hralign="center" o:hrstd="t" o:hr="t"/>
        </w:pict>
      </w:r>
    </w:p>
    <w:bookmarkEnd w:id="19"/>
    <w:bookmarkStart w:id="20" w:name="X1df3c567ecd2bb379379c2f309c0c4f3f9cae6f"/>
    <w:p>
      <w:pPr>
        <w:pStyle w:val="Heading2"/>
      </w:pPr>
      <w:r>
        <w:t xml:space="preserve">7. Phase-6 governance integration (operator-gated — described, not done)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Phase 6, the</w:t>
      </w:r>
      <w:r>
        <w:t xml:space="preserve"> </w:t>
      </w:r>
      <w:r>
        <w:t xml:space="preserve">operator (NOT an agent) performs:</w:t>
      </w:r>
    </w:p>
    <w:p>
      <w:pPr>
        <w:pStyle w:val="Compact"/>
        <w:numPr>
          <w:ilvl w:val="0"/>
          <w:numId w:val="1006"/>
        </w:numPr>
      </w:pPr>
      <w:r>
        <w:t xml:space="preserve">(6.1) create</w:t>
      </w:r>
      <w:r>
        <w:t xml:space="preserve"> </w:t>
      </w:r>
      <w:r>
        <w:rPr>
          <w:rStyle w:val="VerbatimChar"/>
        </w:rPr>
        <w:t xml:space="preserve">vasic-digital/docs_chain</w:t>
      </w:r>
      <w:r>
        <w:t xml:space="preserve"> </w:t>
      </w:r>
      <w:r>
        <w:t xml:space="preserve">on GitHub + GitLab via gh / glab</w:t>
      </w:r>
      <w:r>
        <w:t xml:space="preserve"> </w:t>
      </w:r>
      <w:r>
        <w:t xml:space="preserve">(§11.4.66 — agent must not create remotes).</w:t>
      </w:r>
    </w:p>
    <w:p>
      <w:pPr>
        <w:pStyle w:val="Compact"/>
        <w:numPr>
          <w:ilvl w:val="0"/>
          <w:numId w:val="1006"/>
        </w:numPr>
      </w:pPr>
      <w:r>
        <w:t xml:space="preserve">(6.2)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recipes + multi-mirror push (§11.4.36 / §2.1).</w:t>
      </w:r>
    </w:p>
    <w:p>
      <w:pPr>
        <w:pStyle w:val="Compact"/>
        <w:numPr>
          <w:ilvl w:val="0"/>
          <w:numId w:val="1006"/>
        </w:numPr>
      </w:pPr>
      <w:r>
        <w:t xml:space="preserve">(6.3) add the docs_chain submodule to the constitution submodule</w:t>
      </w:r>
      <w:r>
        <w:t xml:space="preserve"> </w:t>
      </w:r>
      <w:r>
        <w:t xml:space="preserve">(operator authorises the governance edit).</w:t>
      </w:r>
    </w:p>
    <w:p>
      <w:pPr>
        <w:pStyle w:val="Compact"/>
        <w:numPr>
          <w:ilvl w:val="0"/>
          <w:numId w:val="1006"/>
        </w:numPr>
      </w:pPr>
      <w:r>
        <w:t xml:space="preserve">(6.4) governance-file integration — the new anchor + propagation gate in</w:t>
      </w:r>
      <w:r>
        <w:t xml:space="preserve"> </w:t>
      </w:r>
      <w:r>
        <w:t xml:space="preserve">Constitution.md / CLAUDE.md / AGENTS.md / QWEN.md (§11.4.35 / §11.4.26 —</w:t>
      </w:r>
      <w:r>
        <w:t xml:space="preserve"> </w:t>
      </w:r>
      <w:r>
        <w:t xml:space="preserve">operator edits governance).</w:t>
      </w:r>
    </w:p>
    <w:p>
      <w:pPr>
        <w:pStyle w:val="Compact"/>
        <w:numPr>
          <w:ilvl w:val="0"/>
          <w:numId w:val="1006"/>
        </w:numPr>
      </w:pPr>
      <w:r>
        <w:t xml:space="preserve">(6.5)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manifest (§11.4.31), plus the cross-project</w:t>
      </w:r>
      <w:r>
        <w:t xml:space="preserve"> </w:t>
      </w:r>
      <w:r>
        <w:t xml:space="preserve">bootstrap Challenge that proves a fresh consumer can register a chain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works with captured wire-evidence.</w:t>
      </w:r>
    </w:p>
    <w:p>
      <w:pPr>
        <w:pStyle w:val="FirstParagraph"/>
      </w:pPr>
      <w:r>
        <w:t xml:space="preserve">This documentation set is the agent-executable companion to those</w:t>
      </w:r>
      <w:r>
        <w:t xml:space="preserve"> </w:t>
      </w:r>
      <w:r>
        <w:t xml:space="preserve">operator-gated steps; it carries no governance edits itself.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USE_CASE_CATALOGUE.md" TargetMode="External" /><Relationship Type="http://schemas.openxmlformats.org/officeDocument/2006/relationships/hyperlink" Id="rId14" Target="USE_CASE_CATALOGUE.md#appendix-z--worked-consumer-example-hera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USE_CASE_CATALOGUE.md" TargetMode="External" /><Relationship Type="http://schemas.openxmlformats.org/officeDocument/2006/relationships/hyperlink" Id="rId14" Target="USE_CASE_CATALOGUE.md#appendix-z--worked-consumer-example-hera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CONSTITUTION_INTEGRATION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