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3" w:name="docs-chain"/>
    <w:p>
      <w:pPr>
        <w:pStyle w:val="Heading1"/>
      </w:pPr>
      <w:r>
        <w:t xml:space="preserve">Docs Chain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Docs Chain Phases 1–3 plus the Phase-4 config loader + CLI IMPLEMENTED + tested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internal/adapter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internal/orchestrator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internal/runner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cmd/docs_chain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passes). The Phase-4 fsnotify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daemon and Phases 5–7 remain PLANNED. This README and the docs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mark each capability IMPLEMENTED vs PLANNED and do not claim working behaviour that is not yet built (§11.4.6).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Docs Chain is a universal, Go-implemented,</w:t>
      </w:r>
      <w:r>
        <w:t xml:space="preserve"> </w:t>
      </w:r>
      <w:r>
        <w:rPr>
          <w:b/>
          <w:bCs/>
        </w:rPr>
        <w:t xml:space="preserve">bidirectional</w:t>
      </w:r>
      <w:r>
        <w:rPr>
          <w:b/>
          <w:bCs/>
        </w:rPr>
        <w:t xml:space="preserve"> </w:t>
      </w:r>
      <w:r>
        <w:rPr>
          <w:b/>
          <w:bCs/>
        </w:rPr>
        <w:t xml:space="preserve">document-and-database dependency-propagation engine</w:t>
      </w:r>
      <w:r>
        <w:t xml:space="preserve">. When any member of</w:t>
      </w:r>
      <w:r>
        <w:t xml:space="preserve"> </w:t>
      </w:r>
      <w:r>
        <w:t xml:space="preserve">a registered chain changes — a Markdown source, an HTML/PDF export, or a</w:t>
      </w:r>
      <w:r>
        <w:t xml:space="preserve"> </w:t>
      </w:r>
      <w:r>
        <w:t xml:space="preserve">SQLite database — Docs Chain detects the change by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 </w:t>
      </w:r>
      <w:r>
        <w:t xml:space="preserve">(not</w:t>
      </w:r>
      <w:r>
        <w:t xml:space="preserve"> </w:t>
      </w:r>
      <w:r>
        <w:t xml:space="preserve">mtime) and propagates it through every connected member in every declared</w:t>
      </w:r>
      <w:r>
        <w:t xml:space="preserve"> </w:t>
      </w:r>
      <w:r>
        <w:t xml:space="preserve">direction, regenerating and re-exporting atomically, so no tracked</w:t>
      </w:r>
      <w:r>
        <w:t xml:space="preserve"> </w:t>
      </w:r>
      <w:r>
        <w:t xml:space="preserve">artefact can fall out of sync.</w:t>
      </w:r>
    </w:p>
    <w:p>
      <w:pPr>
        <w:pStyle w:val="BodyText"/>
      </w:pPr>
      <w:r>
        <w:t xml:space="preserve">It is the mechanical successor to the project’s ad-hoc documentation-sync</w:t>
      </w:r>
      <w:r>
        <w:t xml:space="preserve"> </w:t>
      </w:r>
      <w:r>
        <w:t xml:space="preserve">scripts. It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</w:t>
      </w:r>
      <w:r>
        <w:t xml:space="preserve"> </w:t>
      </w:r>
      <w:r>
        <w:t xml:space="preserve">a core part of the HelixConstitution submodule so any project adopts it</w:t>
      </w:r>
      <w:r>
        <w:t xml:space="preserve"> </w:t>
      </w:r>
      <w:r>
        <w:t xml:space="preserve">out of the box and registers its own chains via per-context YAML.</w:t>
      </w:r>
    </w:p>
    <w:bookmarkStart w:id="9" w:name="model-in-one-line"/>
    <w:p>
      <w:pPr>
        <w:pStyle w:val="Heading2"/>
      </w:pPr>
      <w:r>
        <w:t xml:space="preserve">Model in one line</w:t>
      </w:r>
    </w:p>
    <w:p>
      <w:pPr>
        <w:pStyle w:val="FirstParagraph"/>
      </w:pPr>
      <w:r>
        <w:t xml:space="preserve">Salsa-style content-hashed incremental recomputation over a DAG, with</w:t>
      </w:r>
      <w:r>
        <w:t xml:space="preserve"> </w:t>
      </w:r>
      <w:r>
        <w:t xml:space="preserve">Kahn topological ordering, early-cutoff, declared-authority 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edges, and atomic-rename + SQLite-transaction commit.</w:t>
      </w:r>
    </w:p>
    <w:bookmarkEnd w:id="9"/>
    <w:bookmarkStart w:id="12" w:name="implementation-status"/>
    <w:p>
      <w:pPr>
        <w:pStyle w:val="Heading2"/>
      </w:pPr>
      <w:r>
        <w:t xml:space="preserve">Implementation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52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Research + design + this documentation</w:t>
            </w:r>
          </w:p>
        </w:tc>
        <w:tc>
          <w:tcPr/>
          <w:p>
            <w:pPr>
              <w:pStyle w:val="Compact"/>
            </w:pPr>
            <w:r>
              <w:t xml:space="preserve">Done (design artefacts)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Core DAG + content-hash 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internal/graph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Node adapters + transforms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internal/adapter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Propagation orchestrator + atomicity (filesystem/SQLite)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internal/orchestrator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Config-driven multi-context + CLI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cmd/docs_chain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/</w:t>
            </w:r>
            <w:r>
              <w:rPr>
                <w:rStyle w:val="VerbatimChar"/>
              </w:rPr>
              <w:t xml:space="preserve">verify</w:t>
            </w:r>
            <w:r>
              <w:t xml:space="preserve">/</w:t>
            </w:r>
            <w:r>
              <w:rPr>
                <w:rStyle w:val="VerbatimChar"/>
              </w:rPr>
              <w:t xml:space="preserve">doctor</w:t>
            </w:r>
            <w:r>
              <w:t xml:space="preserve">/</w:t>
            </w:r>
            <w:r>
              <w:rPr>
                <w:rStyle w:val="VerbatimChar"/>
              </w:rPr>
              <w:t xml:space="preserve">graph</w:t>
            </w:r>
            <w:r>
              <w:t xml:space="preserve">). The fsnotify</w:t>
            </w:r>
            <w:r>
              <w:t xml:space="preserve"> 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 remains PLANNED.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Comprehensive test suite (beyond the Phase 1–3 package tests)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Constitution-submodule integration + repo creation</w:t>
            </w:r>
          </w:p>
        </w:tc>
        <w:tc>
          <w:tcPr/>
          <w:p>
            <w:pPr>
              <w:pStyle w:val="Compact"/>
            </w:pPr>
            <w:r>
              <w:t xml:space="preserve">PLANNED — OPERATOR-GATED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ATMOSphere wiring + retire ad-hoc scripts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Start w:id="10" w:name="X2ef1cb05e63d960bfc25053575cdd9e6287985f"/>
    <w:p>
      <w:pPr>
        <w:pStyle w:val="Heading3"/>
      </w:pPr>
      <w:r>
        <w:t xml:space="preserve">What is IMPLEMENTED today (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internal/hash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Hasher</w:t>
      </w:r>
      <w:r>
        <w:t xml:space="preserve"> </w:t>
      </w:r>
      <w:r>
        <w:t xml:space="preserve">interface +</w:t>
      </w:r>
      <w:r>
        <w:t xml:space="preserve"> </w:t>
      </w:r>
      <w:r>
        <w:rPr>
          <w:rStyle w:val="VerbatimChar"/>
        </w:rPr>
        <w:t xml:space="preserve">ByteContentHasher</w:t>
      </w:r>
      <w:r>
        <w:t xml:space="preserve"> </w:t>
      </w:r>
      <w:r>
        <w:t xml:space="preserve">(LF</w:t>
      </w:r>
      <w:r>
        <w:t xml:space="preserve"> </w:t>
      </w:r>
      <w:r>
        <w:t xml:space="preserve">normalization, trailing-whitespace strip, single trailing newline) so</w:t>
      </w:r>
      <w:r>
        <w:t xml:space="preserve"> </w:t>
      </w:r>
      <w:r>
        <w:t xml:space="preserve">semantically-equivalent inputs collide by design; plus the sorted</w:t>
      </w:r>
      <w:r>
        <w:t xml:space="preserve"> </w:t>
      </w:r>
      <w:r>
        <w:t xml:space="preserve">member-list fingerprint for roster/corpus sidecars (§11.4.86). Change</w:t>
      </w:r>
      <w:r>
        <w:t xml:space="preserve"> </w:t>
      </w:r>
      <w:r>
        <w:t xml:space="preserve">detection is by</w:t>
      </w:r>
      <w:r>
        <w:t xml:space="preserve"> </w:t>
      </w:r>
      <w:r>
        <w:rPr>
          <w:b/>
          <w:bCs/>
        </w:rPr>
        <w:t xml:space="preserve">content hash, never mtime</w:t>
      </w:r>
      <w:r>
        <w:t xml:space="preserve">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internal/graph</w:t>
      </w:r>
      <w:r>
        <w:t xml:space="preserve"> </w:t>
      </w:r>
      <w:r>
        <w:t xml:space="preserve">— the DAG (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Edge</w:t>
      </w:r>
      <w:r>
        <w:t xml:space="preserve">/</w:t>
      </w:r>
      <w:r>
        <w:rPr>
          <w:rStyle w:val="VerbatimChar"/>
        </w:rPr>
        <w:t xml:space="preserve">Graph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(cycle detection →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TopoOrder</w:t>
      </w:r>
      <w:r>
        <w:t xml:space="preserve"> </w:t>
      </w:r>
      <w:r>
        <w:t xml:space="preserve">(deterministic Kahn</w:t>
      </w:r>
      <w:r>
        <w:t xml:space="preserve"> </w:t>
      </w:r>
      <w:r>
        <w:t xml:space="preserve">ordering), and the recompute engine:</w:t>
      </w:r>
      <w:r>
        <w:t xml:space="preserve"> </w:t>
      </w:r>
      <w:r>
        <w:rPr>
          <w:rStyle w:val="VerbatimChar"/>
        </w:rPr>
        <w:t xml:space="preserve">Recompute</w:t>
      </w:r>
      <w:r>
        <w:t xml:space="preserve"> </w:t>
      </w:r>
      <w:r>
        <w:t xml:space="preserve">(early-cutoff —</w:t>
      </w:r>
      <w:r>
        <w:t xml:space="preserve"> </w:t>
      </w:r>
      <w:r>
        <w:t xml:space="preserve">unchanged inputs skip transform),</w:t>
      </w:r>
      <w:r>
        <w:t xml:space="preserve"> </w:t>
      </w:r>
      <w:r>
        <w:rPr>
          <w:rStyle w:val="VerbatimChar"/>
        </w:rPr>
        <w:t xml:space="preserve">ResolveSync</w:t>
      </w:r>
      <w:r>
        <w:t xml:space="preserve"> </w:t>
      </w:r>
      <w:r>
        <w:t xml:space="preserve">(declared-authority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 with</w:t>
      </w:r>
      <w:r>
        <w:t xml:space="preserve"> </w:t>
      </w:r>
      <w:r>
        <w:rPr>
          <w:rStyle w:val="VerbatimChar"/>
        </w:rPr>
        <w:t xml:space="preserve">ConflictError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CommitHashes</w:t>
      </w:r>
      <w:r>
        <w:t xml:space="preserve">.</w:t>
      </w:r>
      <w:r>
        <w:t xml:space="preserve"> </w:t>
      </w:r>
      <w:r>
        <w:t xml:space="preserve">An in-memory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MemStore</w:t>
      </w:r>
      <w:r>
        <w:t xml:space="preserve">) backs the unit tests.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internal/adapter</w:t>
      </w:r>
      <w:r>
        <w:t xml:space="preserve"> </w:t>
      </w:r>
      <w:r>
        <w:t xml:space="preserve">(Phase 2) — node-content adapters backing real</w:t>
      </w:r>
      <w:r>
        <w:t xml:space="preserve"> </w:t>
      </w:r>
      <w:r>
        <w:t xml:space="preserve">stores: a</w:t>
      </w:r>
      <w:r>
        <w:t xml:space="preserve"> </w:t>
      </w:r>
      <w:r>
        <w:rPr>
          <w:rStyle w:val="VerbatimChar"/>
        </w:rPr>
        <w:t xml:space="preserve">FileAdapter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(and the on-disk html/pdf/docx</w:t>
      </w:r>
      <w:r>
        <w:t xml:space="preserve"> </w:t>
      </w:r>
      <w:r>
        <w:t xml:space="preserve">outputs) with per-file atomic temp-then-rename writes; DERIVED transforms</w:t>
      </w:r>
      <w:r>
        <w:t xml:space="preserve"> </w:t>
      </w:r>
      <w:r>
        <w:t xml:space="preserve">that shell out to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(</w:t>
      </w:r>
      <w:r>
        <w:rPr>
          <w:rStyle w:val="VerbatimChar"/>
        </w:rPr>
        <w:t xml:space="preserve">md→html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md→docx</w:t>
      </w:r>
      <w:r>
        <w:t xml:space="preserve">) and</w:t>
      </w:r>
      <w:r>
        <w:t xml:space="preserve"> </w:t>
      </w:r>
      <w:r>
        <w:rPr>
          <w:b/>
          <w:bCs/>
        </w:rPr>
        <w:t xml:space="preserve">weasyprint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html→pdf</w:t>
      </w:r>
      <w:r>
        <w:t xml:space="preserve">) — when a tool is absent they return a typed</w:t>
      </w:r>
      <w:r>
        <w:t xml:space="preserve"> </w:t>
      </w:r>
      <w:r>
        <w:rPr>
          <w:rStyle w:val="VerbatimChar"/>
        </w:rPr>
        <w:t xml:space="preserve">ToolAbsentError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IsToolAbsent</w:t>
      </w:r>
      <w:r>
        <w:t xml:space="preserve">) and never fake success; a</w:t>
      </w:r>
      <w:r>
        <w:t xml:space="preserve"> </w:t>
      </w:r>
      <w:r>
        <w:rPr>
          <w:rStyle w:val="VerbatimChar"/>
        </w:rPr>
        <w:t xml:space="preserve">SQLiteAdapter</w:t>
      </w:r>
      <w:r>
        <w:t xml:space="preserve"> </w:t>
      </w:r>
      <w:r>
        <w:t xml:space="preserve">(pure-Go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, no cgo) whose hashed content is a</w:t>
      </w:r>
      <w:r>
        <w:t xml:space="preserve"> </w:t>
      </w:r>
      <w:r>
        <w:rPr>
          <w:b/>
          <w:bCs/>
        </w:rPr>
        <w:t xml:space="preserve">canonical row dump</w:t>
      </w:r>
      <w:r>
        <w:t xml:space="preserve"> </w:t>
      </w:r>
      <w:r>
        <w:t xml:space="preserve">from a deterministic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query — NOT the raw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page bytes — so identical row sets collide regardless of insert</w:t>
      </w:r>
      <w:r>
        <w:t xml:space="preserve"> </w:t>
      </w:r>
      <w:r>
        <w:t xml:space="preserve">order; and a</w:t>
      </w:r>
      <w:r>
        <w:t xml:space="preserve"> </w:t>
      </w:r>
      <w:r>
        <w:rPr>
          <w:rStyle w:val="VerbatimChar"/>
        </w:rPr>
        <w:t xml:space="preserve">FileStore</w:t>
      </w:r>
      <w:r>
        <w:t xml:space="preserve"> </w:t>
      </w:r>
      <w:r>
        <w:t xml:space="preserve">implementing the Phase-1</w:t>
      </w:r>
      <w:r>
        <w:t xml:space="preserve"> </w:t>
      </w:r>
      <w:r>
        <w:rPr>
          <w:rStyle w:val="VerbatimChar"/>
        </w:rPr>
        <w:t xml:space="preserve">graph.Store</w:t>
      </w:r>
      <w:r>
        <w:t xml:space="preserve"> </w:t>
      </w:r>
      <w:r>
        <w:t xml:space="preserve">interface</w:t>
      </w:r>
      <w:r>
        <w:t xml:space="preserve"> </w:t>
      </w:r>
      <w:r>
        <w:t xml:space="preserve">on top of these adapters, so</w:t>
      </w:r>
      <w:r>
        <w:t xml:space="preserve"> </w:t>
      </w:r>
      <w:r>
        <w:rPr>
          <w:rStyle w:val="VerbatimChar"/>
        </w:rPr>
        <w:t xml:space="preserve">graph.Recompute</w:t>
      </w:r>
      <w:r>
        <w:t xml:space="preserve"> </w:t>
      </w:r>
      <w:r>
        <w:t xml:space="preserve">runs unmodified against real</w:t>
      </w:r>
      <w:r>
        <w:t xml:space="preserve"> </w:t>
      </w:r>
      <w:r>
        <w:t xml:space="preserve">files and databases.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internal/orchestrator</w:t>
      </w:r>
      <w:r>
        <w:t xml:space="preserve"> </w:t>
      </w:r>
      <w:r>
        <w:t xml:space="preserve">(Phase 3) 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ties</w:t>
      </w:r>
      <w:r>
        <w:t xml:space="preserve"> </w:t>
      </w:r>
      <w:r>
        <w:rPr>
          <w:rStyle w:val="VerbatimChar"/>
        </w:rPr>
        <w:t xml:space="preserve">graph.Recompute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FileStore</w:t>
      </w:r>
      <w:r>
        <w:t xml:space="preserve"> </w:t>
      </w:r>
      <w:r>
        <w:t xml:space="preserve">with three guarantees: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(regenerated outputs are</w:t>
      </w:r>
      <w:r>
        <w:t xml:space="preserve"> </w:t>
      </w:r>
      <w:r>
        <w:t xml:space="preserve">staged in-memory and written only after the whole run succeeds; any</w:t>
      </w:r>
      <w:r>
        <w:t xml:space="preserve"> </w:t>
      </w:r>
      <w:r>
        <w:t xml:space="preserve">transform error rolls back with zero partial writes — composes with §9.2),</w:t>
      </w:r>
      <w:r>
        <w:t xml:space="preserve"> </w:t>
      </w:r>
      <w:r>
        <w:rPr>
          <w:b/>
          <w:bCs/>
        </w:rPr>
        <w:t xml:space="preserve">cycle-guard</w:t>
      </w:r>
      <w:r>
        <w:t xml:space="preserve"> </w:t>
      </w:r>
      <w:r>
        <w:t xml:space="preserve">(refuses to run when</w:t>
      </w:r>
      <w:r>
        <w:t xml:space="preserve"> </w:t>
      </w:r>
      <w:r>
        <w:rPr>
          <w:rStyle w:val="VerbatimChar"/>
        </w:rPr>
        <w:t xml:space="preserve">graph.Validate</w:t>
      </w:r>
      <w:r>
        <w:t xml:space="preserve"> </w:t>
      </w:r>
      <w:r>
        <w:t xml:space="preserve">reports a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, writing nothing), and</w:t>
      </w:r>
      <w:r>
        <w:t xml:space="preserve"> </w:t>
      </w:r>
      <w:r>
        <w:rPr>
          <w:b/>
          <w:bCs/>
        </w:rPr>
        <w:t xml:space="preserve">sync-conflict</w:t>
      </w:r>
      <w:r>
        <w:t xml:space="preserve"> </w:t>
      </w:r>
      <w:r>
        <w:t xml:space="preserve">surfacing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ConflictError</w:t>
      </w:r>
      <w:r>
        <w:t xml:space="preserve"> </w:t>
      </w:r>
      <w:r>
        <w:t xml:space="preserve">on a both-dirty sync pair, writing nothing). It returns the</w:t>
      </w:r>
      <w:r>
        <w:t xml:space="preserve"> </w:t>
      </w:r>
      <w:r>
        <w:rPr>
          <w:rStyle w:val="VerbatimChar"/>
        </w:rPr>
        <w:t xml:space="preserve">RecomputeResult</w:t>
      </w:r>
      <w:r>
        <w:t xml:space="preserve"> </w:t>
      </w:r>
      <w:r>
        <w:t xml:space="preserve">plus a committed / rolled-back / in-sync / conflict /</w:t>
      </w:r>
      <w:r>
        <w:t xml:space="preserve"> </w:t>
      </w:r>
      <w:r>
        <w:t xml:space="preserve">cycle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A staged intermediate feeds the next transform, so</w:t>
      </w:r>
      <w:r>
        <w:t xml:space="preserve"> </w:t>
      </w:r>
      <w:r>
        <w:t xml:space="preserve">multi-level chains (md→html→pdf) propagate in one pass.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internal/config</w:t>
      </w:r>
      <w:r>
        <w:t xml:space="preserve"> </w:t>
      </w:r>
      <w:r>
        <w:t xml:space="preserve">(Phase 4) — the per-context YAML loader + 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/</w:t>
      </w:r>
      <w:r>
        <w:rPr>
          <w:rStyle w:val="VerbatimChar"/>
        </w:rPr>
        <w:t xml:space="preserve">LoadDir</w:t>
      </w:r>
      <w:r>
        <w:t xml:space="preserve">/</w:t>
      </w:r>
      <w:r>
        <w:rPr>
          <w:rStyle w:val="VerbatimChar"/>
        </w:rPr>
        <w:t xml:space="preserve">Parse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/</w:t>
      </w:r>
      <w:r>
        <w:rPr>
          <w:rStyle w:val="VerbatimChar"/>
        </w:rPr>
        <w:t xml:space="preserve">BuildGraph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.docs_chain/contexts/&lt;name&gt;.yaml</w:t>
      </w:r>
      <w:r>
        <w:t xml:space="preserve"> </w:t>
      </w:r>
      <w:r>
        <w:t xml:space="preserve">into the node/edge/transform model,</w:t>
      </w:r>
      <w:r>
        <w:t xml:space="preserve"> </w:t>
      </w:r>
      <w:r>
        <w:t xml:space="preserve">accepts the</w:t>
      </w:r>
      <w:r>
        <w:t xml:space="preserve"> </w:t>
      </w:r>
      <w:r>
        <w:rPr>
          <w:rStyle w:val="VerbatimChar"/>
        </w:rPr>
        <w:t xml:space="preserve">from: &lt;id&gt;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from: [&lt;id&gt;, …]</w:t>
      </w:r>
      <w:r>
        <w:t xml:space="preserve"> </w:t>
      </w:r>
      <w:r>
        <w:t xml:space="preserve">multi-input union, rejects</w:t>
      </w:r>
      <w:r>
        <w:t xml:space="preserve"> </w:t>
      </w:r>
      <w:r>
        <w:t xml:space="preserve">unknown fields, and enforces every CONFIG_SCHEMA §8 rule (empty context,</w:t>
      </w:r>
      <w:r>
        <w:t xml:space="preserve"> </w:t>
      </w:r>
      <w:r>
        <w:t xml:space="preserve">dangling node/transform refs, builtin-xor-exec, fingerprint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,</w:t>
      </w:r>
      <w:r>
        <w:t xml:space="preserve"> </w:t>
      </w:r>
      <w:r>
        <w:t xml:space="preserve">sync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 </w:t>
      </w:r>
      <w:r>
        <w:t xml:space="preserve">∈ {a,b}, derive-from acyclicity) with loud</w:t>
      </w:r>
      <w:r>
        <w:t xml:space="preserve"> </w:t>
      </w:r>
      <w:r>
        <w:rPr>
          <w:rStyle w:val="VerbatimChar"/>
        </w:rPr>
        <w:t xml:space="preserve">*ConfigError</w:t>
      </w:r>
      <w:r>
        <w:t xml:space="preserve">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internal/state</w:t>
      </w:r>
      <w:r>
        <w:t xml:space="preserve"> </w:t>
      </w:r>
      <w:r>
        <w:t xml:space="preserve">(Phase 4) —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content-hash baseline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&lt;root&gt;/.docs_chain/state.json</w:t>
      </w:r>
      <w:r>
        <w:t xml:space="preserve">, gitignored/regenerable per §11.4.77) with</w:t>
      </w:r>
      <w:r>
        <w:t xml:space="preserve"> </w:t>
      </w:r>
      <w:r>
        <w:t xml:space="preserve">atomic temp-then-rename save; a missing file is a clean cold start.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internal/runner</w:t>
      </w:r>
      <w:r>
        <w:t xml:space="preserve"> </w:t>
      </w:r>
      <w:r>
        <w:t xml:space="preserve">(Phase 4) — wires a loaded context to the Phase 1–3</w:t>
      </w:r>
      <w:r>
        <w:t xml:space="preserve"> </w:t>
      </w:r>
      <w:r>
        <w:t xml:space="preserve">engine: registers a Phase-2 adapter per node, binds each config transform to</w:t>
      </w:r>
      <w:r>
        <w:t xml:space="preserve"> </w:t>
      </w:r>
      <w:r>
        <w:t xml:space="preserve">a real</w:t>
      </w:r>
      <w:r>
        <w:t xml:space="preserve"> </w:t>
      </w:r>
      <w:r>
        <w:rPr>
          <w:rStyle w:val="VerbatimChar"/>
        </w:rPr>
        <w:t xml:space="preserve">graph.Transform</w:t>
      </w:r>
      <w:r>
        <w:t xml:space="preserve"> </w:t>
      </w:r>
      <w:r>
        <w:t xml:space="preserve">(builtins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pandoc-docx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;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transforms stage input/output</w:t>
      </w:r>
      <w:r>
        <w:t xml:space="preserve"> </w:t>
      </w:r>
      <w:r>
        <w:t xml:space="preserve">temp files per CONFIG_SCHEMA §5.2 and shell to the consumer’s binary),</w:t>
      </w:r>
      <w:r>
        <w:t xml:space="preserve"> </w:t>
      </w:r>
      <w:r>
        <w:t xml:space="preserve">hydrates the hash baseline from state, runs the orchestrator (</w:t>
      </w:r>
      <w:r>
        <w:rPr>
          <w:rStyle w:val="VerbatimChar"/>
        </w:rPr>
        <w:t xml:space="preserve">sync</w:t>
      </w:r>
      <w:r>
        <w:t xml:space="preserve">), and</w:t>
      </w:r>
      <w:r>
        <w:t xml:space="preserve"> </w:t>
      </w:r>
      <w:r>
        <w:t xml:space="preserve">performs the read-only sink-side drift check (</w:t>
      </w:r>
      <w:r>
        <w:rPr>
          <w:rStyle w:val="VerbatimChar"/>
        </w:rPr>
        <w:t xml:space="preserve">verify</w:t>
      </w:r>
      <w:r>
        <w:t xml:space="preserve">) into a temp output so</w:t>
      </w:r>
      <w:r>
        <w:t xml:space="preserve"> </w:t>
      </w:r>
      <w:r>
        <w:t xml:space="preserve">it never mutates a live artefact.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cmd/docs_chain</w:t>
      </w:r>
      <w:r>
        <w:t xml:space="preserve"> </w:t>
      </w:r>
      <w:r>
        <w:t xml:space="preserve">(Phase 4) — the consumer-facing CLI with the documented</w:t>
      </w:r>
      <w:r>
        <w:t xml:space="preserve"> </w:t>
      </w:r>
      <w:r>
        <w:t xml:space="preserve">exit-code contract (0 in-sync/applied · 1 error · 2 conflict · 3</w:t>
      </w:r>
      <w:r>
        <w:t xml:space="preserve"> </w:t>
      </w:r>
      <w:r>
        <w:t xml:space="preserve">transform-fail · 4 cycle/config-error). Subcommands: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(validate + tool-availability, no writes),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(atomic propagate +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update +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 </w:t>
      </w:r>
      <w:r>
        <w:t xml:space="preserve">evidence),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(read-only CI gate, non-zero on drift),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(topo order + edges).</w:t>
      </w:r>
      <w:r>
        <w:t xml:space="preserve"> </w:t>
      </w:r>
      <w:r>
        <w:t xml:space="preserve">Tool-absent runs roll back honestly (no fake output) and the message says so.</w:t>
      </w:r>
    </w:p>
    <w:bookmarkEnd w:id="10"/>
    <w:bookmarkStart w:id="11" w:name="X9d10c453e8d8b6f28872937ca465984758708e5"/>
    <w:p>
      <w:pPr>
        <w:pStyle w:val="Heading3"/>
      </w:pPr>
      <w:r>
        <w:t xml:space="preserve">What is PLANNED (NOT yet functional — do not assume working behaviour)</w:t>
      </w:r>
    </w:p>
    <w:p>
      <w:pPr>
        <w:pStyle w:val="FirstParagraph"/>
      </w:pPr>
      <w:r>
        <w:t xml:space="preserve">The fsnotify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daemon (Phase 4 —</w:t>
      </w:r>
      <w:r>
        <w:t xml:space="preserve"> </w:t>
      </w:r>
      <w:r>
        <w:rPr>
          <w:rStyle w:val="VerbatimChar"/>
        </w:rPr>
        <w:t xml:space="preserve">docs_chain watch</w:t>
      </w:r>
      <w:r>
        <w:t xml:space="preserve">), the comprehensive</w:t>
      </w:r>
      <w:r>
        <w:t xml:space="preserve"> </w:t>
      </w:r>
      <w:r>
        <w:t xml:space="preserve">beyond-package test suite (Phase 5), and the constitution-submodule</w:t>
      </w:r>
      <w:r>
        <w:t xml:space="preserve"> </w:t>
      </w:r>
      <w:r>
        <w:t xml:space="preserve">integration (Phases 6–7) are NOT implemented in this repo yet.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describe their DESIGNED contract.</w:t>
      </w:r>
      <w:r>
        <w:t xml:space="preserve"> </w:t>
      </w:r>
      <w:r>
        <w:rPr>
          <w:rStyle w:val="VerbatimChar"/>
        </w:rPr>
        <w:t xml:space="preserve">docs_chain watch</w:t>
      </w:r>
      <w:r>
        <w:t xml:space="preserve"> </w:t>
      </w:r>
      <w:r>
        <w:t xml:space="preserve">is not wired; use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on demand.</w:t>
      </w:r>
    </w:p>
    <w:bookmarkEnd w:id="11"/>
    <w:bookmarkEnd w:id="12"/>
    <w:bookmarkStart w:id="18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In-depth system architecture — DAG model, content-hash detection, early-cutoff, Kahn propagation, bidirectional sync authority + conflicts, atomicity/crash-safety, SQLite integration. Mermaid + ASCII diagrams.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docs/USER_GUIDE.md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adoption guide — prerequisites, build, init</w:t>
            </w:r>
            <w:r>
              <w:t xml:space="preserve"> </w:t>
            </w:r>
            <w:r>
              <w:rPr>
                <w:rStyle w:val="VerbatimChar"/>
              </w:rPr>
              <w:t xml:space="preserve">.docs_chain/</w:t>
            </w:r>
            <w:r>
              <w:t xml:space="preserve">, define a context, run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 the watch daemon, conflict resolution, CI integration.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docs/CONFIG_SCHEMA.md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Formal per-context YAML reference — every field, type, allowed values, defaults, validation rules; annotated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examples.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docs/USE_CASE_CATALOGUE.md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Living registry of 8 ready-to-use chain recipes (issues, fixed, status, roster/corpus, changelog, README doc-link, universal markdown-export, CONTINUATION).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docs/CONSTITUTION_INTEGRATION.md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the constitution submodule makes Docs Chain available to every consuming project — inheritance model, config discovery, the §11.4.x anchors it satisfies, what a project gets for free vs must register.</w:t>
            </w:r>
          </w:p>
        </w:tc>
      </w:tr>
    </w:tbl>
    <w:bookmarkEnd w:id="18"/>
    <w:bookmarkStart w:id="20" w:name="quick-start-cli-phase-4"/>
    <w:p>
      <w:pPr>
        <w:pStyle w:val="Heading2"/>
      </w:pPr>
      <w:r>
        <w:t xml:space="preserve">Quick start (CLI — Phase 4)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git@github.com:vasic-digital/docs_chain.git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./...                 </w:t>
      </w:r>
      <w:r>
        <w:rPr>
          <w:rStyle w:val="CommentTok"/>
        </w:rPr>
        <w:t xml:space="preserve"># whole suite — all green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./docs_chain ./cmd/docs_chain</w:t>
      </w:r>
      <w:r>
        <w:br/>
      </w:r>
      <w:r>
        <w:br/>
      </w:r>
      <w:r>
        <w:rPr>
          <w:rStyle w:val="CommentTok"/>
        </w:rPr>
        <w:t xml:space="preserve"># In a consuming project root that has .docs_chain/contexts/&lt;name&gt;.yaml: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validate (no writes)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sync  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propagate atomically, update state.json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read-only CI gate; non-zero on drift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graph 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print topo order + edges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in-sync/applied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error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conflict (both sides of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dirty)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transform-fail (rolled back, no live changes)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cycle/config-error.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run records evidence under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; the content-hash baseline lives in</w:t>
      </w:r>
      <w:r>
        <w:t xml:space="preserve"> </w:t>
      </w:r>
      <w:r>
        <w:rPr>
          <w:rStyle w:val="VerbatimChar"/>
        </w:rPr>
        <w:t xml:space="preserve">&lt;root&gt;/.docs_chain/state.json</w:t>
      </w:r>
      <w:r>
        <w:t xml:space="preserve"> </w:t>
      </w:r>
      <w:r>
        <w:t xml:space="preserve">(gitignored, regenerable). When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is absent the run rolls back honestly and says so — it never</w:t>
      </w:r>
      <w:r>
        <w:t xml:space="preserve"> </w:t>
      </w:r>
      <w:r>
        <w:t xml:space="preserve">fakes an export.</w:t>
      </w:r>
    </w:p>
    <w:bookmarkStart w:id="19" w:name="library-api-phase-1-core-engine"/>
    <w:p>
      <w:pPr>
        <w:pStyle w:val="Heading3"/>
      </w:pPr>
      <w:r>
        <w:t xml:space="preserve">Library API (Phase 1 core engine)</w:t>
      </w:r>
    </w:p>
    <w:p>
      <w:pPr>
        <w:pStyle w:val="FirstParagraph"/>
      </w:pPr>
      <w:r>
        <w:t xml:space="preserve">The core is also usable programmatically. Minimal use: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"digital.vasic.docs_chain/internal/graph"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"digital.vasic.docs_chain/internal/hash"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AddNode for each member, AddEdge for derive-from / sync relationships,</w:t>
      </w:r>
      <w:r>
        <w:br/>
      </w:r>
      <w:r>
        <w:rPr>
          <w:rStyle w:val="CommentTok"/>
        </w:rPr>
        <w:t xml:space="preserve">// then g.Validate() (cycle check) and g.TopoOrder() (Kahn ordering).</w:t>
      </w:r>
      <w:r>
        <w:br/>
      </w:r>
      <w:r>
        <w:rPr>
          <w:rStyle w:val="Normal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Recompute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NewByteContentHasher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transforms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res reports which targets changed (early-cutoff skips unchanged inputs);</w:t>
      </w:r>
      <w:r>
        <w:br/>
      </w:r>
      <w:r>
        <w:rPr>
          <w:rStyle w:val="CommentTok"/>
        </w:rPr>
        <w:t xml:space="preserve">// g.CommitHashes(res) persists the new content hashes.</w:t>
      </w:r>
    </w:p>
    <w:p>
      <w:pPr>
        <w:pStyle w:val="FirstParagraph"/>
      </w:pPr>
      <w:r>
        <w:t xml:space="preserve">See</w:t>
      </w:r>
      <w:r>
        <w:t xml:space="preserve"> </w:t>
      </w:r>
      <w:hyperlink r:id="rId14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for the full DESIGNED</w:t>
      </w:r>
      <w:r>
        <w:t xml:space="preserve"> </w:t>
      </w:r>
      <w:r>
        <w:t xml:space="preserve">workflow and</w:t>
      </w:r>
      <w:r>
        <w:t xml:space="preserve"> </w:t>
      </w:r>
      <w:hyperlink r:id="rId15">
        <w:r>
          <w:rPr>
            <w:rStyle w:val="VerbatimChar"/>
          </w:rPr>
          <w:t xml:space="preserve">docs/CONFIG_SCHEMA.md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per-context YAML contract.</w:t>
      </w:r>
    </w:p>
    <w:bookmarkEnd w:id="19"/>
    <w:bookmarkEnd w:id="20"/>
    <w:bookmarkStart w:id="2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Part of the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toolkit. Distributed under the same terms as</w:t>
      </w:r>
      <w:r>
        <w:t xml:space="preserve"> </w:t>
      </w:r>
      <w:r>
        <w:t xml:space="preserve">the surrounding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 HelixConstitution submodule family.</w:t>
      </w:r>
    </w:p>
    <w:bookmarkEnd w:id="21"/>
    <w:bookmarkStart w:id="22" w:name="design-provenance"/>
    <w:p>
      <w:pPr>
        <w:pStyle w:val="Heading2"/>
      </w:pPr>
      <w:r>
        <w:t xml:space="preserve">Design provenance</w:t>
      </w:r>
    </w:p>
    <w:p>
      <w:pPr>
        <w:pStyle w:val="FirstParagraph"/>
      </w:pPr>
      <w:r>
        <w:t xml:space="preserve">The authoritative Phase-0 design (DESIGN / RESEARCH / PLAN) lives in the</w:t>
      </w:r>
      <w:r>
        <w:t xml:space="preserve"> </w:t>
      </w:r>
      <w:r>
        <w:t xml:space="preserve">consuming project’s research tree at</w:t>
      </w:r>
      <w:r>
        <w:t xml:space="preserve"> </w:t>
      </w:r>
      <w:r>
        <w:rPr>
          <w:rStyle w:val="VerbatimChar"/>
        </w:rPr>
        <w:t xml:space="preserve">docs/research/docs_chain/</w:t>
      </w:r>
      <w:r>
        <w:t xml:space="preserve"> </w:t>
      </w:r>
      <w:r>
        <w:t xml:space="preserve">and is</w:t>
      </w:r>
      <w:r>
        <w:t xml:space="preserve"> </w:t>
      </w:r>
      <w:r>
        <w:t xml:space="preserve">mirrored into the consuming project, not into this standalone repo.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here are the self-contained, comprehensive specification of</w:t>
      </w:r>
      <w:r>
        <w:t xml:space="preserve"> </w:t>
      </w:r>
      <w:r>
        <w:t xml:space="preserve">the DESIGNED system.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docs/ARCHITECTURE.md" TargetMode="External" /><Relationship Type="http://schemas.openxmlformats.org/officeDocument/2006/relationships/hyperlink" Id="rId15" Target="docs/CONFIG_SCHEMA.md" TargetMode="External" /><Relationship Type="http://schemas.openxmlformats.org/officeDocument/2006/relationships/hyperlink" Id="rId17" Target="docs/CONSTITUTION_INTEGRATION.md" TargetMode="External" /><Relationship Type="http://schemas.openxmlformats.org/officeDocument/2006/relationships/hyperlink" Id="rId14" Target="docs/USER_GUIDE.md" TargetMode="External" /><Relationship Type="http://schemas.openxmlformats.org/officeDocument/2006/relationships/hyperlink" Id="rId16" Target="docs/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cs/ARCHITECTURE.md" TargetMode="External" /><Relationship Type="http://schemas.openxmlformats.org/officeDocument/2006/relationships/hyperlink" Id="rId15" Target="docs/CONFIG_SCHEMA.md" TargetMode="External" /><Relationship Type="http://schemas.openxmlformats.org/officeDocument/2006/relationships/hyperlink" Id="rId17" Target="docs/CONSTITUTION_INTEGRATION.md" TargetMode="External" /><Relationship Type="http://schemas.openxmlformats.org/officeDocument/2006/relationships/hyperlink" Id="rId14" Target="docs/USER_GUIDE.md" TargetMode="External" /><Relationship Type="http://schemas.openxmlformats.org/officeDocument/2006/relationships/hyperlink" Id="rId16" Target="docs/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