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CONFIG_SCHEMA</w:t>
      </w:r>
    </w:p>
    <w:bookmarkStart w:id="23" w:name="X5fc573b1805c6b213489c8017a939016e930a68"/>
    <w:p>
      <w:pPr>
        <w:pStyle w:val="Heading1"/>
      </w:pPr>
      <w:r>
        <w:t xml:space="preserve">Docs Chain — Configuration Schema Reference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documentation — the schema is PLANNED (Phase 4 — config loader + validation). Describes the DESIGNED YAML contract.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 Chain initiative)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authoritative Phase-0 DESIGN / RESEARCH / PLAN live in the consuming project research tree (</w:t>
      </w:r>
      <w:r>
        <w:rPr>
          <w:rStyle w:val="VerbatimChar"/>
        </w:rPr>
        <w:t xml:space="preserve">docs/research/docs_chain/</w:t>
      </w:r>
      <w:r>
        <w:t xml:space="preserve">); this document is the self-contained specification.</w:t>
      </w:r>
    </w:p>
    <w:p>
      <w:r>
        <w:pict>
          <v:rect style="width:0;height:1.5pt" o:hralign="center" o:hrstd="t" o:hr="t"/>
        </w:pic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PLANNED (Phase 4).</w:t>
      </w:r>
      <w:r>
        <w:t xml:space="preserve"> </w:t>
      </w:r>
      <w:r>
        <w:t xml:space="preserve">The YAML loader and validator land in Phase 4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internal/config</w:t>
      </w:r>
      <w:r>
        <w:t xml:space="preserve">). This document is the formal contract a consuming</w:t>
      </w:r>
      <w:r>
        <w:t xml:space="preserve"> </w:t>
      </w:r>
      <w:r>
        <w:t xml:space="preserve">project writes against; it is not a claim that the loader parses it today.</w:t>
      </w:r>
    </w:p>
    <w:p>
      <w:r>
        <w:pict>
          <v:rect style="width:0;height:1.5pt" o:hralign="center" o:hrstd="t" o:hr="t"/>
        </w:pict>
      </w:r>
    </w:p>
    <w:bookmarkEnd w:id="9"/>
    <w:bookmarkStart w:id="10" w:name="file-location-and-discovery"/>
    <w:p>
      <w:pPr>
        <w:pStyle w:val="Heading2"/>
      </w:pPr>
      <w:r>
        <w:t xml:space="preserve">1. File location and discovery</w:t>
      </w:r>
    </w:p>
    <w:p>
      <w:pPr>
        <w:pStyle w:val="Compact"/>
        <w:numPr>
          <w:ilvl w:val="0"/>
          <w:numId w:val="1001"/>
        </w:numPr>
      </w:pPr>
      <w:r>
        <w:t xml:space="preserve">One YAML file per context under</w:t>
      </w:r>
      <w:r>
        <w:t xml:space="preserve"> </w:t>
      </w:r>
      <w:r>
        <w:rPr>
          <w:rStyle w:val="VerbatimChar"/>
        </w:rPr>
        <w:t xml:space="preserve">.docs_chain/contexts/&lt;name&gt;.yaml</w:t>
      </w:r>
      <w:r>
        <w:t xml:space="preserve"> </w:t>
      </w:r>
      <w:r>
        <w:t xml:space="preserve">at</w:t>
      </w:r>
      <w:r>
        <w:t xml:space="preserve"> </w:t>
      </w:r>
      <w:r>
        <w:t xml:space="preserve">the project root.</w:t>
      </w:r>
    </w:p>
    <w:p>
      <w:pPr>
        <w:pStyle w:val="Compact"/>
        <w:numPr>
          <w:ilvl w:val="0"/>
          <w:numId w:val="1001"/>
        </w:numPr>
      </w:pPr>
      <w:r>
        <w:t xml:space="preserve">The filename stem SHOULD match the</w:t>
      </w:r>
      <w:r>
        <w:t xml:space="preserve"> </w:t>
      </w:r>
      <w:r>
        <w:rPr>
          <w:rStyle w:val="VerbatimChar"/>
        </w:rPr>
        <w:t xml:space="preserve">context:</w:t>
      </w:r>
      <w:r>
        <w:t xml:space="preserve"> </w:t>
      </w:r>
      <w:r>
        <w:t xml:space="preserve">field value.</w:t>
      </w:r>
    </w:p>
    <w:p>
      <w:pPr>
        <w:pStyle w:val="Compact"/>
        <w:numPr>
          <w:ilvl w:val="0"/>
          <w:numId w:val="1001"/>
        </w:numPr>
      </w:pPr>
      <w:r>
        <w:t xml:space="preserve">Each context is independent:</w:t>
      </w:r>
      <w:r>
        <w:t xml:space="preserve"> </w:t>
      </w:r>
      <w:r>
        <w:rPr>
          <w:rStyle w:val="VerbatimChar"/>
        </w:rPr>
        <w:t xml:space="preserve">docs_chain sync &lt;name&gt;</w:t>
      </w:r>
      <w:r>
        <w:t xml:space="preserve"> </w:t>
      </w:r>
      <w:r>
        <w:t xml:space="preserve">loads only</w:t>
      </w:r>
      <w:r>
        <w:t xml:space="preserve"> </w:t>
      </w:r>
      <w:r>
        <w:rPr>
          <w:rStyle w:val="VerbatimChar"/>
        </w:rPr>
        <w:t xml:space="preserve">&lt;name&gt;.yaml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docs_chain sync --all</w:t>
      </w:r>
      <w:r>
        <w:t xml:space="preserve"> </w:t>
      </w:r>
      <w:r>
        <w:t xml:space="preserve">loads every file in the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10"/>
    <w:bookmarkStart w:id="11" w:name="top-level-document-schema"/>
    <w:p>
      <w:pPr>
        <w:pStyle w:val="Heading2"/>
      </w:pPr>
      <w:r>
        <w:t xml:space="preserve">2. Top-level document schema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&lt;string&gt;</w:t>
      </w:r>
      <w:r>
        <w:rPr>
          <w:rStyle w:val="CommentTok"/>
        </w:rPr>
        <w:t xml:space="preserve">          # REQUIRED — unique context name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&lt;string&gt;</w:t>
      </w:r>
      <w:r>
        <w:rPr>
          <w:rStyle w:val="CommentTok"/>
        </w:rPr>
        <w:t xml:space="preserve">      # OPTIONAL — human-readable purpose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&lt;map&gt;</w:t>
      </w:r>
      <w:r>
        <w:rPr>
          <w:rStyle w:val="CommentTok"/>
        </w:rPr>
        <w:t xml:space="preserve">               # REQUIRED — node-id -&gt; node-spec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&lt;list&gt;</w:t>
      </w:r>
      <w:r>
        <w:rPr>
          <w:rStyle w:val="CommentTok"/>
        </w:rPr>
        <w:t xml:space="preserve">              # REQUIRED — list of edge-spec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&lt;map&gt;</w:t>
      </w:r>
      <w:r>
        <w:rPr>
          <w:rStyle w:val="CommentTok"/>
        </w:rPr>
        <w:t xml:space="preserve">          # REQUIRED if any edge names a transform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16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non-empty; SHOULD match filename stem; unique across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map&lt;string, node-spec&gt;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≥1 entry; keys are node ids, unique within the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derive-from</w:t>
            </w:r>
            <w:r>
              <w:t xml:space="preserve"> </w:t>
            </w:r>
            <w:r>
              <w:t xml:space="preserve">sub-graph MUST be acyclic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transforms</w:t>
            </w:r>
          </w:p>
        </w:tc>
        <w:tc>
          <w:tcPr/>
          <w:p>
            <w:pPr>
              <w:pStyle w:val="Compact"/>
            </w:pPr>
            <w:r>
              <w:t xml:space="preserve">map&lt;string, transform-spec&gt;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every transform name referenced by an edge MUST be defined 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node-spec"/>
    <w:p>
      <w:pPr>
        <w:pStyle w:val="Heading2"/>
      </w:pPr>
      <w:r>
        <w:t xml:space="preserve">3. Node spec</w:t>
      </w:r>
    </w:p>
    <w:p>
      <w:pPr>
        <w:pStyle w:val="SourceCode"/>
      </w:pPr>
      <w:r>
        <w:rPr>
          <w:rStyle w:val="FunctionTok"/>
        </w:rPr>
        <w:t xml:space="preserve">&lt;node_id&gt;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&lt;node-kind&gt;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&lt;relative-path&gt; </w:t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16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one of the node kinds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project-root-relative path to the artefact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string (glob)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REQUIRED only for</w:t>
            </w:r>
            <w:r>
              <w:t xml:space="preserve"> </w:t>
            </w:r>
            <w:r>
              <w:rPr>
                <w:rStyle w:val="VerbatimChar"/>
              </w:rPr>
              <w:t xml:space="preserve">kind: fingerprint</w:t>
            </w:r>
            <w:r>
              <w:t xml:space="preserve">; glob enumerating the roster/corpus members (§11.4.86)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kind: fingerprint</w:t>
            </w:r>
            <w:r>
              <w:t xml:space="preserve">: member globs to exclude (e.g. gitignored</w:t>
            </w:r>
            <w:r>
              <w:t xml:space="preserve"> </w:t>
            </w:r>
            <w:r>
              <w:rPr>
                <w:rStyle w:val="VerbatimChar"/>
              </w:rPr>
              <w:t xml:space="preserve">downloaded/</w:t>
            </w:r>
            <w:r>
              <w:t xml:space="preserve">)</w:t>
            </w:r>
          </w:p>
        </w:tc>
      </w:tr>
    </w:tbl>
    <w:bookmarkStart w:id="12" w:name="allowed-kind-values"/>
    <w:p>
      <w:pPr>
        <w:pStyle w:val="Heading3"/>
      </w:pPr>
      <w:r>
        <w:t xml:space="preserve">3.1 Allowed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pandoc export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weasyprint export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input + derived (bidirectional)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generated Markdown digest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§11.4.45 status doc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status_summary</w:t>
            </w:r>
          </w:p>
        </w:tc>
        <w:tc>
          <w:tcPr/>
          <w:p>
            <w:pPr>
              <w:pStyle w:val="Compact"/>
            </w:pPr>
            <w:r>
              <w:t xml:space="preserve">§11.4.56 two-audience digest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t xml:space="preserve">roster/corpus member-list hash sidecar (§11.4.86)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edge-spec"/>
    <w:p>
      <w:pPr>
        <w:pStyle w:val="Heading2"/>
      </w:pPr>
      <w:r>
        <w:t xml:space="preserve">4. Edge spec</w:t>
      </w:r>
    </w:p>
    <w:p>
      <w:pPr>
        <w:pStyle w:val="FirstParagraph"/>
      </w:pPr>
      <w:r>
        <w:t xml:space="preserve">Two edge shapes. 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field selects which.</w:t>
      </w:r>
    </w:p>
    <w:bookmarkStart w:id="14" w:name="derive-from-one-wa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(one-way)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&lt;node_id&gt;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&lt;node_id&gt;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&lt;transform_name&gt; </w:t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16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derive-from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; may be a list (multi-input transform)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; MUST NOT introduce a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transform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transforms</w:t>
            </w:r>
          </w:p>
        </w:tc>
      </w:tr>
    </w:tbl>
    <w:bookmarkEnd w:id="14"/>
    <w:bookmarkStart w:id="15" w:name="sync-bidirectional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(bidirectional)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&lt;node_id&gt;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&lt;node_id&gt;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&lt;node_id&gt;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transform_a_to_b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&lt;transform_name&gt;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transform_b_to_a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&lt;transform_name&gt; </w:t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16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equal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; the default source of truth (ARCHITECTURE 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transform_a_to_b</w:t>
            </w:r>
          </w:p>
        </w:tc>
        <w:tc>
          <w:tcPr/>
          <w:p>
            <w:pPr>
              <w:pStyle w:val="Compact"/>
            </w:pPr>
            <w:r>
              <w:t xml:space="preserve">transform name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derived from kinds when unambiguous</w:t>
            </w:r>
          </w:p>
        </w:tc>
        <w:tc>
          <w:tcPr/>
          <w:p>
            <w:pPr>
              <w:pStyle w:val="Compact"/>
            </w:pPr>
            <w:r>
              <w:t xml:space="preserve">regenerates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transform_b_to_a</w:t>
            </w:r>
          </w:p>
        </w:tc>
        <w:tc>
          <w:tcPr/>
          <w:p>
            <w:pPr>
              <w:pStyle w:val="Compact"/>
            </w:pPr>
            <w:r>
              <w:t xml:space="preserve">transform name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derived from kinds when unambiguous</w:t>
            </w:r>
          </w:p>
        </w:tc>
        <w:tc>
          <w:tcPr/>
          <w:p>
            <w:pPr>
              <w:pStyle w:val="Compact"/>
            </w:pPr>
            <w:r>
              <w:t xml:space="preserve">regenerates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</w:tbl>
    <w:p>
      <w:pPr>
        <w:pStyle w:val="BodyText"/>
      </w:pPr>
      <w:r>
        <w:t xml:space="preserve">When the two transforms are omitted and the</w:t>
      </w:r>
      <w:r>
        <w:t xml:space="preserve"> </w:t>
      </w:r>
      <w:r>
        <w:rPr>
          <w:rStyle w:val="VerbatimChar"/>
        </w:rPr>
        <w:t xml:space="preserve">(kind_a, kind_b)</w:t>
      </w:r>
      <w:r>
        <w:t xml:space="preserve"> </w:t>
      </w:r>
      <w:r>
        <w:t xml:space="preserve">pair maps</w:t>
      </w:r>
      <w:r>
        <w:t xml:space="preserve"> </w:t>
      </w:r>
      <w:r>
        <w:t xml:space="preserve">to a known builtin pair (e.g. 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), Docs Chain selects</w:t>
      </w:r>
      <w:r>
        <w:t xml:space="preserve"> </w:t>
      </w:r>
      <w:r>
        <w:t xml:space="preserve">the builtin pair automatically; otherwise both MUST be specified.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ransform-spec"/>
    <w:p>
      <w:pPr>
        <w:pStyle w:val="Heading2"/>
      </w:pPr>
      <w:r>
        <w:t xml:space="preserve">5. Transform spec</w:t>
      </w:r>
    </w:p>
    <w:p>
      <w:pPr>
        <w:pStyle w:val="FirstParagraph"/>
      </w:pPr>
      <w:r>
        <w:t xml:space="preserve">A transform is either a builtin or an external command.</w:t>
      </w:r>
    </w:p>
    <w:p>
      <w:pPr>
        <w:pStyle w:val="SourceCode"/>
      </w:pPr>
      <w:r>
        <w:rPr>
          <w:rStyle w:val="FunctionTok"/>
        </w:rPr>
        <w:t xml:space="preserve">&lt;transform_name&gt;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&lt;builtin-name&gt;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&lt;transform_name&gt;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&lt;command&gt;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&lt;arg&gt;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800"/>
        <w:gridCol w:w="16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builtin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one-of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one-of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command/script path, project-root-relative or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; 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builtin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; appended after the input/output paths Docs Chain passes</w:t>
            </w:r>
          </w:p>
        </w:tc>
      </w:tr>
    </w:tbl>
    <w:p>
      <w:pPr>
        <w:pStyle w:val="BodyText"/>
      </w:pPr>
      <w:r>
        <w:t xml:space="preserve">Exactly one of</w:t>
      </w:r>
      <w:r>
        <w:t xml:space="preserve"> </w:t>
      </w:r>
      <w:r>
        <w:rPr>
          <w:rStyle w:val="VerbatimChar"/>
        </w:rPr>
        <w:t xml:space="preserve">builtin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MUST be present.</w:t>
      </w:r>
    </w:p>
    <w:bookmarkStart w:id="17" w:name="allowed-builtin-values"/>
    <w:p>
      <w:pPr>
        <w:pStyle w:val="Heading3"/>
      </w:pPr>
      <w:r>
        <w:t xml:space="preserve">5.1 Allowed</w:t>
      </w:r>
      <w:r>
        <w:t xml:space="preserve"> </w:t>
      </w:r>
      <w:r>
        <w:rPr>
          <w:rStyle w:val="VerbatimChar"/>
        </w:rPr>
        <w:t xml:space="preserve">builtin</w:t>
      </w:r>
      <w:r>
        <w:t xml:space="preserve"> </w:t>
      </w:r>
      <w:r>
        <w:t xml:space="preserve">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Builtin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pandoc-html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→ html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weasyprint-pdf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 → 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markdown → pdf</w:t>
            </w:r>
          </w:p>
        </w:tc>
        <w:tc>
          <w:tcPr/>
          <w:p>
            <w:pPr>
              <w:pStyle w:val="Compact"/>
            </w:pPr>
            <w:r>
              <w:t xml:space="preserve">weasyprint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colorize-html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 → html</w:t>
            </w:r>
            <w:r>
              <w:t xml:space="preserve"> </w:t>
            </w:r>
            <w:r>
              <w:t xml:space="preserve">post-process (§11.4.23)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→ summary</w:t>
            </w:r>
            <w:r>
              <w:t xml:space="preserve"> </w:t>
            </w:r>
            <w:r>
              <w:t xml:space="preserve">(pluggable generator)</w:t>
            </w:r>
          </w:p>
        </w:tc>
        <w:tc>
          <w:tcPr/>
          <w:p>
            <w:pPr>
              <w:pStyle w:val="Compact"/>
            </w:pPr>
            <w:r>
              <w:t xml:space="preserve">configured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md-to-sqlite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→ sqlite</w:t>
            </w:r>
          </w:p>
        </w:tc>
        <w:tc>
          <w:tcPr/>
          <w:p>
            <w:pPr>
              <w:pStyle w:val="Compact"/>
            </w:pPr>
            <w:r>
              <w:t xml:space="preserve">configured DB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sqlite-to-md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 → markdown</w:t>
            </w:r>
          </w:p>
        </w:tc>
        <w:tc>
          <w:tcPr/>
          <w:p>
            <w:pPr>
              <w:pStyle w:val="Compact"/>
            </w:pPr>
            <w:r>
              <w:t xml:space="preserve">configured DB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members-fingerprint</w:t>
            </w:r>
          </w:p>
        </w:tc>
        <w:tc>
          <w:tcPr/>
          <w:p>
            <w:pPr>
              <w:pStyle w:val="Compact"/>
            </w:pPr>
            <w:r>
              <w:t xml:space="preserve">members glob →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 </w:t>
            </w:r>
            <w:r>
              <w:t xml:space="preserve">(§11.4.86)</w:t>
            </w:r>
          </w:p>
        </w:tc>
        <w:tc>
          <w:tcPr/>
          <w:p>
            <w:pPr>
              <w:pStyle w:val="Compact"/>
            </w:pPr>
            <w:r>
              <w:t xml:space="preserve">internal sha256-of-sorted-members</w:t>
            </w:r>
          </w:p>
        </w:tc>
      </w:tr>
    </w:tbl>
    <w:bookmarkEnd w:id="17"/>
    <w:bookmarkStart w:id="18" w:name="exec-transform-contract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 contract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 is invoked with input path(s) and the staged output</w:t>
      </w:r>
      <w:r>
        <w:t xml:space="preserve"> </w:t>
      </w:r>
      <w:r>
        <w:t xml:space="preserve">temp path supplied by Docs Chain. It MUST:</w:t>
      </w:r>
    </w:p>
    <w:p>
      <w:pPr>
        <w:pStyle w:val="Compact"/>
        <w:numPr>
          <w:ilvl w:val="0"/>
          <w:numId w:val="1002"/>
        </w:numPr>
      </w:pPr>
      <w:r>
        <w:t xml:space="preserve">read ONLY from the declared input node paths;</w:t>
      </w:r>
    </w:p>
    <w:p>
      <w:pPr>
        <w:pStyle w:val="Compact"/>
        <w:numPr>
          <w:ilvl w:val="0"/>
          <w:numId w:val="1002"/>
        </w:numPr>
      </w:pPr>
      <w:r>
        <w:t xml:space="preserve">write its result to the staged temp path Docs Chain provides (never</w:t>
      </w:r>
      <w:r>
        <w:t xml:space="preserve"> </w:t>
      </w:r>
      <w:r>
        <w:t xml:space="preserve">directly to the live artefact — Docs Chain owns the atomic rename, §8);</w:t>
      </w:r>
    </w:p>
    <w:p>
      <w:pPr>
        <w:pStyle w:val="Compact"/>
        <w:numPr>
          <w:ilvl w:val="0"/>
          <w:numId w:val="1002"/>
        </w:numPr>
      </w:pPr>
      <w:r>
        <w:t xml:space="preserve">exit 0 on success, non-zero on failure (triggers rollback, exit 3);</w:t>
      </w:r>
    </w:p>
    <w:p>
      <w:pPr>
        <w:pStyle w:val="Compact"/>
        <w:numPr>
          <w:ilvl w:val="0"/>
          <w:numId w:val="1002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byte-stable</w:t>
      </w:r>
      <w:r>
        <w:t xml:space="preserve"> </w:t>
      </w:r>
      <w:r>
        <w:t xml:space="preserve">output for identical input (§11.4.50 — a</w:t>
      </w:r>
      <w:r>
        <w:t xml:space="preserve"> </w:t>
      </w:r>
      <w:r>
        <w:t xml:space="preserve">non-deterministic transform causes false drift and fails the Phase 2</w:t>
      </w:r>
      <w:r>
        <w:t xml:space="preserve"> </w:t>
      </w:r>
      <w:r>
        <w:t xml:space="preserve">meta-test).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nnotated-example-derive-from-chain"/>
    <w:p>
      <w:pPr>
        <w:pStyle w:val="Heading2"/>
      </w:pPr>
      <w:r>
        <w:t xml:space="preserve">6. Annotated example —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chain</w:t>
      </w:r>
    </w:p>
    <w:p>
      <w:pPr>
        <w:pStyle w:val="FirstParagraph"/>
      </w:pPr>
      <w:r>
        <w:t xml:space="preserve">The universal markdown-export chain (§11.4.65): one source, two exports.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</w:t>
      </w:r>
      <w:r>
        <w:rPr>
          <w:rStyle w:val="CommentTok"/>
        </w:rPr>
        <w:t xml:space="preserve">                              # context name (= filename stem)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 doc with html + pdf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docs/guides/MY_GUIDE.md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input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docs/guides/MY_GUIDE.html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derived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docs/guides/MY_GUIDE.pdf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derived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one-way: regenerate html from 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one-way: regenerate pdf from html (so styling/colorization carries through)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Propagation: edit</w:t>
      </w:r>
      <w:r>
        <w:t xml:space="preserve"> </w:t>
      </w:r>
      <w:r>
        <w:rPr>
          <w:rStyle w:val="VerbatimChar"/>
        </w:rPr>
        <w:t xml:space="preserve">guide_md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guide_html</w:t>
      </w:r>
      <w:r>
        <w:t xml:space="preserve"> </w:t>
      </w:r>
      <w:r>
        <w:t xml:space="preserve">regenerates →</w:t>
      </w:r>
      <w:r>
        <w:t xml:space="preserve"> </w:t>
      </w:r>
      <w:r>
        <w:rPr>
          <w:rStyle w:val="VerbatimChar"/>
        </w:rPr>
        <w:t xml:space="preserve">guide_pdf</w:t>
      </w:r>
      <w:r>
        <w:t xml:space="preserve"> </w:t>
      </w:r>
      <w:r>
        <w:t xml:space="preserve">regenerates. Edit nothing → early-cutoff → exit 0, no writes.</w:t>
      </w:r>
    </w:p>
    <w:p>
      <w:r>
        <w:pict>
          <v:rect style="width:0;height:1.5pt" o:hralign="center" o:hrstd="t" o:hr="t"/>
        </w:pict>
      </w:r>
    </w:p>
    <w:bookmarkEnd w:id="20"/>
    <w:bookmarkStart w:id="21" w:name="annotated-example-sync-edge"/>
    <w:p>
      <w:pPr>
        <w:pStyle w:val="Heading2"/>
      </w:pPr>
      <w:r>
        <w:t xml:space="preserve">7. Annotated example —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</w:t>
      </w:r>
    </w:p>
    <w:p>
      <w:pPr>
        <w:pStyle w:val="FirstParagraph"/>
      </w:pPr>
      <w:r>
        <w:t xml:space="preserve">The issues chain (§11.4.93 / §11.4.12): DB is the single source of truth,</w:t>
      </w:r>
      <w:r>
        <w:t xml:space="preserve"> </w:t>
      </w:r>
      <w:r>
        <w:t xml:space="preserve">bidirectionally synced with Markdown, then exported.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Workable-items tracker chain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items_db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docs/workable_items.db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input + derived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docs/Issues.md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 # input + derived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docs/Issues_Summary.md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derived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docs/Issues.html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# derived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docs/Issues.pdf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# derived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bidirectional single-source-of-truth; DB wins when it is the sole dirty side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items_db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items_db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transform_a_to_b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transform_b_to_a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db-to-md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one-way derivations from the resolved markdown view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gen-issues-summary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"scripts/testing/workable_items"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"sync"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"md-to-db"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db-to-md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"scripts/testing/workable_items"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"sync"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"db-to-md"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gen-issues-summary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"scripts/testing/generate_issues_summary.sh"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Conflict rule: if BOTH</w:t>
      </w:r>
      <w:r>
        <w:t xml:space="preserve"> </w:t>
      </w:r>
      <w:r>
        <w:rPr>
          <w:rStyle w:val="VerbatimChar"/>
        </w:rPr>
        <w:t xml:space="preserve">issues_md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items_db</w:t>
      </w:r>
      <w:r>
        <w:t xml:space="preserve"> </w:t>
      </w:r>
      <w:r>
        <w:t xml:space="preserve">are dirty in one run,</w:t>
      </w:r>
      <w:r>
        <w:t xml:space="preserve"> </w:t>
      </w:r>
      <w:r>
        <w:t xml:space="preserve">Docs Chain emits a conflict (exit 2, no writes) per ARCHITECTURE §5.</w:t>
      </w:r>
    </w:p>
    <w:p>
      <w:r>
        <w:pict>
          <v:rect style="width:0;height:1.5pt" o:hralign="center" o:hrstd="t" o:hr="t"/>
        </w:pict>
      </w:r>
    </w:p>
    <w:bookmarkEnd w:id="21"/>
    <w:bookmarkStart w:id="22" w:name="validation-rules-summary"/>
    <w:p>
      <w:pPr>
        <w:pStyle w:val="Heading2"/>
      </w:pPr>
      <w:r>
        <w:t xml:space="preserve">8. Validation rules summary</w:t>
      </w:r>
    </w:p>
    <w:p>
      <w:pPr>
        <w:pStyle w:val="FirstParagraph"/>
      </w:pPr>
      <w:r>
        <w:t xml:space="preserve">The loader (Phase 4) rejects a context (exit 4) when any holds: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context</w:t>
      </w:r>
      <w:r>
        <w:t xml:space="preserve"> </w:t>
      </w:r>
      <w:r>
        <w:t xml:space="preserve">is empty or missing.</w:t>
      </w:r>
    </w:p>
    <w:p>
      <w:pPr>
        <w:pStyle w:val="Compact"/>
        <w:numPr>
          <w:ilvl w:val="0"/>
          <w:numId w:val="1003"/>
        </w:numPr>
      </w:pPr>
      <w:r>
        <w:t xml:space="preserve">A node id is referenced by an edge but absent from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transform name is referenced by an edge but absent from</w:t>
      </w:r>
      <w:r>
        <w:t xml:space="preserve"> </w:t>
      </w:r>
      <w:r>
        <w:rPr>
          <w:rStyle w:val="VerbatimChar"/>
        </w:rPr>
        <w:t xml:space="preserve">transforms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transform spec has neither</w:t>
      </w:r>
      <w:r>
        <w:t xml:space="preserve"> </w:t>
      </w:r>
      <w:r>
        <w:rPr>
          <w:rStyle w:val="VerbatimChar"/>
        </w:rPr>
        <w:t xml:space="preserve">builtin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(or has both).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 </w:t>
      </w:r>
      <w:r>
        <w:t xml:space="preserve">node lacks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edge’s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is neither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sub-graph contains a cycle (Kahn residual).</w:t>
      </w:r>
    </w:p>
    <w:p>
      <w:pPr>
        <w:pStyle w:val="Compact"/>
        <w:numPr>
          <w:ilvl w:val="0"/>
          <w:numId w:val="1003"/>
        </w:numPr>
      </w:pPr>
      <w:r>
        <w:t xml:space="preserve">Two nodes share the same id.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CONFIG_SCHEMA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