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USE_CASE_CATALOGUE</w:t>
      </w:r>
    </w:p>
    <w:bookmarkStart w:id="27" w:name="docs-chain-use-case-catalogue"/>
    <w:p>
      <w:pPr>
        <w:pStyle w:val="Heading1"/>
      </w:pPr>
      <w:r>
        <w:t xml:space="preserve">Docs Chain — Use-Case Catalogue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2026-05-31T12:00:00Z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Living registry. The Phase 1–4 engine + CLI (</w:t>
      </w:r>
      <w:r>
        <w:rPr>
          <w:rStyle w:val="VerbatimChar"/>
        </w:rPr>
        <w:t xml:space="preserve">sync</w:t>
      </w:r>
      <w:r>
        <w:t xml:space="preserve">/</w:t>
      </w:r>
      <w:r>
        <w:rPr>
          <w:rStyle w:val="VerbatimChar"/>
        </w:rPr>
        <w:t xml:space="preserve">verify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graph</w:t>
      </w:r>
      <w:r>
        <w:t xml:space="preserve">) is IMPLEMENTED + tested — it processes any context below today. Recipes (a)–(h) are DESIGNED contexts whose</w:t>
      </w:r>
      <w:r>
        <w:t xml:space="preserve"> </w:t>
      </w:r>
      <w:r>
        <w:rPr>
          <w:i/>
          <w:iCs/>
        </w:rPr>
        <w:t xml:space="preserve">registration into ATMOSphere</w:t>
      </w:r>
      <w:r>
        <w:t xml:space="preserve"> </w:t>
      </w:r>
      <w:r>
        <w:t xml:space="preserve">is PLANNED (Phase 7); their per-recipe tags reflect that wiring step, not the engine. Appendix Z is a WORKED, registered, verify-green consumer example (Herald). See per-recipe status tags.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legend"/>
    <w:p>
      <w:pPr>
        <w:pStyle w:val="Heading2"/>
      </w:pPr>
      <w:r>
        <w:t xml:space="preserve">Status legend</w:t>
      </w:r>
    </w:p>
    <w:p>
      <w:pPr>
        <w:pStyle w:val="FirstParagraph"/>
      </w:pPr>
      <w:r>
        <w:t xml:space="preserve">Per §11.4.6 (no-guessing):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PLANNED (Phase N)</w:t>
      </w:r>
      <w:r>
        <w:t xml:space="preserve"> </w:t>
      </w:r>
      <w:r>
        <w:t xml:space="preserve">— the recipe is designed; its</w:t>
      </w:r>
      <w:r>
        <w:t xml:space="preserve"> </w:t>
      </w:r>
      <w:r>
        <w:rPr>
          <w:i/>
          <w:iCs/>
        </w:rPr>
        <w:t xml:space="preserve">registration /</w:t>
      </w:r>
      <w:r>
        <w:rPr>
          <w:i/>
          <w:iCs/>
        </w:rPr>
        <w:t xml:space="preserve"> </w:t>
      </w:r>
      <w:r>
        <w:rPr>
          <w:i/>
          <w:iCs/>
        </w:rPr>
        <w:t xml:space="preserve">wiring</w:t>
      </w:r>
      <w:r>
        <w:t xml:space="preserve"> </w:t>
      </w:r>
      <w:r>
        <w:t xml:space="preserve">lands in Phase N of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. The Phase 1–4 engine that would</w:t>
      </w:r>
      <w:r>
        <w:t xml:space="preserve"> </w:t>
      </w:r>
      <w:r>
        <w:t xml:space="preserve">process it is already IMPLEMENTED.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IMPLEMENTED</w:t>
      </w:r>
      <w:r>
        <w:t xml:space="preserve"> </w:t>
      </w:r>
      <w:r>
        <w:t xml:space="preserve">— the context is registered and a real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 </w:t>
      </w:r>
      <w:r>
        <w:t xml:space="preserve">against it exits 0 (see</w:t>
      </w:r>
      <w:r>
        <w:t xml:space="preserve"> </w:t>
      </w:r>
      <w:hyperlink w:anchor="X631fe5c1c43916e40c7acb80b90fd424774b8eb">
        <w:r>
          <w:rPr>
            <w:rStyle w:val="Hyperlink"/>
          </w:rPr>
          <w:t xml:space="preserve">Appendix Z</w:t>
        </w:r>
      </w:hyperlink>
      <w:r>
        <w:t xml:space="preserve"> </w:t>
      </w:r>
      <w:r>
        <w:t xml:space="preserve">for a worked one).</w:t>
      </w:r>
    </w:p>
    <w:p>
      <w:pPr>
        <w:pStyle w:val="FirstParagraph"/>
      </w:pPr>
      <w:r>
        <w:t xml:space="preserve">The Phase 1–4 engine + CLI is built and tested (</w:t>
      </w:r>
      <w:r>
        <w:rPr>
          <w:rStyle w:val="VerbatimChar"/>
        </w:rPr>
        <w:t xml:space="preserve">go test -race ./...</w:t>
      </w:r>
      <w:r>
        <w:t xml:space="preserve"> </w:t>
      </w:r>
      <w:r>
        <w:t xml:space="preserve">passes;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/</w:t>
      </w:r>
      <w:r>
        <w:rPr>
          <w:rStyle w:val="VerbatimChar"/>
        </w:rPr>
        <w:t xml:space="preserve">verify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today). Recipes (a)–(h) below are still tagged</w:t>
      </w:r>
      <w:r>
        <w:t xml:space="preserve"> </w:t>
      </w:r>
      <w:r>
        <w:rPr>
          <w:b/>
          <w:bCs/>
        </w:rPr>
        <w:t xml:space="preserve">PLANNED (Phase 7)</w:t>
      </w:r>
      <w:r>
        <w:t xml:space="preserve"> </w:t>
      </w:r>
      <w:r>
        <w:t xml:space="preserve">because their</w:t>
      </w:r>
      <w:r>
        <w:t xml:space="preserve"> </w:t>
      </w:r>
      <w:r>
        <w:rPr>
          <w:i/>
          <w:iCs/>
        </w:rPr>
        <w:t xml:space="preserve">ATMOSphere registration</w:t>
      </w:r>
      <w:r>
        <w:t xml:space="preserve"> </w:t>
      </w:r>
      <w:r>
        <w:t xml:space="preserve">is the Phase-7 step — NOT because</w:t>
      </w:r>
      <w:r>
        <w:t xml:space="preserve"> </w:t>
      </w:r>
      <w:r>
        <w:t xml:space="preserve">the engine cannot process them. They are ready-to-use chain definitions a</w:t>
      </w:r>
      <w:r>
        <w:t xml:space="preserve"> </w:t>
      </w:r>
      <w:r>
        <w:t xml:space="preserve">consuming project can stage and run now.</w:t>
      </w:r>
    </w:p>
    <w:p>
      <w:pPr>
        <w:pStyle w:val="BodyText"/>
      </w:pPr>
      <w:r>
        <w:t xml:space="preserve">This file is a</w:t>
      </w:r>
      <w:r>
        <w:t xml:space="preserve"> </w:t>
      </w:r>
      <w:r>
        <w:rPr>
          <w:b/>
          <w:bCs/>
        </w:rPr>
        <w:t xml:space="preserve">living registry</w:t>
      </w:r>
      <w:r>
        <w:t xml:space="preserve"> </w:t>
      </w:r>
      <w:r>
        <w:t xml:space="preserve">— new projects extend it by appending</w:t>
      </w:r>
      <w:r>
        <w:t xml:space="preserve"> </w:t>
      </w:r>
      <w:r>
        <w:t xml:space="preserve">a recipe section in the same shape (purpose · members · edge directions ·</w:t>
      </w:r>
      <w:r>
        <w:t xml:space="preserve"> </w:t>
      </w:r>
      <w:r>
        <w:t xml:space="preserve">transform · mandate satisfied · script superseded · YAML).</w:t>
      </w:r>
    </w:p>
    <w:p>
      <w:r>
        <w:pict>
          <v:rect style="width:0;height:1.5pt" o:hralign="center" o:hrstd="t" o:hr="t"/>
        </w:pict>
      </w:r>
    </w:p>
    <w:bookmarkEnd w:id="9"/>
    <w:bookmarkStart w:id="10" w:name="catalogue-index"/>
    <w:p>
      <w:pPr>
        <w:pStyle w:val="Heading2"/>
      </w:pPr>
      <w:r>
        <w:t xml:space="preserve">Catalogue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038"/>
        <w:gridCol w:w="2856"/>
        <w:gridCol w:w="36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Recipe</w:t>
            </w:r>
          </w:p>
        </w:tc>
        <w:tc>
          <w:tcPr/>
          <w:p>
            <w:pPr>
              <w:pStyle w:val="Compact"/>
            </w:pPr>
            <w:r>
              <w:t xml:space="preserve">Mandate(s) satisfied</w:t>
            </w:r>
          </w:p>
        </w:tc>
        <w:tc>
          <w:tcPr/>
          <w:p>
            <w:pPr>
              <w:pStyle w:val="Compact"/>
            </w:pPr>
            <w:r>
              <w:t xml:space="preserve">Supersedes (ad-hoc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hyperlink w:anchor="a-issues-chain">
              <w:r>
                <w:rPr>
                  <w:rStyle w:val="Hyperlink"/>
                </w:rPr>
                <w:t xml:space="preserve">Issues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§11.4.93 · §11.4.12 · §11.4.95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sync_issues_docs.sh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generate_issues_summary.sh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hyperlink w:anchor="b-fixed-chain">
              <w:r>
                <w:rPr>
                  <w:rStyle w:val="Hyperlink"/>
                </w:rPr>
                <w:t xml:space="preserve">Fixed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§11.4.53 · §11.4.19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generate_fixed_summary.sh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sync_issues_docs.sh</w:t>
            </w:r>
            <w:r>
              <w:t xml:space="preserve"> </w:t>
            </w:r>
            <w:r>
              <w:t xml:space="preserve">(Fixed stage)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hyperlink w:anchor="c-status-doc-chain">
              <w:r>
                <w:rPr>
                  <w:rStyle w:val="Hyperlink"/>
                </w:rPr>
                <w:t xml:space="preserve">Status-doc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§11.4.45 · §11.4.56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sync_integration_status.sh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generate_status_summary.sh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hyperlink w:anchor="d-roster--corpus-chain">
              <w:r>
                <w:rPr>
                  <w:rStyle w:val="Hyperlink"/>
                </w:rPr>
                <w:t xml:space="preserve">Roster / corpus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sync_asset_player_status.sh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</w:t>
            </w:r>
          </w:p>
        </w:tc>
        <w:tc>
          <w:tcPr/>
          <w:p>
            <w:pPr>
              <w:pStyle w:val="Compact"/>
            </w:pPr>
            <w:hyperlink w:anchor="e-changelog-chain">
              <w:r>
                <w:rPr>
                  <w:rStyle w:val="Hyperlink"/>
                </w:rPr>
                <w:t xml:space="preserve">Changelog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export_changelog.sh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(f)</w:t>
            </w:r>
          </w:p>
        </w:tc>
        <w:tc>
          <w:tcPr/>
          <w:p>
            <w:pPr>
              <w:pStyle w:val="Compact"/>
            </w:pPr>
            <w:hyperlink w:anchor="f-readme-doc-link-chain">
              <w:r>
                <w:rPr>
                  <w:rStyle w:val="Hyperlink"/>
                </w:rPr>
                <w:t xml:space="preserve">README doc-link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§11.4.57 · §11.4.59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update_readme_doc_links.sh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sync_readme_export.sh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(g)</w:t>
            </w:r>
          </w:p>
        </w:tc>
        <w:tc>
          <w:tcPr/>
          <w:p>
            <w:pPr>
              <w:pStyle w:val="Compact"/>
            </w:pPr>
            <w:hyperlink w:anchor="g-universal-markdown-export-chain">
              <w:r>
                <w:rPr>
                  <w:rStyle w:val="Hyperlink"/>
                </w:rPr>
                <w:t xml:space="preserve">Universal markdown-export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sync_all_markdown_exports.sh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(h)</w:t>
            </w:r>
          </w:p>
        </w:tc>
        <w:tc>
          <w:tcPr/>
          <w:p>
            <w:pPr>
              <w:pStyle w:val="Compact"/>
            </w:pPr>
            <w:hyperlink w:anchor="h-continuation-chain">
              <w:r>
                <w:rPr>
                  <w:rStyle w:val="Hyperlink"/>
                </w:rPr>
                <w:t xml:space="preserve">CONTINUATION chain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§12.10 · §11.4.44</w:t>
            </w:r>
          </w:p>
        </w:tc>
        <w:tc>
          <w:tcPr/>
          <w:p>
            <w:pPr>
              <w:pStyle w:val="Compact"/>
            </w:pPr>
            <w:r>
              <w:t xml:space="preserve">(manual)</w:t>
            </w:r>
            <w:r>
              <w:t xml:space="preserve"> </w:t>
            </w:r>
            <w:r>
              <w:rPr>
                <w:rStyle w:val="VerbatimChar"/>
              </w:rPr>
              <w:t xml:space="preserve">sync_issues_docs.sh</w:t>
            </w:r>
            <w:r>
              <w:t xml:space="preserve"> </w:t>
            </w:r>
            <w:r>
              <w:t xml:space="preserve">CONTINUATION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(Z)</w:t>
            </w:r>
          </w:p>
        </w:tc>
        <w:tc>
          <w:tcPr/>
          <w:p>
            <w:pPr>
              <w:pStyle w:val="Compact"/>
            </w:pPr>
            <w:hyperlink w:anchor="X631fe5c1c43916e40c7acb80b90fd424774b8eb">
              <w:r>
                <w:rPr>
                  <w:rStyle w:val="Hyperlink"/>
                </w:rPr>
                <w:t xml:space="preserve">Worked consumer example (Herald) — relative-asset-stable exec exports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§11.4.65 · §11.4.50</w:t>
            </w:r>
          </w:p>
        </w:tc>
        <w:tc>
          <w:tcPr/>
          <w:p>
            <w:pPr>
              <w:pStyle w:val="Compact"/>
            </w:pPr>
            <w:r>
              <w:t xml:space="preserve">Herald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(66-doc corpus)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Catalogued scenario count: 8</w:t>
      </w:r>
      <w:r>
        <w:t xml:space="preserve"> </w:t>
      </w:r>
      <w:r>
        <w:t xml:space="preserve">designed recipes</w:t>
      </w:r>
      <w:r>
        <w:t xml:space="preserve"> </w:t>
      </w:r>
      <w:r>
        <w:rPr>
          <w:b/>
          <w:bCs/>
        </w:rPr>
        <w:t xml:space="preserve">+ 1 worked consumer</w:t>
      </w:r>
      <w:r>
        <w:rPr>
          <w:b/>
          <w:bCs/>
        </w:rPr>
        <w:t xml:space="preserve"> </w:t>
      </w:r>
      <w:r>
        <w:rPr>
          <w:b/>
          <w:bCs/>
        </w:rPr>
        <w:t xml:space="preserve">appendix (Z, IMPLEMENTED / verify-green)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a-issues-chain"/>
    <w:p>
      <w:pPr>
        <w:pStyle w:val="Heading2"/>
      </w:pPr>
      <w:r>
        <w:t xml:space="preserve">(a) Issues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keep the workable-items tracker mutually consistent —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are bidirectional views of the same</w:t>
      </w:r>
      <w:r>
        <w:t xml:space="preserve"> </w:t>
      </w:r>
      <w:r>
        <w:t xml:space="preserve">data;</w:t>
      </w:r>
      <w:r>
        <w:t xml:space="preserve"> </w:t>
      </w:r>
      <w:r>
        <w:rPr>
          <w:rStyle w:val="VerbatimChar"/>
        </w:rPr>
        <w:t xml:space="preserve">Issues_Summary.md</w:t>
      </w:r>
      <w:r>
        <w:t xml:space="preserve"> </w:t>
      </w:r>
      <w:r>
        <w:t xml:space="preserve">is generated from the Markdown; HTML + PDF</w:t>
      </w:r>
      <w:r>
        <w:t xml:space="preserve"> </w:t>
      </w:r>
      <w:r>
        <w:t xml:space="preserve">exports are derived.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(sqlite),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(markdown),</w:t>
      </w:r>
      <w:r>
        <w:t xml:space="preserve"> </w:t>
      </w:r>
      <w:r>
        <w:rPr>
          <w:rStyle w:val="VerbatimChar"/>
        </w:rPr>
        <w:t xml:space="preserve">Issues_Summary.md</w:t>
      </w:r>
      <w:r>
        <w:t xml:space="preserve"> </w:t>
      </w:r>
      <w:r>
        <w:t xml:space="preserve">(summary),</w:t>
      </w:r>
      <w:r>
        <w:t xml:space="preserve"> </w:t>
      </w:r>
      <w:r>
        <w:rPr>
          <w:rStyle w:val="VerbatimChar"/>
        </w:rPr>
        <w:t xml:space="preserve">Issues.html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Issues.pdf</w:t>
      </w:r>
      <w:r>
        <w:t xml:space="preserve"> </w:t>
      </w:r>
      <w:r>
        <w:t xml:space="preserve">(exports),</w:t>
      </w:r>
      <w:r>
        <w:t xml:space="preserve"> </w:t>
      </w:r>
      <w:r>
        <w:t xml:space="preserve">and the summary’s own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Issues.md ↔ workable_items.db</w:t>
      </w:r>
      <w:r>
        <w:t xml:space="preserve"> </w:t>
      </w:r>
      <w:r>
        <w:t xml:space="preserve">(sync, authority =</w:t>
      </w:r>
      <w:r>
        <w:t xml:space="preserve"> </w:t>
      </w:r>
      <w:r>
        <w:t xml:space="preserve">db);</w:t>
      </w:r>
      <w:r>
        <w:t xml:space="preserve"> </w:t>
      </w:r>
      <w:r>
        <w:rPr>
          <w:rStyle w:val="VerbatimChar"/>
        </w:rPr>
        <w:t xml:space="preserve">Issues.md → Issues_Summary.md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Issues.md → .html → .pdf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Issues_Summary.md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(the §11.4.93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binary),</w:t>
      </w:r>
      <w:r>
        <w:t xml:space="preserve"> </w:t>
      </w:r>
      <w:r>
        <w:rPr>
          <w:rStyle w:val="VerbatimChar"/>
        </w:rPr>
        <w:t xml:space="preserve">gen-issues-summary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§11.4.93 (DB single source of truth) · §11.4.12</w:t>
      </w:r>
      <w:r>
        <w:t xml:space="preserve"> </w:t>
      </w:r>
      <w:r>
        <w:t xml:space="preserve">(Issues_Summary sync) · §11.4.95 (DB tracked + WAL-checkpoint commit).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(Issues stage),</w:t>
      </w:r>
      <w:r>
        <w:t xml:space="preserve"> </w:t>
      </w:r>
      <w:r>
        <w:rPr>
          <w:rStyle w:val="VerbatimChar"/>
        </w:rPr>
        <w:t xml:space="preserve">generate_issues_summary.sh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Workable-items tracker chain (DB single source of truth)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items_db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docs/workable_items.db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summary_html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summary_pdf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sync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transform_a_to_b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transform_b_to_a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db-to-md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gen-issues-summary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"md-to-db"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db-to-md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"db-to-md"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gen-issues-summary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"scripts/testing/generate_issues_summary.sh"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b-fixed-chain"/>
    <w:p>
      <w:pPr>
        <w:pStyle w:val="Heading2"/>
      </w:pPr>
      <w:r>
        <w:t xml:space="preserve">(b) Fixed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mirror of the issues chain for the closed-archive tracker —</w:t>
      </w:r>
      <w:r>
        <w:t xml:space="preserve"> </w:t>
      </w:r>
      <w:r>
        <w:rPr>
          <w:rStyle w:val="VerbatimChar"/>
        </w:rPr>
        <w:t xml:space="preserve">Fixed_Summary.md</w:t>
      </w:r>
      <w:r>
        <w:t xml:space="preserve"> </w:t>
      </w:r>
      <w:r>
        <w:t xml:space="preserve">regenerated from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, with synchronized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(markdown),</w:t>
      </w:r>
      <w:r>
        <w:t xml:space="preserve"> </w:t>
      </w:r>
      <w:r>
        <w:rPr>
          <w:rStyle w:val="VerbatimChar"/>
        </w:rPr>
        <w:t xml:space="preserve">Fixed_Summary.md</w:t>
      </w:r>
      <w:r>
        <w:t xml:space="preserve"> </w:t>
      </w:r>
      <w:r>
        <w:t xml:space="preserve">(summary),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of 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Fixed.md → Fixed_Summary.md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Fixed.md → .html → .pdf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Fixed_Summary.md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gen-fixed-summary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§11.4.53 (Fixed_Summary parity) · §11.4.19 (column</w:t>
      </w:r>
      <w:r>
        <w:t xml:space="preserve"> </w:t>
      </w:r>
      <w:r>
        <w:t xml:space="preserve">alignment).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generate_fixed_summary.sh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(Fixed stage).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Closed-archive tracker chain (Fixed_Summary parity)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fsum_html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docs/Fixed_Summary.html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fsum_pdf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docs/Fixed_Summary.pdf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gen-fixed-summary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fixed_summary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fsum_pdf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gen-fixed-summary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"scripts/testing/generate_fixed_summary.sh"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c-status-doc-chain"/>
    <w:p>
      <w:pPr>
        <w:pStyle w:val="Heading2"/>
      </w:pPr>
      <w:r>
        <w:t xml:space="preserve">(c) Status-doc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every per-domain integration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 </w:t>
      </w:r>
      <w:r>
        <w:t xml:space="preserve">(two-audience digest) and exports in sync.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docs/&lt;domain&gt;/&lt;integration&gt;/Status.md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of each.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Status.md → Status_Summary.md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Status.md → .html → .pdf</w:t>
      </w:r>
      <w:r>
        <w:t xml:space="preserve"> </w:t>
      </w:r>
      <w:r>
        <w:t xml:space="preserve">(derive);</w:t>
      </w:r>
      <w:r>
        <w:t xml:space="preserve"> </w:t>
      </w:r>
      <w:r>
        <w:rPr>
          <w:rStyle w:val="VerbatimChar"/>
        </w:rPr>
        <w:t xml:space="preserve">Status_Summary.md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gen-status-summary</w:t>
      </w:r>
      <w:r>
        <w:t xml:space="preserve"> </w:t>
      </w:r>
      <w:r>
        <w:t xml:space="preserve">(two-page page-1 non-developer +</w:t>
      </w:r>
      <w:r>
        <w:t xml:space="preserve"> </w:t>
      </w:r>
      <w:r>
        <w:t xml:space="preserve">page-2 engineer output, §11.4.56),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§11.4.45 (Status.md maintenance) · §11.4.56</w:t>
      </w:r>
      <w:r>
        <w:t xml:space="preserve"> </w:t>
      </w:r>
      <w:r>
        <w:t xml:space="preserve">(Status_Summary two-audience parity).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sync_integration_status.sh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generate_status_summary.sh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status_dolby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Dolby integration status chain (per-domain instance)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status_sum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docs/dolby/test_assets/Status.pdf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docs/dolby/test_assets/Status_Summary.html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sum_pdf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docs/dolby/test_assets/Status_Summary.pdf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gen-status-summary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status_html</w:t>
      </w:r>
      <w:r>
        <w:rPr>
          <w:rStyle w:val="KeywordTok"/>
        </w:rPr>
        <w:t xml:space="preserve">,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gen-status-summary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"scripts/testing/generate_status_summary.sh"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"docs/dolby/test_assets/Status.md"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Register one such context per integration domain (</w:t>
      </w:r>
      <w:r>
        <w:rPr>
          <w:rStyle w:val="VerbatimChar"/>
        </w:rPr>
        <w:t xml:space="preserve">status_dolby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status_players</w:t>
      </w:r>
      <w:r>
        <w:t xml:space="preserve">, …).</w:t>
      </w:r>
    </w:p>
    <w:p>
      <w:r>
        <w:pict>
          <v:rect style="width:0;height:1.5pt" o:hralign="center" o:hrstd="t" o:hr="t"/>
        </w:pict>
      </w:r>
    </w:p>
    <w:bookmarkEnd w:id="13"/>
    <w:bookmarkStart w:id="14" w:name="d-roster-corpus-chain"/>
    <w:p>
      <w:pPr>
        <w:pStyle w:val="Heading2"/>
      </w:pPr>
      <w:r>
        <w:t xml:space="preserve">(d) Roster / corpus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when a tracked roster (installed apps) or asset corpus</w:t>
      </w:r>
      <w:r>
        <w:t xml:space="preserve"> </w:t>
      </w:r>
      <w:r>
        <w:t xml:space="preserve">changes membership, the backing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re-syncs out of the box</w:t>
      </w:r>
      <w:r>
        <w:t xml:space="preserve"> </w:t>
      </w:r>
      <w:r>
        <w:t xml:space="preserve">(drift-proof content fingerprint, NOT mtime).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Members: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 </w:t>
      </w:r>
      <w:r>
        <w:t xml:space="preserve">node over the roster/corpus glob, the</w:t>
      </w:r>
      <w:r>
        <w:t xml:space="preserve"> </w:t>
      </w:r>
      <w:r>
        <w:t xml:space="preserve">backing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, and exports.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fingerprint → Status.md</w:t>
      </w:r>
      <w:r>
        <w:t xml:space="preserve"> </w:t>
      </w:r>
      <w:r>
        <w:t xml:space="preserve">(derive — a membership</w:t>
      </w:r>
      <w:r>
        <w:t xml:space="preserve"> </w:t>
      </w:r>
      <w:r>
        <w:t xml:space="preserve">change re-derives the Status doc);</w:t>
      </w:r>
      <w:r>
        <w:t xml:space="preserve"> </w:t>
      </w:r>
      <w:r>
        <w:rPr>
          <w:rStyle w:val="VerbatimChar"/>
        </w:rPr>
        <w:t xml:space="preserve">Status.md → Status_Summary.md → exports</w:t>
      </w:r>
      <w:r>
        <w:t xml:space="preserve"> </w:t>
      </w:r>
      <w:r>
        <w:t xml:space="preserve">(derive, as in recipe 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members-fingerprint</w:t>
      </w:r>
      <w:r>
        <w:t xml:space="preserve"> </w:t>
      </w:r>
      <w:r>
        <w:t xml:space="preserve">(builtin, sha256 of sorted member</w:t>
      </w:r>
      <w:r>
        <w:t xml:space="preserve"> </w:t>
      </w:r>
      <w:r>
        <w:t xml:space="preserve">list),</w:t>
      </w:r>
      <w:r>
        <w:t xml:space="preserve"> </w:t>
      </w:r>
      <w:r>
        <w:rPr>
          <w:rStyle w:val="VerbatimChar"/>
        </w:rPr>
        <w:t xml:space="preserve">gen-roster-status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gen-status-summary</w:t>
      </w:r>
      <w:r>
        <w:t xml:space="preserve">, exports.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§11.4.86 (roster/corpus-backed Status auto-sync,</w:t>
      </w:r>
      <w:r>
        <w:t xml:space="preserve"> </w:t>
      </w:r>
      <w:r>
        <w:t xml:space="preserve">fingerprint not mtime).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sync_asset_player_status.sh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asset_player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Pre-installed player roster -&gt; players Status chain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roster_fp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fingerprint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docs/players/.roster_fingerprint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</w:t>
      </w:r>
      <w:r>
        <w:rPr>
          <w:rStyle w:val="FunctionTok"/>
        </w:rPr>
        <w:t xml:space="preserve">members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"device/rockchip/rk3588/prebuilt_apps/*.apk"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players_md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docs/players/Status.md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players_sum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docs/players/Status_Summary.md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players_html</w:t>
      </w:r>
      <w:r>
        <w:rPr>
          <w:rStyle w:val="FunctionTok"/>
        </w:rPr>
        <w:t xml:space="preserve">:{ 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html,           path: docs/players/Status.html 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players_pdf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docs/players/Status.pdf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roster_fp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gen-roster-status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players_sum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gen-status-summary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players_pdf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gen-roster-status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"scripts/testing/sync_asset_player_status.sh"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gen-status-summary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"scripts/testing/generate_status_summary.sh"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"docs/players/Status.md"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 </w:t>
      </w:r>
      <w:r>
        <w:t xml:space="preserve">node hashes the sorted APK list — adding / removing /</w:t>
      </w:r>
      <w:r>
        <w:t xml:space="preserve"> </w:t>
      </w:r>
      <w:r>
        <w:t xml:space="preserve">renaming a player APK changes the hash and re-derives the Status doc,</w:t>
      </w:r>
      <w:r>
        <w:t xml:space="preserve"> </w:t>
      </w:r>
      <w:r>
        <w:t xml:space="preserve">even though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would reset mtime (§11.4.86 forensic lesson).</w:t>
      </w:r>
      <w:r>
        <w:t xml:space="preserve"> </w:t>
      </w:r>
      <w:r>
        <w:t xml:space="preserve">A second corpus context (</w:t>
      </w:r>
      <w:r>
        <w:rPr>
          <w:rStyle w:val="VerbatimChar"/>
        </w:rPr>
        <w:t xml:space="preserve">asset_corpus</w:t>
      </w:r>
      <w:r>
        <w:t xml:space="preserve">) registers the same shape over a</w:t>
      </w:r>
      <w:r>
        <w:t xml:space="preserve"> </w:t>
      </w:r>
      <w:r>
        <w:t xml:space="preserve">test-asset directory glob with an</w:t>
      </w:r>
      <w:r>
        <w:t xml:space="preserve"> </w:t>
      </w:r>
      <w:r>
        <w:rPr>
          <w:rStyle w:val="VerbatimChar"/>
        </w:rPr>
        <w:t xml:space="preserve">exclude:</w:t>
      </w:r>
      <w:r>
        <w:t xml:space="preserve"> </w:t>
      </w:r>
      <w:r>
        <w:t xml:space="preserve">for gitignored</w:t>
      </w:r>
      <w:r>
        <w:t xml:space="preserve"> </w:t>
      </w:r>
      <w:r>
        <w:rPr>
          <w:rStyle w:val="VerbatimChar"/>
        </w:rPr>
        <w:t xml:space="preserve">downloaded/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e-changelog-chain"/>
    <w:p>
      <w:pPr>
        <w:pStyle w:val="Heading2"/>
      </w:pPr>
      <w:r>
        <w:t xml:space="preserve">(e) Changelog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per-version</w:t>
      </w:r>
      <w:r>
        <w:t xml:space="preserve"> </w:t>
      </w:r>
      <w:r>
        <w:rPr>
          <w:rStyle w:val="VerbatimChar"/>
        </w:rPr>
        <w:t xml:space="preserve">changelogs/&lt;tag&gt;.md</w:t>
      </w:r>
      <w:r>
        <w:t xml:space="preserve"> </w:t>
      </w:r>
      <w:r>
        <w:t xml:space="preserve">always carries</w:t>
      </w:r>
      <w:r>
        <w:t xml:space="preserve"> </w:t>
      </w:r>
      <w:r>
        <w:t xml:space="preserve">synchronized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docs/changelogs/&lt;tag&gt;.md</w:t>
      </w:r>
      <w:r>
        <w:t xml:space="preserve"> </w:t>
      </w:r>
      <w:r>
        <w:t xml:space="preserve">(markdown),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&lt;tag&gt;.md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(and optionally an</w:t>
      </w:r>
      <w:r>
        <w:t xml:space="preserve"> </w:t>
      </w:r>
      <w:r>
        <w:rPr>
          <w:rStyle w:val="VerbatimChar"/>
        </w:rPr>
        <w:t xml:space="preserve">export-changelog</w:t>
      </w:r>
      <w:r>
        <w:t xml:space="preserve"> </w:t>
      </w:r>
      <w:r>
        <w:t xml:space="preserve">exec wrapping the existing multi-format exporter).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§11.4.65 (universal markdown export).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export_changelog.sh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changelog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Per-version changelog markdown -&gt; html + pdf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docs/changelogs/1.1.5-dev.md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docs/changelogs/1.1.5-dev.html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docs/changelogs/1.1.5-dev.pdf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For a directory of changelogs, register one context per active version</w:t>
      </w:r>
      <w:r>
        <w:t xml:space="preserve"> </w:t>
      </w:r>
      <w:r>
        <w:t xml:space="preserve">or use a glob-expanding wrapper context (see recipe g).</w:t>
      </w:r>
    </w:p>
    <w:p>
      <w:r>
        <w:pict>
          <v:rect style="width:0;height:1.5pt" o:hralign="center" o:hrstd="t" o:hr="t"/>
        </w:pict>
      </w:r>
    </w:p>
    <w:bookmarkEnd w:id="15"/>
    <w:bookmarkStart w:id="16" w:name="f-readme-doc-link-chain"/>
    <w:p>
      <w:pPr>
        <w:pStyle w:val="Heading2"/>
      </w:pPr>
      <w:r>
        <w:t xml:space="preserve">(f) README doc-link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README’s Tracked-Items + Status Documents section</w:t>
      </w:r>
      <w:r>
        <w:t xml:space="preserve"> </w:t>
      </w:r>
      <w:r>
        <w:t xml:space="preserve">(per-doc revision + last-modified) re-renders whenever any linked doc</w:t>
      </w:r>
      <w:r>
        <w:t xml:space="preserve"> </w:t>
      </w:r>
      <w:r>
        <w:t xml:space="preserve">changes; README’s own HTML + PDF stay in sync.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Members:</w:t>
      </w:r>
      <w:r>
        <w:t xml:space="preserve"> </w:t>
      </w:r>
      <w:r>
        <w:t xml:space="preserve">every tracked-doc node feeding the link table,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(summary-like — regenerated section),</w:t>
      </w:r>
      <w:r>
        <w:t xml:space="preserve"> </w:t>
      </w:r>
      <w:r>
        <w:rPr>
          <w:rStyle w:val="VerbatimChar"/>
        </w:rPr>
        <w:t xml:space="preserve">README.html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README.pdf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Edge directions:</w:t>
      </w:r>
      <w:r>
        <w:t xml:space="preserve"> </w:t>
      </w:r>
      <w:r>
        <w:t xml:space="preserve">each linked doc</w:t>
      </w:r>
      <w:r>
        <w:t xml:space="preserve"> </w:t>
      </w:r>
      <w:r>
        <w:rPr>
          <w:rStyle w:val="VerbatimChar"/>
        </w:rPr>
        <w:t xml:space="preserve">→ README.md</w:t>
      </w:r>
      <w:r>
        <w:t xml:space="preserve"> </w:t>
      </w:r>
      <w:r>
        <w:t xml:space="preserve">(derive — the</w:t>
      </w:r>
      <w:r>
        <w:t xml:space="preserve"> </w:t>
      </w:r>
      <w:r>
        <w:t xml:space="preserve">doc-link generator reads each source’s revision header);</w:t>
      </w:r>
      <w:r>
        <w:t xml:space="preserve"> </w:t>
      </w:r>
      <w:r>
        <w:rPr>
          <w:rStyle w:val="VerbatimChar"/>
        </w:rPr>
        <w:t xml:space="preserve">README.md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gen-readme-doc-links</w:t>
      </w:r>
      <w:r>
        <w:t xml:space="preserve"> </w:t>
      </w:r>
      <w:r>
        <w:t xml:space="preserve">(reads each source’s §11.4.44</w:t>
      </w:r>
      <w:r>
        <w:t xml:space="preserve"> </w:t>
      </w:r>
      <w:r>
        <w:t xml:space="preserve">revision header),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§11.4.57 (README doc-link section) · §11.4.59 (README</w:t>
      </w:r>
      <w:r>
        <w:t xml:space="preserve"> </w:t>
      </w:r>
      <w:r>
        <w:t xml:space="preserve">always-sync export).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update_readme_doc_links.sh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sync_readme_export.sh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readme_doclinks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 Tracked-Items section + README exports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fixed_md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docs/Fixed.md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contin_md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readme_md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readme_html</w:t>
      </w:r>
      <w:r>
        <w:rPr>
          <w:rStyle w:val="FunctionTok"/>
        </w:rPr>
        <w:t xml:space="preserve">:{ 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html,     path: README.html 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readme_pdf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fixed_md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contin_md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readme_md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gen-readme-doc-links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readme_pdf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gen-readme-doc-links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"scripts/testing/update_readme_doc_links.sh"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from:</w:t>
      </w:r>
      <w:r>
        <w:t xml:space="preserve"> </w:t>
      </w:r>
      <w:r>
        <w:t xml:space="preserve">list (multi-input derive) means a change in ANY linked doc</w:t>
      </w:r>
      <w:r>
        <w:t xml:space="preserve"> </w:t>
      </w:r>
      <w:r>
        <w:t xml:space="preserve">re-renders the README section. Status docs auto-discovered by the</w:t>
      </w:r>
      <w:r>
        <w:t xml:space="preserve"> </w:t>
      </w:r>
      <w:r>
        <w:t xml:space="preserve">generator are added to the</w:t>
      </w:r>
      <w:r>
        <w:t xml:space="preserve"> </w:t>
      </w:r>
      <w:r>
        <w:rPr>
          <w:rStyle w:val="VerbatimChar"/>
        </w:rPr>
        <w:t xml:space="preserve">from:</w:t>
      </w:r>
      <w:r>
        <w:t xml:space="preserve"> </w:t>
      </w:r>
      <w:r>
        <w:t xml:space="preserve">list as the project grows.</w:t>
      </w:r>
    </w:p>
    <w:p>
      <w:r>
        <w:pict>
          <v:rect style="width:0;height:1.5pt" o:hralign="center" o:hrstd="t" o:hr="t"/>
        </w:pict>
      </w:r>
    </w:p>
    <w:bookmarkEnd w:id="16"/>
    <w:bookmarkStart w:id="17" w:name="g-universal-markdown-export-chain"/>
    <w:p>
      <w:pPr>
        <w:pStyle w:val="Heading2"/>
      </w:pPr>
      <w:r>
        <w:t xml:space="preserve">(g) Universal markdown-export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catch-all — any project Markdown that is not part of an</w:t>
      </w:r>
      <w:r>
        <w:t xml:space="preserve"> </w:t>
      </w:r>
      <w:r>
        <w:t xml:space="preserve">application/service source tree gets synchronized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Members:</w:t>
      </w:r>
      <w:r>
        <w:t xml:space="preserve"> </w:t>
      </w:r>
      <w:r>
        <w:t xml:space="preserve">for each in-scope</w:t>
      </w:r>
      <w:r>
        <w:t xml:space="preserve"> </w:t>
      </w:r>
      <w:r>
        <w:rPr>
          <w:rStyle w:val="VerbatimChar"/>
        </w:rPr>
        <w:t xml:space="preserve">.md</w:t>
      </w:r>
      <w:r>
        <w:t xml:space="preserve">: the markdown node +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&lt;doc&gt;.md → .html → .pdf</w:t>
      </w:r>
      <w:r>
        <w:t xml:space="preserve"> </w:t>
      </w:r>
      <w:r>
        <w:t xml:space="preserve">(derive), repeated per</w:t>
      </w:r>
      <w:r>
        <w:t xml:space="preserve"> </w:t>
      </w:r>
      <w:r>
        <w:t xml:space="preserve">doc.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(the same builtins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shells to).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§11.4.65 (universal markdown export — md → html + pdf for</w:t>
      </w:r>
      <w:r>
        <w:t xml:space="preserve"> </w:t>
      </w:r>
      <w:r>
        <w:t xml:space="preserve">all governed docs).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markdown_exports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Universal md -&gt; html + pdf for governed docs (one block per doc)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guide_arch_md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docs/guides/SYSTEM_ARCHITECTURE.md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guide_arch_html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docs/guides/SYSTEM_ARCHITECTURE.html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guide_arch_pdf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docs/guides/SYSTEM_ARCHITECTURE.pdf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... one node-triple + edge-pair per governed .md ...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guide_arch_pdf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This context is the broadest; the §11.4.65 in-scope set (project-root</w:t>
      </w:r>
      <w:r>
        <w:t xml:space="preserve"> </w:t>
      </w:r>
      <w:r>
        <w:rPr>
          <w:rStyle w:val="VerbatimChar"/>
        </w:rPr>
        <w:t xml:space="preserve">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scripts/**</w:t>
      </w:r>
      <w:r>
        <w:t xml:space="preserve"> </w:t>
      </w:r>
      <w:r>
        <w:t xml:space="preserve">companion docs, owned-submodule top-level</w:t>
      </w:r>
      <w:r>
        <w:t xml:space="preserve"> </w:t>
      </w:r>
      <w:r>
        <w:t xml:space="preserve">docs,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) is enumerated by the same discovery rules the</w:t>
      </w:r>
      <w:r>
        <w:t xml:space="preserve"> </w:t>
      </w:r>
      <w:r>
        <w:t xml:space="preserve">legacy script uses. Excludes</w:t>
      </w:r>
      <w:r>
        <w:t xml:space="preserve"> </w:t>
      </w:r>
      <w:r>
        <w:rPr>
          <w:rStyle w:val="VerbatimChar"/>
        </w:rPr>
        <w:t xml:space="preserve">external/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prebuilts/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kernel-5.10/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, and</w:t>
      </w:r>
      <w:r>
        <w:t xml:space="preserve"> </w:t>
      </w:r>
      <w:r>
        <w:t xml:space="preserve">application/service source trees.</w:t>
      </w:r>
    </w:p>
    <w:p>
      <w:r>
        <w:pict>
          <v:rect style="width:0;height:1.5pt" o:hralign="center" o:hrstd="t" o:hr="t"/>
        </w:pict>
      </w:r>
    </w:p>
    <w:bookmarkEnd w:id="17"/>
    <w:bookmarkStart w:id="18" w:name="h-continuation-chain"/>
    <w:p>
      <w:pPr>
        <w:pStyle w:val="Heading2"/>
      </w:pPr>
      <w:r>
        <w:t xml:space="preserve">(h) CONTINUATION chain</w:t>
      </w:r>
    </w:p>
    <w:p>
      <w:pPr>
        <w:pStyle w:val="FirstParagraph"/>
      </w:pPr>
      <w:r>
        <w:rPr>
          <w:b/>
          <w:bCs/>
        </w:rPr>
        <w:t xml:space="preserve">Status: PLANNED (Phase 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§12.10 resumption document keeps its</w:t>
      </w:r>
      <w:r>
        <w:t xml:space="preserve"> </w:t>
      </w:r>
      <w:r>
        <w:rPr>
          <w:rStyle w:val="VerbatimChar"/>
        </w:rPr>
        <w:t xml:space="preserve">Last updated:</w:t>
      </w:r>
      <w:r>
        <w:t xml:space="preserve"> </w:t>
      </w:r>
      <w:r>
        <w:t xml:space="preserve">revision header current and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in sync, so any</w:t>
      </w:r>
      <w:r>
        <w:t xml:space="preserve"> </w:t>
      </w:r>
      <w:r>
        <w:t xml:space="preserve">agent resuming work reads a non-divergent view across formats.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Members: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(markdown), its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Edge directions:</w:t>
      </w:r>
      <w:r>
        <w:t xml:space="preserve"> </w:t>
      </w:r>
      <w:r>
        <w:rPr>
          <w:rStyle w:val="VerbatimChar"/>
        </w:rPr>
        <w:t xml:space="preserve">CONTINUATION.md → .html → .pdf</w:t>
      </w:r>
      <w:r>
        <w:t xml:space="preserve"> </w:t>
      </w:r>
      <w:r>
        <w:t xml:space="preserve">(derive).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Transform: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. (Revision-header</w:t>
      </w:r>
      <w:r>
        <w:t xml:space="preserve"> </w:t>
      </w:r>
      <w:r>
        <w:t xml:space="preserve">freshness is the source-edit author’s responsibility per §11.4.44 /</w:t>
      </w:r>
      <w:r>
        <w:t xml:space="preserve"> </w:t>
      </w:r>
      <w:r>
        <w:t xml:space="preserve">§12.10; Docs Chain keeps the exports from drifting behind the source.)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Mandate:</w:t>
      </w:r>
      <w:r>
        <w:t xml:space="preserve"> </w:t>
      </w:r>
      <w:r>
        <w:t xml:space="preserve">§12.10 (CONTINUATION maintenance) · §11.4.44 (revision</w:t>
      </w:r>
      <w:r>
        <w:t xml:space="preserve"> </w:t>
      </w:r>
      <w:r>
        <w:t xml:space="preserve">header — the</w:t>
      </w:r>
      <w:r>
        <w:t xml:space="preserve"> </w:t>
      </w:r>
      <w:r>
        <w:rPr>
          <w:rStyle w:val="VerbatimChar"/>
        </w:rPr>
        <w:t xml:space="preserve">Last updated:</w:t>
      </w:r>
      <w:r>
        <w:t xml:space="preserve"> </w:t>
      </w:r>
      <w:r>
        <w:t xml:space="preserve">line IS the §11.4.44</w:t>
      </w:r>
      <w:r>
        <w:t xml:space="preserve"> </w:t>
      </w:r>
      <w:r>
        <w:rPr>
          <w:rStyle w:val="VerbatimChar"/>
        </w:rPr>
        <w:t xml:space="preserve">Last modified:</w:t>
      </w:r>
      <w:r>
        <w:t xml:space="preserve"> </w:t>
      </w:r>
      <w:r>
        <w:t xml:space="preserve">line).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Supersedes:</w:t>
      </w:r>
      <w:r>
        <w:t xml:space="preserve"> </w:t>
      </w:r>
      <w:r>
        <w:t xml:space="preserve">the CONTINUATION stage of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continuation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Resumption document + synchronized exports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docs/CONTINUATION.pdf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extending-this-registry"/>
    <w:p>
      <w:pPr>
        <w:pStyle w:val="Heading2"/>
      </w:pPr>
      <w:r>
        <w:t xml:space="preserve">Extending this registry</w:t>
      </w:r>
    </w:p>
    <w:p>
      <w:pPr>
        <w:pStyle w:val="FirstParagraph"/>
      </w:pPr>
      <w:r>
        <w:t xml:space="preserve">A new project (or a new domain in this project) adds a scenario by</w:t>
      </w:r>
      <w:r>
        <w:t xml:space="preserve"> </w:t>
      </w:r>
      <w:r>
        <w:t xml:space="preserve">appending a section in the exact shape above: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— one sentence.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the node list with kinds.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Edge directions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(one-way) and/or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(bidirectional, with authority).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</w:t>
      </w:r>
      <w:r>
        <w:t xml:space="preserve"> </w:t>
      </w:r>
      <w:r>
        <w:t xml:space="preserve">— builtins and/or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adapters.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Mandate satisfied</w:t>
      </w:r>
      <w:r>
        <w:t xml:space="preserve"> </w:t>
      </w:r>
      <w:r>
        <w:t xml:space="preserve">— the §11.4.x / §12.x anchor it enforces.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Supersedes</w:t>
      </w:r>
      <w:r>
        <w:t xml:space="preserve"> </w:t>
      </w:r>
      <w:r>
        <w:t xml:space="preserve">— the ad-hoc script it retires.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YAML</w:t>
      </w:r>
      <w:r>
        <w:t xml:space="preserve"> </w:t>
      </w:r>
      <w:r>
        <w:t xml:space="preserve">— copy-paste ready.</w:t>
      </w:r>
    </w:p>
    <w:p>
      <w:pPr>
        <w:pStyle w:val="FirstParagraph"/>
      </w:pPr>
      <w:r>
        <w:t xml:space="preserve">Keep the</w:t>
      </w:r>
      <w:r>
        <w:t xml:space="preserve"> </w:t>
      </w:r>
      <w:hyperlink w:anchor="catalogue-index">
        <w:r>
          <w:rPr>
            <w:rStyle w:val="Hyperlink"/>
          </w:rPr>
          <w:t xml:space="preserve">catalogue index</w:t>
        </w:r>
      </w:hyperlink>
      <w:r>
        <w:t xml:space="preserve"> </w:t>
      </w:r>
      <w:r>
        <w:t xml:space="preserve">table and the</w:t>
      </w:r>
      <w:r>
        <w:t xml:space="preserve"> </w:t>
      </w:r>
      <w:r>
        <w:rPr>
          <w:b/>
          <w:bCs/>
        </w:rPr>
        <w:t xml:space="preserve">catalogued</w:t>
      </w:r>
      <w:r>
        <w:rPr>
          <w:b/>
          <w:bCs/>
        </w:rPr>
        <w:t xml:space="preserve"> </w:t>
      </w:r>
      <w:r>
        <w:rPr>
          <w:b/>
          <w:bCs/>
        </w:rPr>
        <w:t xml:space="preserve">scenario count</w:t>
      </w:r>
      <w:r>
        <w:t xml:space="preserve"> </w:t>
      </w:r>
      <w:r>
        <w:t xml:space="preserve">in sync when adding a recipe.</w:t>
      </w:r>
    </w:p>
    <w:p>
      <w:r>
        <w:pict>
          <v:rect style="width:0;height:1.5pt" o:hralign="center" o:hrstd="t" o:hr="t"/>
        </w:pict>
      </w:r>
    </w:p>
    <w:bookmarkEnd w:id="19"/>
    <w:bookmarkStart w:id="26" w:name="Xd31a99a1bd98ca1806ef9c69c9641a91e901909"/>
    <w:p>
      <w:pPr>
        <w:pStyle w:val="Heading2"/>
      </w:pPr>
      <w:r>
        <w:t xml:space="preserve">Appendix Z — Worked consumer example (Herald): relative-asset-stable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exports</w:t>
      </w:r>
    </w:p>
    <w:p>
      <w:pPr>
        <w:pStyle w:val="FirstParagraph"/>
      </w:pPr>
      <w:r>
        <w:rPr>
          <w:b/>
          <w:bCs/>
        </w:rPr>
        <w:t xml:space="preserve">Status: IMPLEMENTED — registered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docs_chain verify</w:t>
      </w:r>
      <w:r>
        <w:rPr>
          <w:b/>
          <w:bCs/>
        </w:rPr>
        <w:t xml:space="preserve"> </w:t>
      </w:r>
      <w:r>
        <w:rPr>
          <w:b/>
          <w:bCs/>
        </w:rPr>
        <w:t xml:space="preserve">exit 0 across a</w:t>
      </w:r>
      <w:r>
        <w:rPr>
          <w:b/>
          <w:bCs/>
        </w:rPr>
        <w:t xml:space="preserve"> </w:t>
      </w:r>
      <w:r>
        <w:rPr>
          <w:b/>
          <w:bCs/>
        </w:rPr>
        <w:t xml:space="preserve">66-doc corpus.</w:t>
      </w:r>
    </w:p>
    <w:p>
      <w:pPr>
        <w:pStyle w:val="BodyText"/>
      </w:pPr>
      <w:r>
        <w:t xml:space="preserve">This is the canonical answer to</w:t>
      </w:r>
      <w:r>
        <w:t xml:space="preserve"> </w:t>
      </w:r>
      <w:r>
        <w:rPr>
          <w:i/>
          <w:iCs/>
        </w:rPr>
        <w:t xml:space="preserve">“how do I keep relative-asset exports</w:t>
      </w:r>
      <w:r>
        <w:rPr>
          <w:i/>
          <w:iCs/>
        </w:rPr>
        <w:t xml:space="preserve"> </w:t>
      </w:r>
      <w:r>
        <w:rPr>
          <w:i/>
          <w:iCs/>
        </w:rPr>
        <w:t xml:space="preserve">(CSS 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&lt;img&gt;</w:t>
      </w:r>
      <w:r>
        <w:rPr>
          <w:i/>
          <w:iCs/>
        </w:rPr>
        <w:t xml:space="preserve">) verify-stable?”</w:t>
      </w:r>
      <w:r>
        <w:t xml:space="preserve"> </w:t>
      </w:r>
      <w:r>
        <w:t xml:space="preserve">— the first real downstream consumer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Herald</w:t>
        </w:r>
      </w:hyperlink>
      <w:r>
        <w:t xml:space="preserve">) discovered the</w:t>
      </w:r>
      <w:r>
        <w:t xml:space="preserve"> </w:t>
      </w:r>
      <w:r>
        <w:t xml:space="preserve">pattern, and it is non-obvious enough to capture here. Herald wired its</w:t>
      </w:r>
      <w:r>
        <w:t xml:space="preserve"> </w:t>
      </w:r>
      <w:r>
        <w:t xml:space="preserve">full 66-doc Markdown→HTML/PDF/DOCX corpus to the Phase-4 engine via</w:t>
      </w:r>
      <w:r>
        <w:t xml:space="preserve"> </w:t>
      </w:r>
      <w:r>
        <w:t xml:space="preserve">per-directory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wrappers that replicate its exact pandoc</w:t>
      </w:r>
      <w:r>
        <w:t xml:space="preserve"> </w:t>
      </w:r>
      <w:r>
        <w:t xml:space="preserve">flags and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, then proved it end-to-end (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exit 0</w:t>
      </w:r>
      <w:r>
        <w:t xml:space="preserve"> </w:t>
      </w:r>
      <w:r>
        <w:t xml:space="preserve">across all 66 docs, HTML byte-identical to the prior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output).</w:t>
      </w:r>
    </w:p>
    <w:bookmarkStart w:id="21" w:name="the-non-obvious-problem"/>
    <w:p>
      <w:pPr>
        <w:pStyle w:val="Heading3"/>
      </w:pPr>
      <w:r>
        <w:t xml:space="preserve">The non-obvious problem</w:t>
      </w:r>
    </w:p>
    <w:p>
      <w:pPr>
        <w:pStyle w:val="FirstParagraph"/>
      </w:pPr>
      <w:r>
        <w:t xml:space="preserve">During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 Docs Chain</w:t>
      </w:r>
      <w:r>
        <w:t xml:space="preserve"> </w:t>
      </w:r>
      <w:r>
        <w:rPr>
          <w:b/>
          <w:bCs/>
        </w:rPr>
        <w:t xml:space="preserve">stages each input to a temp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 runs the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command with</w:t>
      </w:r>
      <w:r>
        <w:t xml:space="preserve"> </w:t>
      </w:r>
      <w:r>
        <w:rPr>
          <w:b/>
          <w:bCs/>
        </w:rPr>
        <w:t xml:space="preserve">cwd = projectRoot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internal/runner/runner.go</w:t>
      </w:r>
      <w:r>
        <w:t xml:space="preserve"> </w:t>
      </w:r>
      <w:r>
        <w:rPr>
          <w:rStyle w:val="VerbatimChar"/>
        </w:rPr>
        <w:t xml:space="preserve">execTransform</w:t>
      </w:r>
      <w:r>
        <w:t xml:space="preserve">: inputs are written to</w:t>
      </w:r>
      <w:r>
        <w:t xml:space="preserve"> </w:t>
      </w:r>
      <w:r>
        <w:rPr>
          <w:rStyle w:val="VerbatimChar"/>
        </w:rPr>
        <w:t xml:space="preserve">os.CreateTemp</w:t>
      </w:r>
      <w:r>
        <w:t xml:space="preserve"> </w:t>
      </w:r>
      <w:r>
        <w:t xml:space="preserve">paths, the staged output temp path is appended, and</w:t>
      </w:r>
      <w:r>
        <w:t xml:space="preserve"> </w:t>
      </w:r>
      <w:r>
        <w:rPr>
          <w:rStyle w:val="VerbatimChar"/>
        </w:rPr>
        <w:t xml:space="preserve">cmd.Dir = projectRoot</w:t>
      </w:r>
      <w:r>
        <w:t xml:space="preserve">). During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the output is additionally</w:t>
      </w:r>
      <w:r>
        <w:t xml:space="preserve"> </w:t>
      </w:r>
      <w:r>
        <w:t xml:space="preserve">redirected to a per-run</w:t>
      </w:r>
      <w:r>
        <w:t xml:space="preserve"> </w:t>
      </w:r>
      <w:r>
        <w:rPr>
          <w:rStyle w:val="VerbatimChar"/>
        </w:rPr>
        <w:t xml:space="preserve">docs_chain_verify_*</w:t>
      </w:r>
      <w:r>
        <w:t xml:space="preserve"> </w:t>
      </w:r>
      <w:r>
        <w:t xml:space="preserve">temp dir.</w:t>
      </w:r>
    </w:p>
    <w:p>
      <w:pPr>
        <w:pStyle w:val="BodyText"/>
      </w:pPr>
      <w:r>
        <w:t xml:space="preserve">That means a wrapper that resolves a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asset —</w:t>
      </w:r>
      <w:r>
        <w:t xml:space="preserve"> </w:t>
      </w:r>
      <w:r>
        <w:rPr>
          <w:rStyle w:val="VerbatimChar"/>
        </w:rPr>
        <w:t xml:space="preserve">--css print.css</w:t>
      </w:r>
      <w:r>
        <w:t xml:space="preserve">, or a Markdown</w:t>
      </w:r>
      <w:r>
        <w:t xml:space="preserve"> </w:t>
      </w:r>
      <w:r>
        <w:rPr>
          <w:rStyle w:val="VerbatimChar"/>
        </w:rPr>
        <w:t xml:space="preserve">&lt;img src="../assets/logo.png"&gt;</w:t>
      </w:r>
      <w:r>
        <w:t xml:space="preserve"> </w:t>
      </w:r>
      <w:r>
        <w:t xml:space="preserve">that pandoc</w:t>
      </w:r>
      <w:r>
        <w:t xml:space="preserve"> </w:t>
      </w:r>
      <w:r>
        <w:t xml:space="preserve">resolves relative to the</w:t>
      </w:r>
      <w:r>
        <w:t xml:space="preserve"> </w:t>
      </w:r>
      <w:r>
        <w:rPr>
          <w:i/>
          <w:iCs/>
        </w:rPr>
        <w:t xml:space="preserve">input file’s</w:t>
      </w:r>
      <w:r>
        <w:t xml:space="preserve"> </w:t>
      </w:r>
      <w:r>
        <w:t xml:space="preserve">directory — will resolve it</w:t>
      </w:r>
      <w:r>
        <w:t xml:space="preserve"> </w:t>
      </w:r>
      <w:r>
        <w:rPr>
          <w:b/>
          <w:bCs/>
        </w:rPr>
        <w:t xml:space="preserve">differently</w:t>
      </w:r>
      <w:r>
        <w:t xml:space="preserve"> </w:t>
      </w:r>
      <w:r>
        <w:t xml:space="preserve">between:</w:t>
      </w:r>
    </w:p>
    <w:p>
      <w:pPr>
        <w:pStyle w:val="Compact"/>
        <w:numPr>
          <w:ilvl w:val="0"/>
          <w:numId w:val="1011"/>
        </w:numPr>
      </w:pPr>
      <w:r>
        <w:t xml:space="preserve">the human’s ad-hoc run (cwd = the doc’s real directory), and</w:t>
      </w:r>
    </w:p>
    <w:p>
      <w:pPr>
        <w:pStyle w:val="Compact"/>
        <w:numPr>
          <w:ilvl w:val="0"/>
          <w:numId w:val="1011"/>
        </w:numPr>
      </w:pPr>
      <w:r>
        <w:t xml:space="preserve">the Docs Chain run (input is a temp file; cwd = projectRoot).</w:t>
      </w:r>
    </w:p>
    <w:p>
      <w:pPr>
        <w:pStyle w:val="FirstParagraph"/>
      </w:pPr>
      <w:r>
        <w:t xml:space="preserve">The two renders then differ byte-for-byte, so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falsely reports</w:t>
      </w:r>
      <w:r>
        <w:t xml:space="preserve"> </w:t>
      </w:r>
      <w:r>
        <w:t xml:space="preserve">drift even though nothing meaningful changed. A non-deterministic /</w:t>
      </w:r>
      <w:r>
        <w:t xml:space="preserve"> </w:t>
      </w:r>
      <w:r>
        <w:t xml:space="preserve">context-dependent transform is a §11.4.50 violation.</w:t>
      </w:r>
    </w:p>
    <w:bookmarkEnd w:id="21"/>
    <w:bookmarkStart w:id="22" w:name="Xf9cc208438529e1cc789360583288e80e00d29f"/>
    <w:p>
      <w:pPr>
        <w:pStyle w:val="Heading3"/>
      </w:pPr>
      <w:r>
        <w:t xml:space="preserve">The fix — pass the doc’s real directory as an</w:t>
      </w:r>
      <w:r>
        <w:t xml:space="preserve"> </w:t>
      </w:r>
      <w:r>
        <w:rPr>
          <w:rStyle w:val="VerbatimChar"/>
        </w:rPr>
        <w:t xml:space="preserve">args:</w:t>
      </w:r>
      <w:r>
        <w:t xml:space="preserve"> </w:t>
      </w:r>
      <w:r>
        <w:t xml:space="preserve">entry</w:t>
      </w:r>
    </w:p>
    <w:p>
      <w:pPr>
        <w:pStyle w:val="FirstParagraph"/>
      </w:pPr>
      <w:r>
        <w:t xml:space="preserve">Give each per-directory transform variant the doc’s</w:t>
      </w:r>
      <w:r>
        <w:t xml:space="preserve"> </w:t>
      </w:r>
      <w:r>
        <w:rPr>
          <w:b/>
          <w:bCs/>
        </w:rPr>
        <w:t xml:space="preserve">real directory</w:t>
      </w:r>
      <w:r>
        <w:t xml:space="preserve"> </w:t>
      </w:r>
      <w:r>
        <w:t xml:space="preserve">as</w:t>
      </w:r>
      <w:r>
        <w:t xml:space="preserve"> </w:t>
      </w:r>
      <w:r>
        <w:t xml:space="preserve">a trailing</w:t>
      </w:r>
      <w:r>
        <w:t xml:space="preserve"> </w:t>
      </w:r>
      <w:r>
        <w:rPr>
          <w:rStyle w:val="VerbatimChar"/>
        </w:rPr>
        <w:t xml:space="preserve">args:</w:t>
      </w:r>
      <w:r>
        <w:t xml:space="preserve"> </w:t>
      </w:r>
      <w:r>
        <w:t xml:space="preserve">value. Docs Chain appends</w:t>
      </w:r>
      <w:r>
        <w:t xml:space="preserve"> </w:t>
      </w:r>
      <w:r>
        <w:rPr>
          <w:rStyle w:val="VerbatimChar"/>
        </w:rPr>
        <w:t xml:space="preserve">args: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staged</w:t>
      </w:r>
      <w:r>
        <w:t xml:space="preserve"> </w:t>
      </w:r>
      <w:r>
        <w:t xml:space="preserve">input/output temp paths (CONFIG_SCHEMA §5.2), so the wrapper receives:</w:t>
      </w:r>
    </w:p>
    <w:p>
      <w:pPr>
        <w:pStyle w:val="SourceCode"/>
      </w:pPr>
      <w:r>
        <w:rPr>
          <w:rStyle w:val="VerbatimChar"/>
        </w:rPr>
        <w:t xml:space="preserve">$1 = staged input temp path   (the .md content, in a temp file)</w:t>
      </w:r>
      <w:r>
        <w:br/>
      </w:r>
      <w:r>
        <w:rPr>
          <w:rStyle w:val="VerbatimChar"/>
        </w:rPr>
        <w:t xml:space="preserve">$2 = staged output temp path   (where the wrapper MUST write its result)</w:t>
      </w:r>
      <w:r>
        <w:br/>
      </w:r>
      <w:r>
        <w:rPr>
          <w:rStyle w:val="VerbatimChar"/>
        </w:rPr>
        <w:t xml:space="preserve">$3 = the doc's real directory  (passed via args:, so relative assets resolve)</w:t>
      </w:r>
    </w:p>
    <w:p>
      <w:pPr>
        <w:pStyle w:val="FirstParagraph"/>
      </w:pPr>
      <w:r>
        <w:t xml:space="preserve">The wrapper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s into</w:t>
      </w:r>
      <w:r>
        <w:t xml:space="preserve"> </w:t>
      </w:r>
      <w:r>
        <w:rPr>
          <w:rStyle w:val="VerbatimChar"/>
        </w:rPr>
        <w:t xml:space="preserve">$3</w:t>
      </w:r>
      <w:r>
        <w:t xml:space="preserve"> </w:t>
      </w:r>
      <w:r>
        <w:t xml:space="preserve">(the real dir) before invoking pandoc, so</w:t>
      </w:r>
      <w:r>
        <w:t xml:space="preserve"> </w:t>
      </w:r>
      <w:r>
        <w:t xml:space="preserve">relative</w:t>
      </w:r>
      <w:r>
        <w:t xml:space="preserve"> </w:t>
      </w:r>
      <w:r>
        <w:rPr>
          <w:rStyle w:val="VerbatimChar"/>
        </w:rPr>
        <w:t xml:space="preserve">--css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paths resolve</w:t>
      </w:r>
      <w:r>
        <w:t xml:space="preserve"> </w:t>
      </w:r>
      <w:r>
        <w:rPr>
          <w:b/>
          <w:bCs/>
        </w:rPr>
        <w:t xml:space="preserve">identically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</w:t>
      </w:r>
      <w:r>
        <w:t xml:space="preserve"> </w:t>
      </w:r>
      <w:r>
        <w:t xml:space="preserve">regardless of where the input was staged or what cwd Docs Chain</w:t>
      </w:r>
      <w:r>
        <w:t xml:space="preserve"> </w:t>
      </w:r>
      <w:r>
        <w:t xml:space="preserve">used.</w:t>
      </w:r>
    </w:p>
    <w:bookmarkEnd w:id="22"/>
    <w:bookmarkStart w:id="23" w:name="minimal-context-snippet"/>
    <w:p>
      <w:pPr>
        <w:pStyle w:val="Heading3"/>
      </w:pPr>
      <w:r>
        <w:t xml:space="preserve">Minimal context snippet</w:t>
      </w:r>
    </w:p>
    <w:p>
      <w:pPr>
        <w:pStyle w:val="FirstParagraph"/>
      </w:pPr>
      <w:r>
        <w:t xml:space="preserve">One transform variant per source directory (because the real dir differs</w:t>
      </w:r>
      <w:r>
        <w:t xml:space="preserve"> </w:t>
      </w:r>
      <w:r>
        <w:t xml:space="preserve">per directory; docs in the same directory share a variant):</w:t>
      </w:r>
    </w:p>
    <w:p>
      <w:pPr>
        <w:pStyle w:val="SourceCode"/>
      </w:pPr>
      <w:r>
        <w:rPr>
          <w:rStyle w:val="CommentTok"/>
        </w:rPr>
        <w:t xml:space="preserve"># .docs_chain/contexts/corpus.yaml  (excerpt)</w:t>
      </w:r>
      <w:r>
        <w:br/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corpus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 corpus -&gt; html, relative-asset-stable via exec wrappers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docs/guides/SETUP.md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docs/guides/SETUP.html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... one md+html (+pdf/docx) node pair per corpus doc ...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md2html_docs_guides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one variant per directory; the trailing args entry is that dir's real path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md2html_docs_guides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"scripts/dc/md2html.sh"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"docs/guides"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md2html_root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"scripts/dc/md2html.sh"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"."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End w:id="23"/>
    <w:bookmarkStart w:id="24" w:name="minimal-wrapper-shape"/>
    <w:p>
      <w:pPr>
        <w:pStyle w:val="Heading3"/>
      </w:pPr>
      <w:r>
        <w:t xml:space="preserve">Minimal wrapper shape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scripts/dc/md2html.sh — Docs Chain exec wrapper (md -&gt; html)</w:t>
      </w:r>
      <w:r>
        <w:br/>
      </w:r>
      <w:r>
        <w:rPr>
          <w:rStyle w:val="CommentTok"/>
        </w:rPr>
        <w:t xml:space="preserve"># Args, in order Docs Chain supplies them:</w:t>
      </w:r>
      <w:r>
        <w:br/>
      </w:r>
      <w:r>
        <w:rPr>
          <w:rStyle w:val="CommentTok"/>
        </w:rPr>
        <w:t xml:space="preserve">#   $1 staged input temp (.md)   $2 staged output temp (.html)</w:t>
      </w:r>
      <w:r>
        <w:br/>
      </w:r>
      <w:r>
        <w:rPr>
          <w:rStyle w:val="CommentTok"/>
        </w:rPr>
        <w:t xml:space="preserve">#   $3 the doc's REAL directory  (passed via the context's args:)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rPr>
          <w:rStyle w:val="VariableTok"/>
        </w:rPr>
        <w:t xml:space="preserve">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realdir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Deterministic output (§11.4.50): pin the embedded timestamp.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SOURCE_DATE_EPOCH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${SOURCE_DATE_EPOCH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cd into the doc's real directory so relative --css / &lt;img&gt; resolve the</w:t>
      </w:r>
      <w:r>
        <w:br/>
      </w:r>
      <w:r>
        <w:rPr>
          <w:rStyle w:val="CommentTok"/>
        </w:rPr>
        <w:t xml:space="preserve"># SAME way Docs Chain stages the input to a temp path with cwd=projectRoot.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$realdir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html5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print.css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Write ONLY to $out (the staged temp); Docs Chain owns the atomic rename.</w:t>
      </w:r>
    </w:p>
    <w:bookmarkEnd w:id="24"/>
    <w:bookmarkStart w:id="25" w:name="why-this-is-verify-stable"/>
    <w:p>
      <w:pPr>
        <w:pStyle w:val="Heading3"/>
      </w:pPr>
      <w:r>
        <w:t xml:space="preserve">Why this is verify-stable</w:t>
      </w:r>
    </w:p>
    <w:p>
      <w:pPr>
        <w:pStyle w:val="Compact"/>
        <w:numPr>
          <w:ilvl w:val="0"/>
          <w:numId w:val="1012"/>
        </w:numPr>
      </w:pPr>
      <w:r>
        <w:t xml:space="preserve">Inputs are content, not paths — the staged temp holds the same bytes the</w:t>
      </w:r>
      <w:r>
        <w:t xml:space="preserve"> </w:t>
      </w:r>
      <w:r>
        <w:t xml:space="preserve">real file holds, so the hash is identical.</w:t>
      </w:r>
    </w:p>
    <w:p>
      <w:pPr>
        <w:pStyle w:val="Compact"/>
        <w:numPr>
          <w:ilvl w:val="0"/>
          <w:numId w:val="1012"/>
        </w:numPr>
      </w:pPr>
      <w:r>
        <w:t xml:space="preserve">Relative assets resolve against</w:t>
      </w:r>
      <w:r>
        <w:t xml:space="preserve"> </w:t>
      </w:r>
      <w:r>
        <w:rPr>
          <w:rStyle w:val="VerbatimChar"/>
        </w:rPr>
        <w:t xml:space="preserve">$realdir</w:t>
      </w:r>
      <w:r>
        <w:t xml:space="preserve"> </w:t>
      </w:r>
      <w:r>
        <w:t xml:space="preserve">(the real dir)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 so the rendered output is byte-identical across</w:t>
      </w:r>
      <w:r>
        <w:t xml:space="preserve"> </w:t>
      </w:r>
      <w:r>
        <w:t xml:space="preserve">runs.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SOURCE_DATE_EPOCH</w:t>
      </w:r>
      <w:r>
        <w:t xml:space="preserve"> </w:t>
      </w:r>
      <w:r>
        <w:t xml:space="preserve">(or any other embedded-timestamp pin) removes the</w:t>
      </w:r>
      <w:r>
        <w:t xml:space="preserve"> </w:t>
      </w:r>
      <w:r>
        <w:t xml:space="preserve">one remaining source of non-determinism pandoc/weasyprint otherwise</w:t>
      </w:r>
      <w:r>
        <w:t xml:space="preserve"> </w:t>
      </w:r>
      <w:r>
        <w:t xml:space="preserve">inject.</w:t>
      </w:r>
    </w:p>
    <w:p>
      <w:pPr>
        <w:pStyle w:val="FirstParagraph"/>
      </w:pPr>
      <w:r>
        <w:t xml:space="preserve">With those three in place,</w:t>
      </w:r>
      <w:r>
        <w:t xml:space="preserve"> </w:t>
      </w:r>
      <w:r>
        <w:rPr>
          <w:rStyle w:val="VerbatimChar"/>
        </w:rPr>
        <w:t xml:space="preserve">docs_chain verify --all</w:t>
      </w:r>
      <w:r>
        <w:t xml:space="preserve"> </w:t>
      </w:r>
      <w:r>
        <w:t xml:space="preserve">is a true §11.4.50</w:t>
      </w:r>
      <w:r>
        <w:t xml:space="preserve"> </w:t>
      </w:r>
      <w:r>
        <w:t xml:space="preserve">deterministic sink-side gate: Herald’s 66-doc corpus reports exit 0 with</w:t>
      </w:r>
      <w:r>
        <w:t xml:space="preserve"> </w:t>
      </w:r>
      <w:r>
        <w:t xml:space="preserve">HTML byte-identical to its pre-existing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output. The same</w:t>
      </w:r>
      <w:r>
        <w:t xml:space="preserve"> </w:t>
      </w:r>
      <w:r>
        <w:t xml:space="preserve">shape applies to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pandoc-docx</w:t>
      </w:r>
      <w:r>
        <w:t xml:space="preserve"> </w:t>
      </w:r>
      <w:r>
        <w:t xml:space="preserve">exec wrappers — pass</w:t>
      </w:r>
      <w:r>
        <w:t xml:space="preserve"> </w:t>
      </w:r>
      <w:r>
        <w:t xml:space="preserve">the real dir,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pin the timestamp.</w:t>
      </w:r>
    </w:p>
    <w:p>
      <w:pPr>
        <w:pStyle w:val="BlockText"/>
      </w:pPr>
      <w:r>
        <w:rPr>
          <w:b/>
          <w:bCs/>
        </w:rPr>
        <w:t xml:space="preserve">Builtin alternative.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pandoc-docx</w:t>
      </w:r>
      <w:r>
        <w:t xml:space="preserve"> </w:t>
      </w:r>
      <w:r>
        <w:t xml:space="preserve">builtins (used by the</w:t>
      </w:r>
      <w:r>
        <w:t xml:space="preserve"> </w:t>
      </w:r>
      <w:r>
        <w:rPr>
          <w:rStyle w:val="VerbatimChar"/>
        </w:rPr>
        <w:t xml:space="preserve">self-docs</w:t>
      </w:r>
      <w:r>
        <w:t xml:space="preserve"> </w:t>
      </w:r>
      <w:r>
        <w:t xml:space="preserve">dogfood context) avoid</w:t>
      </w:r>
      <w:r>
        <w:t xml:space="preserve"> </w:t>
      </w:r>
      <w:r>
        <w:t xml:space="preserve">this entirely for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flag set — they need no per-directory</w:t>
      </w:r>
      <w:r>
        <w:t xml:space="preserve"> </w:t>
      </w:r>
      <w:r>
        <w:rPr>
          <w:rStyle w:val="VerbatimChar"/>
        </w:rPr>
        <w:t xml:space="preserve">args:</w:t>
      </w:r>
      <w:r>
        <w:t xml:space="preserve">. Reach for the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per-directory pattern only when you must</w:t>
      </w:r>
      <w:r>
        <w:t xml:space="preserve"> </w:t>
      </w:r>
      <w:r>
        <w:t xml:space="preserve">replicate a project’s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existing pandoc/weasyprint invocation</w:t>
      </w:r>
      <w:r>
        <w:t xml:space="preserve"> </w:t>
      </w:r>
      <w:r>
        <w:t xml:space="preserve">(custom</w:t>
      </w:r>
      <w:r>
        <w:t xml:space="preserve"> </w:t>
      </w:r>
      <w:r>
        <w:rPr>
          <w:rStyle w:val="VerbatimChar"/>
        </w:rPr>
        <w:t xml:space="preserve">--css</w:t>
      </w:r>
      <w:r>
        <w:t xml:space="preserve">, filters, templates,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) byte-for-byte,</w:t>
      </w:r>
      <w:r>
        <w:t xml:space="preserve"> </w:t>
      </w:r>
      <w:r>
        <w:t xml:space="preserve">as Herald did to keep its prior output identical.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github.com/vasic-digital/Hera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vasic-digital/Hera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USE_CASE_CATALOGUE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