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69" w:name="vasic-digital-tmux--agentsmd"/>
    <w:p>
      <w:pPr>
        <w:pStyle w:val="Heading1"/>
      </w:pPr>
      <w:r>
        <w:t xml:space="preserve">vasic-digital tmux — AGENTS.md</w:t>
      </w:r>
    </w:p>
    <w:p>
      <w:pPr>
        <w:pStyle w:val="BlockText"/>
      </w:pPr>
      <w:r>
        <w:t xml:space="preserve">Base agent rules live at</w:t>
      </w:r>
      <w:r>
        <w:t xml:space="preserve"> </w:t>
      </w:r>
      <w:r>
        <w:rPr>
          <w:rStyle w:val="VerbatimChar"/>
        </w:rPr>
        <w:t xml:space="preserve">constitution/AGENTS.md</w:t>
      </w:r>
      <w:r>
        <w:t xml:space="preserve"> </w:t>
      </w:r>
      <w:r>
        <w:t xml:space="preserve">and the</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This file extends them with project-specific rules; it never weakens</w:t>
      </w:r>
      <w:r>
        <w:t xml:space="preserve"> </w:t>
      </w:r>
      <w:r>
        <w:t xml:space="preserve">them. Canonical project authority:</w:t>
      </w:r>
      <w:r>
        <w:t xml:space="preserve"> </w:t>
      </w:r>
      <w:hyperlink r:id="rId9">
        <w:r>
          <w:rPr>
            <w:rStyle w:val="VerbatimChar"/>
          </w:rPr>
          <w:t xml:space="preserve">Constitution.md</w:t>
        </w:r>
      </w:hyperlink>
      <w:r>
        <w:t xml:space="preserve"> </w:t>
      </w:r>
      <w:r>
        <w:t xml:space="preserve">— Project Articles §101–§109.</w:t>
      </w:r>
    </w:p>
    <w:p>
      <w:pPr>
        <w:pStyle w:val="FirstParagraph"/>
      </w:pPr>
      <w:r>
        <w:rPr>
          <w:b/>
          <w:bCs/>
        </w:rPr>
        <w:t xml:space="preserve">Fresh-conversation workflow:</w:t>
      </w:r>
      <w:r>
        <w:t xml:space="preserve"> </w:t>
      </w:r>
      <w:r>
        <w:t xml:space="preserve">read</w:t>
      </w:r>
      <w:r>
        <w:t xml:space="preserve"> </w:t>
      </w:r>
      <w:r>
        <w:rPr>
          <w:rStyle w:val="VerbatimChar"/>
        </w:rPr>
        <w:t xml:space="preserve">CONTINUATION.md</w:t>
      </w:r>
      <w:r>
        <w:t xml:space="preserve"> </w:t>
      </w:r>
      <w:r>
        <w:t xml:space="preserve">first</w:t>
      </w:r>
      <w:r>
        <w:t xml:space="preserve"> </w:t>
      </w:r>
      <w:r>
        <w:t xml:space="preserve">(§0/§3/§8 mandatory), then</w:t>
      </w:r>
      <w:r>
        <w:t xml:space="preserve"> </w:t>
      </w:r>
      <w:r>
        <w:rPr>
          <w:rStyle w:val="VerbatimChar"/>
        </w:rPr>
        <w:t xml:space="preserve">Issues.md</w:t>
      </w:r>
      <w:r>
        <w:t xml:space="preserve"> </w:t>
      </w:r>
      <w:r>
        <w:t xml:space="preserve">for OPEN/PARTIAL/BLOCKED/RUNNING.</w:t>
      </w:r>
    </w:p>
    <w:bookmarkStart w:id="10"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9">
        <w:r>
          <w:rPr>
            <w:rStyle w:val="VerbatimChar"/>
          </w:rPr>
          <w:t xml:space="preserve">Constitution.md</w:t>
        </w:r>
      </w:hyperlink>
      <w:r>
        <w:t xml:space="preserve"> </w:t>
      </w:r>
      <w:r>
        <w:t xml:space="preserve">§101.</w:t>
      </w:r>
    </w:p>
    <w:p>
      <w:pPr>
        <w:pStyle w:val="BodyText"/>
      </w:pPr>
      <w:r>
        <w:t xml:space="preserve">Non-compliance is a release blocker regardless of context.</w:t>
      </w:r>
    </w:p>
    <w:bookmarkEnd w:id="10"/>
    <w:bookmarkStart w:id="11" w:name="project-overview"/>
    <w:p>
      <w:pPr>
        <w:pStyle w:val="Heading2"/>
      </w:pPr>
      <w:r>
        <w:t xml:space="preserve">Project overview</w:t>
      </w:r>
    </w:p>
    <w:p>
      <w:pPr>
        <w:pStyle w:val="FirstParagraph"/>
      </w:pPr>
      <w:r>
        <w:t xml:space="preserve">Verified hardened tmux 3.6a build with jemalloc, OOM protection, and</w:t>
      </w:r>
      <w:r>
        <w:t xml:space="preserve"> </w:t>
      </w:r>
      <w:r>
        <w:t xml:space="preserve">per-session isolation via the</w:t>
      </w:r>
      <w:r>
        <w:t xml:space="preserve"> </w:t>
      </w:r>
      <w:r>
        <w:rPr>
          <w:rStyle w:val="VerbatimChar"/>
        </w:rPr>
        <w:t xml:space="preserve">tmx</w:t>
      </w:r>
      <w:r>
        <w:t xml:space="preserve"> </w:t>
      </w:r>
      <w:r>
        <w:t xml:space="preserve">wrapper. Native dual-OS: each</w:t>
      </w:r>
      <w:r>
        <w:t xml:space="preserve"> </w:t>
      </w:r>
      <w:r>
        <w:rPr>
          <w:rStyle w:val="VerbatimChar"/>
        </w:rPr>
        <w:t xml:space="preserve">tmx new -s NAME</w:t>
      </w:r>
      <w:r>
        <w:t xml:space="preserve"> </w:t>
      </w:r>
      <w:r>
        <w:t xml:space="preserve">spawns its own tmux server on the host with</w:t>
      </w:r>
      <w:r>
        <w:t xml:space="preserve"> </w:t>
      </w:r>
      <w:r>
        <w:t xml:space="preserve">OS-native isolation — cgroup-v2 scope on Linux, POSIX rlimit wrapper on</w:t>
      </w:r>
      <w:r>
        <w:t xml:space="preserve"> </w:t>
      </w:r>
      <w:r>
        <w:t xml:space="preserve">macOS. Session shell is the operator's host shell with full PATH. No</w:t>
      </w:r>
      <w:r>
        <w:t xml:space="preserve"> </w:t>
      </w:r>
      <w:r>
        <w:t xml:space="preserve">VM. macOS memory-cap gap documented honestly (XNU doesn't enforce</w:t>
      </w:r>
      <w:r>
        <w:t xml:space="preserve"> </w:t>
      </w:r>
      <w:r>
        <w:rPr>
          <w:rStyle w:val="VerbatimChar"/>
        </w:rPr>
        <w:t xml:space="preserve">RLIMIT_AS</w:t>
      </w:r>
      <w:r>
        <w:t xml:space="preserve">) — see</w:t>
      </w:r>
      <w:r>
        <w:t xml:space="preserve"> </w:t>
      </w:r>
      <w:r>
        <w:rPr>
          <w:rStyle w:val="VerbatimChar"/>
        </w:rPr>
        <w:t xml:space="preserve">docs/guide/README.md</w:t>
      </w:r>
      <w:r>
        <w:t xml:space="preserve"> </w:t>
      </w:r>
      <w:r>
        <w:t xml:space="preserve">§5.6.</w:t>
      </w:r>
    </w:p>
    <w:bookmarkEnd w:id="11"/>
    <w:bookmarkStart w:id="12" w:name="X3414c43cc6d331314c20bd0a345b7e6e453dede"/>
    <w:p>
      <w:pPr>
        <w:pStyle w:val="Heading2"/>
      </w:pPr>
      <w:r>
        <w:t xml:space="preserve">Critical base rules restated (for agents that don't follow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(file</w:t>
      </w:r>
      <w:r>
        <w:t xml:space="preserve"> </w:t>
      </w:r>
      <w:r>
        <w:rPr>
          <w:i/>
          <w:iCs/>
        </w:rPr>
        <w:t xml:space="preserve">content</w:t>
      </w:r>
      <w:r>
        <w:t xml:space="preserve">, not existence). Universal</w:t>
      </w:r>
      <w:r>
        <w:t xml:space="preserve"> </w:t>
      </w:r>
      <w:r>
        <w:t xml:space="preserve">§11.4 / Project §101.</w:t>
      </w:r>
    </w:p>
    <w:p>
      <w:pPr>
        <w:pStyle w:val="Compact"/>
        <w:numPr>
          <w:ilvl w:val="0"/>
          <w:numId w:val="1001"/>
        </w:numPr>
      </w:pPr>
      <w:r>
        <w:rPr>
          <w:b/>
          <w:bCs/>
        </w:rPr>
        <w:t xml:space="preserve">FAIL-bluffs forbidden.</w:t>
      </w:r>
      <w:r>
        <w:t xml:space="preserve"> </w:t>
      </w:r>
      <w:r>
        <w:t xml:space="preserve">A test that exits FAIL for a script bug</w:t>
      </w:r>
      <w:r>
        <w:t xml:space="preserve"> </w:t>
      </w:r>
      <w:r>
        <w:t xml:space="preserve">is fixed at the source layer, never at call sites. Universal §11.4.1.</w:t>
      </w:r>
    </w:p>
    <w:p>
      <w:pPr>
        <w:pStyle w:val="Compact"/>
        <w:numPr>
          <w:ilvl w:val="0"/>
          <w:numId w:val="1001"/>
        </w:numPr>
      </w:pPr>
      <w:r>
        <w:rPr>
          <w:b/>
          <w:bCs/>
        </w:rPr>
        <w:t xml:space="preserve">No-guessing language.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t>
      </w:r>
      <w:r>
        <w:t xml:space="preserve">are forbidden when reporting causes — prove with forensic</w:t>
      </w:r>
      <w:r>
        <w:t xml:space="preserve"> </w:t>
      </w:r>
      <w:r>
        <w:t xml:space="preserve">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Every gate test exercises the SAME entry</w:t>
      </w:r>
      <w:r>
        <w:t xml:space="preserve"> </w:t>
      </w:r>
      <w:r>
        <w:t xml:space="preserve">point an end-user invokes (</w:t>
      </w:r>
      <w:r>
        <w:rPr>
          <w:rStyle w:val="VerbatimChar"/>
        </w:rPr>
        <w:t xml:space="preserve">tmx new -s X</w:t>
      </w:r>
      <w:r>
        <w:t xml:space="preserve">). Project §102.</w:t>
      </w:r>
    </w:p>
    <w:p>
      <w:pPr>
        <w:pStyle w:val="Compact"/>
        <w:numPr>
          <w:ilvl w:val="0"/>
          <w:numId w:val="1001"/>
        </w:numPr>
      </w:pPr>
      <w:r>
        <w:rPr>
          <w:b/>
          <w:bCs/>
        </w:rPr>
        <w:t xml:space="preserve">Four-layer coverage.</w:t>
      </w:r>
      <w:r>
        <w:t xml:space="preserve"> </w:t>
      </w:r>
      <w:r>
        <w:t xml:space="preserve">Every defect lands pre-build gate + runtime</w:t>
      </w:r>
      <w:r>
        <w:t xml:space="preserve"> </w:t>
      </w:r>
      <w:r>
        <w:t xml:space="preserve">test + HelixQA Challenge + paired mutation. Project §103.</w:t>
      </w:r>
    </w:p>
    <w:p>
      <w:pPr>
        <w:pStyle w:val="Compact"/>
        <w:numPr>
          <w:ilvl w:val="0"/>
          <w:numId w:val="1001"/>
        </w:numPr>
      </w:pPr>
      <w:r>
        <w:rPr>
          <w:b/>
          <w:bCs/>
        </w:rPr>
        <w:t xml:space="preserve">Use the commit wrapper.</w:t>
      </w:r>
      <w:r>
        <w:t xml:space="preserve"> </w:t>
      </w:r>
      <w:r>
        <w:rPr>
          <w:rStyle w:val="VerbatimChar"/>
        </w:rPr>
        <w:t xml:space="preserve">bash commit_all.sh "&lt;msg&gt;"</w:t>
      </w:r>
      <w:r>
        <w:t xml:space="preserve"> </w:t>
      </w:r>
      <w:r>
        <w:t xml:space="preserve">only — no</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w:t>
      </w:r>
    </w:p>
    <w:p>
      <w:pPr>
        <w:pStyle w:val="Compact"/>
        <w:numPr>
          <w:ilvl w:val="0"/>
          <w:numId w:val="1001"/>
        </w:numPr>
      </w:pPr>
      <w:r>
        <w:rPr>
          <w:b/>
          <w:bCs/>
        </w:rPr>
        <w:t xml:space="preserve">Never force-push.</w:t>
      </w:r>
      <w:r>
        <w:t xml:space="preserve"> </w:t>
      </w:r>
      <w:r>
        <w:t xml:space="preserve">Explicit per-operation authorization required.</w:t>
      </w:r>
    </w:p>
    <w:p>
      <w:pPr>
        <w:pStyle w:val="Compact"/>
        <w:numPr>
          <w:ilvl w:val="0"/>
          <w:numId w:val="1001"/>
        </w:numPr>
      </w:pPr>
      <w:r>
        <w:rPr>
          <w:b/>
          <w:bCs/>
        </w:rPr>
        <w:t xml:space="preserve">CONTINUATION.md</w:t>
      </w:r>
      <w:r>
        <w:t xml:space="preserve"> </w:t>
      </w:r>
      <w:r>
        <w:t xml:space="preserve">kept in sync in every non-trivial commit.</w:t>
      </w:r>
      <w:r>
        <w:t xml:space="preserve"> </w:t>
      </w:r>
      <w:r>
        <w:t xml:space="preserve">Universal §12.10.</w:t>
      </w:r>
    </w:p>
    <w:p>
      <w:pPr>
        <w:pStyle w:val="Compact"/>
        <w:numPr>
          <w:ilvl w:val="0"/>
          <w:numId w:val="1001"/>
        </w:numPr>
      </w:pPr>
      <w:r>
        <w:rPr>
          <w:b/>
          <w:bCs/>
        </w:rPr>
        <w:t xml:space="preserve">60 % RAM cap</w:t>
      </w:r>
      <w:r>
        <w:t xml:space="preserve"> </w:t>
      </w:r>
      <w:r>
        <w:t xml:space="preserve">enforced per-session via</w:t>
      </w:r>
      <w:r>
        <w:t xml:space="preserve"> </w:t>
      </w:r>
      <w:r>
        <w:rPr>
          <w:rStyle w:val="VerbatimChar"/>
        </w:rPr>
        <w:t xml:space="preserve">TMX_MEM</w:t>
      </w:r>
      <w:r>
        <w:t xml:space="preserve">. Project §106.</w:t>
      </w:r>
    </w:p>
    <w:bookmarkEnd w:id="12"/>
    <w:bookmarkStart w:id="13"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w:t>
            </w:r>
          </w:p>
        </w:tc>
        <w:tc>
          <w:tcPr/>
          <w:p>
            <w:pPr>
              <w:pStyle w:val="Compact"/>
            </w:pPr>
            <w:r>
              <w:rPr>
                <w:rStyle w:val="VerbatimChar"/>
              </w:rPr>
              <w:t xml:space="preserve">bash scripts/install_deps.sh</w:t>
            </w:r>
            <w:r>
              <w:t xml:space="preserve"> </w:t>
            </w:r>
            <w:r>
              <w:t xml:space="preserve">(Linux: root; macOS: brew)</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Build only / Verify only</w:t>
            </w:r>
          </w:p>
        </w:tc>
        <w:tc>
          <w:tcPr/>
          <w:p>
            <w:pPr>
              <w:pStyle w:val="Compact"/>
            </w:pPr>
            <w:r>
              <w:rPr>
                <w:rStyle w:val="VerbatimChar"/>
              </w:rPr>
              <w:t xml:space="preserve">bash scripts/setup.sh --build-only</w:t>
            </w:r>
            <w:r>
              <w:t xml:space="preserve"> </w:t>
            </w:r>
            <w:r>
              <w:t xml:space="preserve">/</w:t>
            </w:r>
            <w:r>
              <w:t xml:space="preserve"> </w:t>
            </w:r>
            <w:r>
              <w:rPr>
                <w:rStyle w:val="VerbatimChar"/>
              </w:rPr>
              <w:t xml:space="preserve">--verify-only</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Single test</w:t>
            </w:r>
          </w:p>
        </w:tc>
        <w:tc>
          <w:tcPr/>
          <w:p>
            <w:pPr>
              <w:pStyle w:val="Compact"/>
            </w:pPr>
            <w:r>
              <w:rPr>
                <w:rStyle w:val="VerbatimChar"/>
              </w:rPr>
              <w:t xml:space="preserve">bash scripts/tests/NN_*.sh</w:t>
            </w:r>
            <w:r>
              <w:t xml:space="preserve"> </w:t>
            </w:r>
            <w:r>
              <w:t xml:space="preserve">(01..17)</w:t>
            </w:r>
          </w:p>
        </w:tc>
      </w:tr>
      <w:tr>
        <w:tc>
          <w:tcPr/>
          <w:p>
            <w:pPr>
              <w:pStyle w:val="Compact"/>
            </w:pPr>
            <w:r>
              <w:t xml:space="preserve">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bookmarkEnd w:id="13"/>
    <w:bookmarkStart w:id="14" w:name="structure"/>
    <w:p>
      <w:pPr>
        <w:pStyle w:val="Heading2"/>
      </w:pPr>
      <w:r>
        <w:t xml:space="preserve">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constitution/</w:t>
            </w:r>
          </w:p>
        </w:tc>
        <w:tc>
          <w:tcPr/>
          <w:p>
            <w:pPr>
              <w:pStyle w:val="Compact"/>
            </w:pPr>
            <w:r>
              <w:t xml:space="preserve">HelixConstitution submodule — universal governance —</w:t>
            </w:r>
            <w:r>
              <w:t xml:space="preserve"> </w:t>
            </w:r>
            <w:r>
              <w:rPr>
                <w:b/>
                <w:bCs/>
              </w:rPr>
              <w:t xml:space="preserve">do not modify</w:t>
            </w:r>
          </w:p>
        </w:tc>
      </w:tr>
      <w:tr>
        <w:tc>
          <w:tcPr/>
          <w:p>
            <w:pPr>
              <w:pStyle w:val="Compact"/>
            </w:pPr>
            <w:r>
              <w:rPr>
                <w:rStyle w:val="VerbatimChar"/>
              </w:rPr>
              <w:t xml:space="preserve">tmux/</w:t>
            </w:r>
          </w:p>
        </w:tc>
        <w:tc>
          <w:tcPr/>
          <w:p>
            <w:pPr>
              <w:pStyle w:val="Compact"/>
            </w:pPr>
            <w:r>
              <w:t xml:space="preserve">upstream submodule (tag</w:t>
            </w:r>
            <w:r>
              <w:t xml:space="preserve"> </w:t>
            </w:r>
            <w:r>
              <w:rPr>
                <w:rStyle w:val="VerbatimChar"/>
              </w:rPr>
              <w:t xml:space="preserve">3.6a</w:t>
            </w:r>
            <w:r>
              <w:t xml:space="preserve">) —</w:t>
            </w:r>
            <w:r>
              <w:t xml:space="preserve"> </w:t>
            </w:r>
            <w:r>
              <w:rPr>
                <w:b/>
                <w:bCs/>
              </w:rPr>
              <w:t xml:space="preserve">do not modify</w:t>
            </w:r>
          </w:p>
        </w:tc>
      </w:tr>
      <w:tr>
        <w:tc>
          <w:tcPr/>
          <w:p>
            <w:pPr>
              <w:pStyle w:val="Compact"/>
            </w:pPr>
            <w:r>
              <w:rPr>
                <w:rStyle w:val="VerbatimChar"/>
              </w:rPr>
              <w:t xml:space="preserve">Containers/</w:t>
            </w:r>
          </w:p>
        </w:tc>
        <w:tc>
          <w:tcPr/>
          <w:p>
            <w:pPr>
              <w:pStyle w:val="Compact"/>
            </w:pPr>
            <w:r>
              <w:t xml:space="preserve">vasic-digital cgroup helpers submodule</w:t>
            </w:r>
          </w:p>
        </w:tc>
      </w:tr>
      <w:tr>
        <w:tc>
          <w:tcPr/>
          <w:p>
            <w:pPr>
              <w:pStyle w:val="Compact"/>
            </w:pPr>
            <w:r>
              <w:rPr>
                <w:rStyle w:val="VerbatimChar"/>
              </w:rPr>
              <w:t xml:space="preserve">scripts/</w:t>
            </w:r>
          </w:p>
        </w:tc>
        <w:tc>
          <w:tcPr/>
          <w:p>
            <w:pPr>
              <w:pStyle w:val="Compact"/>
            </w:pPr>
            <w:r>
              <w:t xml:space="preserve">build, verify, install, 17 tests + inheritance gate, challenges, templates</w:t>
            </w:r>
          </w:p>
        </w:tc>
      </w:tr>
      <w:tr>
        <w:tc>
          <w:tcPr/>
          <w:p>
            <w:pPr>
              <w:pStyle w:val="Compact"/>
            </w:pPr>
            <w:r>
              <w:rPr>
                <w:rStyle w:val="VerbatimChar"/>
              </w:rPr>
              <w:t xml:space="preserve">scripts/tmx</w:t>
            </w:r>
          </w:p>
        </w:tc>
        <w:tc>
          <w:tcPr/>
          <w:p>
            <w:pPr>
              <w:pStyle w:val="Compact"/>
            </w:pPr>
            <w:r>
              <w:t xml:space="preserve">generated dispatcher (</w:t>
            </w:r>
            <w:r>
              <w:rPr>
                <w:rStyle w:val="VerbatimChar"/>
              </w:rPr>
              <w:t xml:space="preserve">.gitignore</w:t>
            </w:r>
            <w:r>
              <w:t xml:space="preserve">'d — edit</w:t>
            </w:r>
            <w:r>
              <w:t xml:space="preserve"> </w:t>
            </w:r>
            <w:r>
              <w:rPr>
                <w:rStyle w:val="VerbatimChar"/>
              </w:rPr>
              <w:t xml:space="preserve">tmx.template</w:t>
            </w:r>
            <w:r>
              <w:t xml:space="preserve">)</w:t>
            </w:r>
          </w:p>
        </w:tc>
      </w:tr>
      <w:tr>
        <w:tc>
          <w:tcPr/>
          <w:p>
            <w:pPr>
              <w:pStyle w:val="Compact"/>
            </w:pPr>
            <w:r>
              <w:rPr>
                <w:rStyle w:val="VerbatimChar"/>
              </w:rPr>
              <w:t xml:space="preserve">scripts/tmux.conf.template</w:t>
            </w:r>
          </w:p>
        </w:tc>
        <w:tc>
          <w:tcPr/>
          <w:p>
            <w:pPr>
              <w:pStyle w:val="Compact"/>
            </w:pPr>
            <w:r>
              <w:t xml:space="preserve">tmux config template (scrollback / copy-mode / clipboard)</w:t>
            </w:r>
          </w:p>
        </w:tc>
      </w:tr>
      <w:tr>
        <w:tc>
          <w:tcPr/>
          <w:p>
            <w:pPr>
              <w:pStyle w:val="Compact"/>
            </w:pPr>
            <w:r>
              <w:rPr>
                <w:rStyle w:val="VerbatimChar"/>
              </w:rPr>
              <w:t xml:space="preserve">commit_all.sh</w:t>
            </w:r>
          </w:p>
        </w:tc>
        <w:tc>
          <w:tcPr/>
          <w:p>
            <w:pPr>
              <w:pStyle w:val="Compact"/>
            </w:pPr>
            <w:r>
              <w:t xml:space="preserve">only allowed push mechanism</w:t>
            </w:r>
          </w:p>
        </w:tc>
      </w:tr>
      <w:tr>
        <w:tc>
          <w:tcPr/>
          <w:p>
            <w:pPr>
              <w:pStyle w:val="Compact"/>
            </w:pPr>
            <w:r>
              <w:rPr>
                <w:rStyle w:val="VerbatimChar"/>
              </w:rPr>
              <w:t xml:space="preserve">Constitution.md</w:t>
            </w:r>
          </w:p>
        </w:tc>
        <w:tc>
          <w:tcPr/>
          <w:p>
            <w:pPr>
              <w:pStyle w:val="Compact"/>
            </w:pPr>
            <w:r>
              <w:t xml:space="preserve">project authority (extends</w:t>
            </w:r>
            <w:r>
              <w:t xml:space="preserve"> </w:t>
            </w:r>
            <w:r>
              <w:rPr>
                <w:rStyle w:val="VerbatimChar"/>
              </w:rPr>
              <w:t xml:space="preserve">constitution/</w:t>
            </w:r>
            <w:r>
              <w:t xml:space="preserve">)</w:t>
            </w:r>
          </w:p>
        </w:tc>
      </w:tr>
      <w:tr>
        <w:tc>
          <w:tcPr/>
          <w:p>
            <w:pPr>
              <w:pStyle w:val="Compact"/>
            </w:pP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CONTINUATION.md</w:t>
            </w:r>
          </w:p>
        </w:tc>
        <w:tc>
          <w:tcPr/>
          <w:p>
            <w:pPr>
              <w:pStyle w:val="Compact"/>
            </w:pPr>
            <w:r>
              <w:t xml:space="preserve">open work / closed archive / live handoff</w:t>
            </w:r>
          </w:p>
        </w:tc>
      </w:tr>
    </w:tbl>
    <w:bookmarkEnd w:id="14"/>
    <w:bookmarkStart w:id="18" w:name="project-specific-agent-rules"/>
    <w:p>
      <w:pPr>
        <w:pStyle w:val="Heading2"/>
      </w:pPr>
      <w:r>
        <w:t xml:space="preserve">Project-specific agent rules</w:t>
      </w:r>
    </w:p>
    <w:bookmarkStart w:id="15" w:name="allowed-cli-tools"/>
    <w:p>
      <w:pPr>
        <w:pStyle w:val="Heading3"/>
      </w:pPr>
      <w:r>
        <w:t xml:space="preserve">Allowed CLI tools</w:t>
      </w:r>
    </w:p>
    <w:p>
      <w:pPr>
        <w:pStyle w:val="Compact"/>
        <w:numPr>
          <w:ilvl w:val="0"/>
          <w:numId w:val="1002"/>
        </w:numPr>
      </w:pPr>
      <w:r>
        <w:rPr>
          <w:rStyle w:val="VerbatimChar"/>
        </w:rPr>
        <w:t xml:space="preserve">git</w:t>
      </w:r>
      <w:r>
        <w:t xml:space="preserve">,</w:t>
      </w:r>
      <w:r>
        <w:t xml:space="preserve"> </w:t>
      </w:r>
      <w:r>
        <w:rPr>
          <w:rStyle w:val="VerbatimChar"/>
        </w:rPr>
        <w:t xml:space="preserve">gh</w:t>
      </w:r>
      <w:r>
        <w:t xml:space="preserve">,</w:t>
      </w:r>
      <w:r>
        <w:t xml:space="preserve"> </w:t>
      </w:r>
      <w:r>
        <w:rPr>
          <w:rStyle w:val="VerbatimChar"/>
        </w:rPr>
        <w:t xml:space="preserve">glab</w:t>
      </w:r>
      <w:r>
        <w:t xml:space="preserve"> </w:t>
      </w:r>
      <w:r>
        <w:t xml:space="preserve">(releases),</w:t>
      </w:r>
      <w:r>
        <w:t xml:space="preserve"> </w:t>
      </w:r>
      <w:r>
        <w:rPr>
          <w:rStyle w:val="VerbatimChar"/>
        </w:rPr>
        <w:t xml:space="preserve">bash</w:t>
      </w:r>
      <w:r>
        <w:t xml:space="preserve">, the project's own scripts.</w:t>
      </w:r>
    </w:p>
    <w:p>
      <w:pPr>
        <w:pStyle w:val="Compact"/>
        <w:numPr>
          <w:ilvl w:val="0"/>
          <w:numId w:val="1002"/>
        </w:numPr>
      </w:pPr>
      <w:r>
        <w:t xml:space="preserve">macOS: Homebrew (</w:t>
      </w:r>
      <w:r>
        <w:rPr>
          <w:rStyle w:val="VerbatimChar"/>
        </w:rPr>
        <w:t xml:space="preserve">brew</w:t>
      </w:r>
      <w:r>
        <w:t xml:space="preserve">) for build deps. Linux: distro package</w:t>
      </w:r>
      <w:r>
        <w:t xml:space="preserve"> </w:t>
      </w:r>
      <w:r>
        <w:t xml:space="preserve">manager via</w:t>
      </w:r>
      <w:r>
        <w:t xml:space="preserve"> </w:t>
      </w:r>
      <w:r>
        <w:rPr>
          <w:rStyle w:val="VerbatimChar"/>
        </w:rPr>
        <w:t xml:space="preserve">install_deps.sh</w:t>
      </w:r>
      <w:r>
        <w:t xml:space="preserve">.</w:t>
      </w:r>
    </w:p>
    <w:bookmarkEnd w:id="15"/>
    <w:bookmarkStart w:id="16" w:name="forbidden-in-this-project"/>
    <w:p>
      <w:pPr>
        <w:pStyle w:val="Heading3"/>
      </w:pPr>
      <w:r>
        <w:t xml:space="preserve">Forbidden in this project</w:t>
      </w:r>
    </w:p>
    <w:p>
      <w:pPr>
        <w:pStyle w:val="Compact"/>
        <w:numPr>
          <w:ilvl w:val="0"/>
          <w:numId w:val="1003"/>
        </w:numPr>
      </w:pPr>
      <w:r>
        <w:t xml:space="preserve">Editing</w:t>
      </w:r>
      <w:r>
        <w:t xml:space="preserve"> </w:t>
      </w:r>
      <w:r>
        <w:rPr>
          <w:rStyle w:val="VerbatimChar"/>
        </w:rPr>
        <w:t xml:space="preserve">tmux/</w:t>
      </w:r>
      <w:r>
        <w:t xml:space="preserve">,</w:t>
      </w:r>
      <w:r>
        <w:t xml:space="preserve"> </w:t>
      </w:r>
      <w:r>
        <w:rPr>
          <w:rStyle w:val="VerbatimChar"/>
        </w:rPr>
        <w:t xml:space="preserve">constitution/</w:t>
      </w:r>
      <w:r>
        <w:t xml:space="preserve">, or generated files (</w:t>
      </w:r>
      <w:r>
        <w:rPr>
          <w:rStyle w:val="VerbatimChar"/>
        </w:rPr>
        <w:t xml:space="preserve">scripts/tmx</w:t>
      </w:r>
      <w:r>
        <w:t xml:space="preserve">,</w:t>
      </w:r>
      <w:r>
        <w:t xml:space="preserve"> </w:t>
      </w:r>
      <w:r>
        <w:rPr>
          <w:rStyle w:val="VerbatimChar"/>
        </w:rPr>
        <w:t xml:space="preserve">tmux/build*/</w:t>
      </w:r>
      <w:r>
        <w:t xml:space="preserve">).</w:t>
      </w:r>
    </w:p>
    <w:p>
      <w:pPr>
        <w:pStyle w:val="Compact"/>
        <w:numPr>
          <w:ilvl w:val="0"/>
          <w:numId w:val="1003"/>
        </w:numPr>
      </w:pPr>
      <w:r>
        <w:t xml:space="preserve">Direct</w:t>
      </w:r>
      <w:r>
        <w:t xml:space="preserve"> </w:t>
      </w:r>
      <w:r>
        <w:rPr>
          <w:rStyle w:val="VerbatimChar"/>
        </w:rPr>
        <w:t xml:space="preserve">git push</w:t>
      </w:r>
      <w:r>
        <w:t xml:space="preserve"> </w:t>
      </w:r>
      <w:r>
        <w:t xml:space="preserve">on the main repo — use</w:t>
      </w:r>
      <w:r>
        <w:t xml:space="preserve"> </w:t>
      </w:r>
      <w:r>
        <w:rPr>
          <w:rStyle w:val="VerbatimChar"/>
        </w:rPr>
        <w:t xml:space="preserve">commit_all.sh</w:t>
      </w:r>
      <w:r>
        <w:t xml:space="preserve">.</w:t>
      </w:r>
    </w:p>
    <w:p>
      <w:pPr>
        <w:pStyle w:val="Compact"/>
        <w:numPr>
          <w:ilvl w:val="0"/>
          <w:numId w:val="1003"/>
        </w:numPr>
      </w:pPr>
      <w:r>
        <w:t xml:space="preserve">CI/CD pipeline files (</w:t>
      </w:r>
      <w:r>
        <w:rPr>
          <w:rStyle w:val="VerbatimChar"/>
        </w:rPr>
        <w:t xml:space="preserve">.github/workflows/</w:t>
      </w:r>
      <w:r>
        <w:t xml:space="preserve">,</w:t>
      </w:r>
      <w:r>
        <w:t xml:space="preserve"> </w:t>
      </w:r>
      <w:r>
        <w:rPr>
          <w:rStyle w:val="VerbatimChar"/>
        </w:rPr>
        <w:t xml:space="preserve">.gitlab-ci.yml</w:t>
      </w:r>
      <w:r>
        <w:t xml:space="preserve">).</w:t>
      </w:r>
    </w:p>
    <w:p>
      <w:pPr>
        <w:pStyle w:val="Compact"/>
        <w:numPr>
          <w:ilvl w:val="0"/>
          <w:numId w:val="1003"/>
        </w:numPr>
      </w:pPr>
      <w:r>
        <w:t xml:space="preserve">HTTPS Git remotes — SSH only.</w:t>
      </w:r>
    </w:p>
    <w:p>
      <w:pPr>
        <w:pStyle w:val="Compact"/>
        <w:numPr>
          <w:ilvl w:val="0"/>
          <w:numId w:val="1003"/>
        </w:numPr>
      </w:pPr>
      <w:r>
        <w:t xml:space="preserve">Advancing the</w:t>
      </w:r>
      <w:r>
        <w:t xml:space="preserve"> </w:t>
      </w:r>
      <w:r>
        <w:rPr>
          <w:rStyle w:val="VerbatimChar"/>
        </w:rPr>
        <w:t xml:space="preserve">tmux/</w:t>
      </w:r>
      <w:r>
        <w:t xml:space="preserve"> </w:t>
      </w:r>
      <w:r>
        <w:t xml:space="preserve">submodule off tag</w:t>
      </w:r>
      <w:r>
        <w:t xml:space="preserve"> </w:t>
      </w:r>
      <w:r>
        <w:rPr>
          <w:rStyle w:val="VerbatimChar"/>
        </w:rPr>
        <w:t xml:space="preserve">3.6a</w:t>
      </w:r>
      <w:r>
        <w:t xml:space="preserve"> </w:t>
      </w:r>
      <w:r>
        <w:t xml:space="preserve">without an explicit</w:t>
      </w:r>
      <w:r>
        <w:t xml:space="preserve"> </w:t>
      </w:r>
      <w:r>
        <w:t xml:space="preserve">documented decision (Project §107).</w:t>
      </w:r>
    </w:p>
    <w:bookmarkEnd w:id="16"/>
    <w:bookmarkStart w:id="17" w:name="project-specific-workflow"/>
    <w:p>
      <w:pPr>
        <w:pStyle w:val="Heading3"/>
      </w:pPr>
      <w:r>
        <w:t xml:space="preserve">Project-specific workflow</w:t>
      </w:r>
    </w:p>
    <w:p>
      <w:pPr>
        <w:pStyle w:val="Compact"/>
        <w:numPr>
          <w:ilvl w:val="0"/>
          <w:numId w:val="1004"/>
        </w:numPr>
      </w:pPr>
      <w:r>
        <w:rPr>
          <w:b/>
          <w:bCs/>
        </w:rPr>
        <w:t xml:space="preserve">Test-interrupt-on-discovery</w:t>
      </w:r>
      <w:r>
        <w:t xml:space="preserve"> </w:t>
      </w:r>
      <w:r>
        <w:t xml:space="preserve">(§103): a defect found mid-cycle</w:t>
      </w:r>
      <w:r>
        <w:t xml:space="preserve"> </w:t>
      </w:r>
      <w:r>
        <w:t xml:space="preserve">STOPS the cycle — fix root cause, land four layers, rebuild, repeat.</w:t>
      </w:r>
    </w:p>
    <w:p>
      <w:pPr>
        <w:pStyle w:val="Compact"/>
        <w:numPr>
          <w:ilvl w:val="0"/>
          <w:numId w:val="1004"/>
        </w:numPr>
      </w:pPr>
      <w:r>
        <w:rPr>
          <w:b/>
          <w:bCs/>
        </w:rPr>
        <w:t xml:space="preserve">Topology dispatch</w:t>
      </w:r>
      <w:r>
        <w:t xml:space="preserve"> </w:t>
      </w:r>
      <w:r>
        <w:t xml:space="preserve">(§104): tests detect host topology and</w:t>
      </w:r>
      <w:r>
        <w:t xml:space="preserve"> </w:t>
      </w:r>
      <w:r>
        <w:t xml:space="preserve">SKIP-with-reason; never silently degrade.</w:t>
      </w:r>
    </w:p>
    <w:p>
      <w:pPr>
        <w:pStyle w:val="Compact"/>
        <w:numPr>
          <w:ilvl w:val="0"/>
          <w:numId w:val="1004"/>
        </w:numPr>
      </w:pPr>
      <w:r>
        <w:rPr>
          <w:b/>
          <w:bCs/>
        </w:rPr>
        <w:t xml:space="preserve">Destructive tests</w:t>
      </w:r>
      <w:r>
        <w:t xml:space="preserve"> </w:t>
      </w:r>
      <w:r>
        <w:t xml:space="preserve">(12/13/14): require</w:t>
      </w:r>
      <w:r>
        <w:t xml:space="preserve"> </w:t>
      </w:r>
      <w:r>
        <w:rPr>
          <w:rStyle w:val="VerbatimChar"/>
        </w:rPr>
        <w:t xml:space="preserve">TMX_TEST_DESTRUCTIVE=1</w:t>
      </w:r>
      <w:r>
        <w:t xml:space="preserve">.</w:t>
      </w:r>
    </w:p>
    <w:p>
      <w:pPr>
        <w:pStyle w:val="Compact"/>
        <w:numPr>
          <w:ilvl w:val="0"/>
          <w:numId w:val="1004"/>
        </w:numPr>
      </w:pPr>
      <w:r>
        <w:rPr>
          <w:b/>
          <w:bCs/>
        </w:rPr>
        <w:t xml:space="preserve">Releases</w:t>
      </w:r>
      <w:r>
        <w:t xml:space="preserve">: bump</w:t>
      </w:r>
      <w:r>
        <w:t xml:space="preserve"> </w:t>
      </w:r>
      <w:r>
        <w:rPr>
          <w:rStyle w:val="VerbatimChar"/>
        </w:rPr>
        <w:t xml:space="preserve">VERSION</w:t>
      </w:r>
      <w:r>
        <w:t xml:space="preserve"> </w:t>
      </w:r>
      <w:r>
        <w:t xml:space="preserve">(</w:t>
      </w:r>
      <w:r>
        <w:rPr>
          <w:rStyle w:val="VerbatimChar"/>
        </w:rPr>
        <w:t xml:space="preserve">version=</w:t>
      </w:r>
      <w:r>
        <w:t xml:space="preserve"> </w:t>
      </w:r>
      <w:r>
        <w:t xml:space="preserve">+</w:t>
      </w:r>
      <w:r>
        <w:t xml:space="preserve"> </w:t>
      </w:r>
      <w:r>
        <w:rPr>
          <w:rStyle w:val="VerbatimChar"/>
        </w:rPr>
        <w:t xml:space="preserve">versionCode=</w:t>
      </w:r>
      <w:r>
        <w:t xml:space="preserve"> </w:t>
      </w:r>
      <w:r>
        <w:t xml:space="preserve">together) +</w:t>
      </w:r>
      <w:r>
        <w:t xml:space="preserve"> </w:t>
      </w:r>
      <w:r>
        <w:rPr>
          <w:rStyle w:val="VerbatimChar"/>
        </w:rPr>
        <w:t xml:space="preserve">CHANGELOG.md</w:t>
      </w:r>
      <w:r>
        <w:t xml:space="preserve"> </w:t>
      </w:r>
      <w:r>
        <w:t xml:space="preserve">entry; tag +</w:t>
      </w:r>
      <w:r>
        <w:t xml:space="preserve"> </w:t>
      </w:r>
      <w:r>
        <w:rPr>
          <w:rStyle w:val="VerbatimChar"/>
        </w:rPr>
        <w:t xml:space="preserve">gh release create</w:t>
      </w:r>
      <w:r>
        <w:t xml:space="preserve"> </w:t>
      </w:r>
      <w:r>
        <w:t xml:space="preserve">+</w:t>
      </w:r>
      <w:r>
        <w:t xml:space="preserve"> </w:t>
      </w:r>
      <w:r>
        <w:rPr>
          <w:rStyle w:val="VerbatimChar"/>
        </w:rPr>
        <w:t xml:space="preserve">glab release create</w:t>
      </w:r>
      <w:r>
        <w:t xml:space="preserve">.</w:t>
      </w:r>
    </w:p>
    <w:bookmarkEnd w:id="17"/>
    <w:bookmarkEnd w:id="18"/>
    <w:bookmarkStart w:id="19" w:name="project-overrides-of-universal-rules"/>
    <w:p>
      <w:pPr>
        <w:pStyle w:val="Heading2"/>
      </w:pPr>
      <w:r>
        <w:t xml:space="preserve">Project overrides of universal rules</w:t>
      </w:r>
    </w:p>
    <w:p>
      <w:pPr>
        <w:pStyle w:val="FirstParagraph"/>
      </w:pPr>
      <w:r>
        <w:t xml:space="preserve">None.</w:t>
      </w:r>
    </w:p>
    <w:bookmarkEnd w:id="19"/>
    <w:bookmarkStart w:id="68" w:name="X503db2381440baa22bc246b08437cf66873e1ff"/>
    <w:p>
      <w:pPr>
        <w:pStyle w:val="Heading2"/>
      </w:pPr>
      <w:r>
        <w:t xml:space="preserve">§11.4.87–98 — newly-inherited anchors (constitution 6828ff2)</w:t>
      </w:r>
    </w:p>
    <w:p>
      <w:pPr>
        <w:pStyle w:val="FirstParagraph"/>
      </w:pPr>
      <w:r>
        <w:t xml:space="preserve">Twelve new universal anchors landed in</w:t>
      </w:r>
      <w:r>
        <w:t xml:space="preserve"> </w:t>
      </w:r>
      <w:r>
        <w:rPr>
          <w:rStyle w:val="VerbatimChar"/>
        </w:rPr>
        <w:t xml:space="preserve">constitution/Constitution.md</w:t>
      </w:r>
      <w:r>
        <w:t xml:space="preserve"> </w:t>
      </w:r>
      <w:r>
        <w:t xml:space="preserve">at commit</w:t>
      </w:r>
      <w:r>
        <w:t xml:space="preserve"> </w:t>
      </w:r>
      <w:r>
        <w:rPr>
          <w:rStyle w:val="VerbatimChar"/>
        </w:rPr>
        <w:t xml:space="preserve">6828ff2</w:t>
      </w:r>
      <w:r>
        <w:t xml:space="preserve"> </w:t>
      </w:r>
      <w:r>
        <w:t xml:space="preserve">(2026-05-28). They apply unconditionally per</w:t>
      </w:r>
      <w:r>
        <w:t xml:space="preserve"> </w:t>
      </w:r>
      <w:r>
        <w:t xml:space="preserve">§11.4.35. Short-form mirrors follow.</w:t>
      </w:r>
    </w:p>
    <w:bookmarkStart w:id="20"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Continue work</w:t>
      </w:r>
      <w:r>
        <w:t xml:space="preserve"> </w:t>
      </w:r>
      <w:r>
        <w:t xml:space="preserve">until all of: Issues.md has zero non-terminal items, CONTINUATION.md</w:t>
      </w:r>
      <w:r>
        <w:t xml:space="preserve"> </w:t>
      </w:r>
      <w:r>
        <w:t xml:space="preserve">§3 active-work empty, no in-flight subagent, no external dependency</w:t>
      </w:r>
      <w:r>
        <w:t xml:space="preserve"> </w:t>
      </w:r>
      <w:r>
        <w:t xml:space="preserve">in-flight. Every closure carries §11.4.4(b) four-layer coverage +</w:t>
      </w:r>
      <w:r>
        <w:t xml:space="preserve"> </w:t>
      </w:r>
      <w:r>
        <w:t xml:space="preserve">captured-evidence per §11.4.5/§11.4.69.</w:t>
      </w:r>
      <w:r>
        <w:t xml:space="preserve"> </w:t>
      </w:r>
      <w:r>
        <w:rPr>
          <w:b/>
          <w:bCs/>
        </w:rPr>
        <w:t xml:space="preserve">Canonical authority:</w:t>
      </w:r>
      <w:r>
        <w:t xml:space="preserve"> </w:t>
      </w:r>
      <w:r>
        <w:rPr>
          <w:rStyle w:val="VerbatimChar"/>
        </w:rPr>
        <w:t xml:space="preserve">constitution/Constitution.md</w:t>
      </w:r>
      <w:r>
        <w:t xml:space="preserve"> </w:t>
      </w:r>
      <w:r>
        <w:t xml:space="preserve">§11.4.87.</w:t>
      </w:r>
    </w:p>
    <w:bookmarkEnd w:id="20"/>
    <w:bookmarkStart w:id="21" w:name="X11ec2ceb7243ff5b237faddb5a4b96946e830c1"/>
    <w:p>
      <w:pPr>
        <w:pStyle w:val="Heading3"/>
      </w:pPr>
      <w:r>
        <w:t xml:space="preserve">§11.4.88 — Background-push: commit-flock release immediate,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releases its commit flock as soon as</w:t>
      </w:r>
      <w:r>
        <w:t xml:space="preserve"> </w:t>
      </w:r>
      <w:r>
        <w:rPr>
          <w:rStyle w:val="VerbatimChar"/>
        </w:rPr>
        <w:t xml:space="preserve">git commit</w:t>
      </w:r>
      <w:r>
        <w:t xml:space="preserve"> </w:t>
      </w:r>
      <w:r>
        <w:t xml:space="preserve">returns 0; push runs</w:t>
      </w:r>
      <w:r>
        <w:t xml:space="preserve"> </w:t>
      </w:r>
      <w:r>
        <w:t xml:space="preserve">detached via</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Per-remote flock serialises</w:t>
      </w:r>
      <w:r>
        <w:t xml:space="preserve"> </w:t>
      </w:r>
      <w:r>
        <w:t xml:space="preserve">same-remote concurrent pushes. Only escape:</w:t>
      </w:r>
      <w:r>
        <w:t xml:space="preserve"> </w:t>
      </w:r>
      <w:r>
        <w:rPr>
          <w:rStyle w:val="VerbatimChar"/>
        </w:rPr>
        <w:t xml:space="preserve">--sync-push</w:t>
      </w:r>
      <w:r>
        <w:t xml:space="preserve"> </w:t>
      </w:r>
      <w:r>
        <w:t xml:space="preserve">for §11.4.41</w:t>
      </w:r>
      <w:r>
        <w:t xml:space="preserve"> </w:t>
      </w:r>
      <w:r>
        <w:t xml:space="preserve">force-push paths.</w:t>
      </w:r>
      <w:r>
        <w:t xml:space="preserve"> </w:t>
      </w:r>
      <w:r>
        <w:rPr>
          <w:b/>
          <w:bCs/>
        </w:rPr>
        <w:t xml:space="preserve">Canonical authority:</w:t>
      </w:r>
      <w:r>
        <w:t xml:space="preserve"> </w:t>
      </w:r>
      <w:r>
        <w:rPr>
          <w:rStyle w:val="VerbatimChar"/>
        </w:rPr>
        <w:t xml:space="preserve">constitution/Constitution.md</w:t>
      </w:r>
      <w:r>
        <w:t xml:space="preserve"> </w:t>
      </w:r>
      <w:r>
        <w:t xml:space="preserve">§11.4.88.</w:t>
      </w:r>
    </w:p>
    <w:bookmarkEnd w:id="21"/>
    <w:bookmarkStart w:id="22"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w:t>
      </w:r>
    </w:p>
    <w:p>
      <w:pPr>
        <w:pStyle w:val="BlockText"/>
      </w:pPr>
      <w:r>
        <w:t xml:space="preserve">30 s (</w:t>
      </w:r>
      <w:r>
        <w:rPr>
          <w:rStyle w:val="VerbatimChar"/>
        </w:rPr>
        <w:t xml:space="preserve">run_all.sh</w:t>
      </w:r>
      <w:r>
        <w:t xml:space="preserve">,</w:t>
      </w:r>
      <w:r>
        <w:t xml:space="preserve"> </w:t>
      </w:r>
      <w:r>
        <w:rPr>
          <w:rStyle w:val="VerbatimChar"/>
        </w:rPr>
        <w:t xml:space="preserve">meta_test_false_positive_proof.sh</w:t>
      </w:r>
      <w:r>
        <w:t xml:space="preserve">,</w:t>
      </w:r>
      <w:r>
        <w:t xml:space="preserve"> </w:t>
      </w:r>
      <w:r>
        <w:rPr>
          <w:rStyle w:val="VerbatimChar"/>
        </w:rPr>
        <w:t xml:space="preserve">test_e2e.sh</w:t>
      </w:r>
      <w:r>
        <w:t xml:space="preserve">)</w:t>
      </w:r>
      <w:r>
        <w:t xml:space="preserve"> </w:t>
      </w:r>
      <w:r>
        <w:t xml:space="preserve">MUST run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main</w:t>
      </w:r>
      <w:r>
        <w:t xml:space="preserve"> </w:t>
      </w:r>
      <w:r>
        <w:t xml:space="preserve">stream returns to the §11.4.42 priority queue.</w:t>
      </w:r>
      <w:r>
        <w:t xml:space="preserve"> </w:t>
      </w:r>
      <w:r>
        <w:rPr>
          <w:b/>
          <w:bCs/>
        </w:rPr>
        <w:t xml:space="preserve">Canonical authority:</w:t>
      </w:r>
      <w:r>
        <w:t xml:space="preserve"> </w:t>
      </w:r>
      <w:r>
        <w:rPr>
          <w:rStyle w:val="VerbatimChar"/>
        </w:rPr>
        <w:t xml:space="preserve">constitution/Constitution.md</w:t>
      </w:r>
      <w:r>
        <w:t xml:space="preserve"> </w:t>
      </w:r>
      <w:r>
        <w:t xml:space="preserve">§11.4.89.</w:t>
      </w:r>
    </w:p>
    <w:bookmarkEnd w:id="22"/>
    <w:bookmarkStart w:id="23"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New §11.4.15</w:t>
      </w:r>
      <w:r>
        <w:t xml:space="preserve"> </w:t>
      </w:r>
      <w:r>
        <w:t xml:space="preserve">Status terminal value</w:t>
      </w:r>
      <w:r>
        <w:t xml:space="preserve"> </w:t>
      </w:r>
      <w:r>
        <w:rPr>
          <w:rStyle w:val="VerbatimChar"/>
        </w:rPr>
        <w:t xml:space="preserve">Obsolete (→ Fixed.md)</w:t>
      </w:r>
      <w:r>
        <w:t xml:space="preserve"> </w:t>
      </w:r>
      <w:r>
        <w:t xml:space="preserve">with mandatory</w:t>
      </w:r>
      <w:r>
        <w:t xml:space="preserve"> </w:t>
      </w:r>
      <w:r>
        <w:rPr>
          <w:rStyle w:val="VerbatimChar"/>
        </w:rPr>
        <w:t xml:space="preserve">**Obsolete-Details:**</w:t>
      </w:r>
      <w:r>
        <w:t xml:space="preserve"> </w:t>
      </w:r>
      <w:r>
        <w:t xml:space="preserve">(Since + Reason from closed vocabulary +</w:t>
      </w:r>
      <w:r>
        <w:t xml:space="preserve"> </w:t>
      </w:r>
      <w:r>
        <w:t xml:space="preserve">Superseding-item + Triple-check evidence). Colorizer marks rows</w:t>
      </w:r>
      <w:r>
        <w:t xml:space="preserve"> </w:t>
      </w:r>
      <w:r>
        <w:t xml:space="preserve">light-gray + strikethrough.</w:t>
      </w:r>
      <w:r>
        <w:t xml:space="preserve"> </w:t>
      </w:r>
      <w:r>
        <w:rPr>
          <w:b/>
          <w:bCs/>
        </w:rPr>
        <w:t xml:space="preserve">Canonical authority:</w:t>
      </w:r>
      <w:r>
        <w:t xml:space="preserve"> </w:t>
      </w:r>
      <w:r>
        <w:rPr>
          <w:rStyle w:val="VerbatimChar"/>
        </w:rPr>
        <w:t xml:space="preserve">constitution/Constitution.md</w:t>
      </w:r>
      <w:r>
        <w:t xml:space="preserve"> </w:t>
      </w:r>
      <w:r>
        <w:t xml:space="preserve">§11.4.90.</w:t>
      </w:r>
    </w:p>
    <w:bookmarkEnd w:id="23"/>
    <w:bookmarkStart w:id="24"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 6 words OR ≥ 40 chars, naming SUBJECT + PROBLEM/GOAL.</w:t>
      </w:r>
      <w:r>
        <w:t xml:space="preserve"> </w:t>
      </w:r>
      <w:r>
        <w:t xml:space="preserve">Anti-patterns forbidden: section labels, bare metadata fragments,</w:t>
      </w:r>
      <w:r>
        <w:t xml:space="preserve"> </w:t>
      </w:r>
      <w:r>
        <w:t xml:space="preserve">§-letter alone. Generators extract from H1/H2 heading per §11.4.54</w:t>
      </w:r>
      <w:r>
        <w:t xml:space="preserve"> </w:t>
      </w:r>
      <w:r>
        <w:t xml:space="preserve">ATM-NNN convention.</w:t>
      </w:r>
      <w:r>
        <w:t xml:space="preserve"> </w:t>
      </w:r>
      <w:r>
        <w:rPr>
          <w:b/>
          <w:bCs/>
        </w:rPr>
        <w:t xml:space="preserve">Canonical authority:</w:t>
      </w:r>
      <w:r>
        <w:t xml:space="preserve"> </w:t>
      </w:r>
      <w:r>
        <w:rPr>
          <w:rStyle w:val="VerbatimChar"/>
        </w:rPr>
        <w:t xml:space="preserve">constitution/Constitution.md</w:t>
      </w:r>
      <w:r>
        <w:t xml:space="preserve"> </w:t>
      </w:r>
      <w:r>
        <w:t xml:space="preserve">§11.4.91.</w:t>
      </w:r>
    </w:p>
    <w:bookmarkEnd w:id="24"/>
    <w:bookmarkStart w:id="25"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5 passes before</w:t>
      </w:r>
      <w:r>
        <w:t xml:space="preserve"> </w:t>
      </w:r>
      <w:r>
        <w:t xml:space="preserve">commit: (1) main task evidence; (2) regression blast radius; (3) cross-</w:t>
      </w:r>
      <w:r>
        <w:t xml:space="preserve"> </w:t>
      </w:r>
      <w:r>
        <w:t xml:space="preserve">feature interaction; (4) deep research + CodeGraph; (5) anti-bluff</w:t>
      </w:r>
      <w:r>
        <w:t xml:space="preserve"> </w:t>
      </w:r>
      <w:r>
        <w:t xml:space="preserve">confirmation. Trivial exemption only for zero-source-touch commits</w:t>
      </w:r>
      <w:r>
        <w:t xml:space="preserve"> </w:t>
      </w:r>
      <w:r>
        <w:t xml:space="preserve">that cite it.</w:t>
      </w:r>
      <w:r>
        <w:t xml:space="preserve"> </w:t>
      </w:r>
      <w:r>
        <w:rPr>
          <w:b/>
          <w:bCs/>
        </w:rPr>
        <w:t xml:space="preserve">Canonical authority:</w:t>
      </w:r>
      <w:r>
        <w:t xml:space="preserve"> </w:t>
      </w:r>
      <w:r>
        <w:rPr>
          <w:rStyle w:val="VerbatimChar"/>
        </w:rPr>
        <w:t xml:space="preserve">constitution/Constitution.md</w:t>
      </w:r>
      <w:r>
        <w:t xml:space="preserve"> </w:t>
      </w:r>
      <w:r>
        <w:t xml:space="preserve">§11.4.92.</w:t>
      </w:r>
    </w:p>
    <w:bookmarkEnd w:id="25"/>
    <w:bookmarkStart w:id="26"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Text trackers</w:t>
      </w:r>
      <w:r>
        <w:t xml:space="preserve"> </w:t>
      </w:r>
      <w:r>
        <w:t xml:space="preserve">become views of</w:t>
      </w:r>
      <w:r>
        <w:t xml:space="preserve"> </w:t>
      </w:r>
      <w:r>
        <w:rPr>
          <w:rStyle w:val="VerbatimChar"/>
        </w:rPr>
        <w:t xml:space="preserve">docs/workable_items.db</w:t>
      </w:r>
      <w:r>
        <w:t xml:space="preserve">. Go binary</w:t>
      </w:r>
      <w:r>
        <w:t xml:space="preserve"> </w:t>
      </w:r>
      <w:r>
        <w:rPr>
          <w:rStyle w:val="VerbatimChar"/>
        </w:rPr>
        <w:t xml:space="preserve">cmd/workable-items/</w:t>
      </w:r>
      <w:r>
        <w:t xml:space="preserve"> </w:t>
      </w:r>
      <w:r>
        <w:t xml:space="preserve">provides</w:t>
      </w:r>
      <w:r>
        <w:t xml:space="preserve"> </w:t>
      </w:r>
      <w:r>
        <w:rPr>
          <w:rStyle w:val="VerbatimChar"/>
        </w:rPr>
        <w:t xml:space="preserve">md-to-db</w:t>
      </w:r>
      <w:r>
        <w:t xml:space="preserve"> </w:t>
      </w:r>
      <w:r>
        <w:t xml:space="preserve">/</w:t>
      </w:r>
      <w:r>
        <w:t xml:space="preserve"> </w:t>
      </w:r>
      <w:r>
        <w:rPr>
          <w:rStyle w:val="VerbatimChar"/>
        </w:rPr>
        <w:t xml:space="preserve">db-to-md</w:t>
      </w:r>
      <w:r>
        <w:t xml:space="preserve"> </w:t>
      </w:r>
      <w:r>
        <w:t xml:space="preserve">/</w:t>
      </w:r>
      <w:r>
        <w:t xml:space="preserve"> </w:t>
      </w:r>
      <w:r>
        <w:rPr>
          <w:rStyle w:val="VerbatimChar"/>
        </w:rPr>
        <w:t xml:space="preserve">diff</w:t>
      </w:r>
      <w:r>
        <w:t xml:space="preserve"> </w:t>
      </w:r>
      <w:r>
        <w:t xml:space="preserve">/</w:t>
      </w:r>
      <w:r>
        <w:t xml:space="preserve"> </w:t>
      </w:r>
      <w:r>
        <w:rPr>
          <w:rStyle w:val="VerbatimChar"/>
        </w:rPr>
        <w:t xml:space="preserve">validate</w:t>
      </w:r>
      <w:r>
        <w:t xml:space="preserve">. Round-trip is</w:t>
      </w:r>
      <w:r>
        <w:t xml:space="preserve"> </w:t>
      </w:r>
      <w:r>
        <w:t xml:space="preserve">byte-identical within whitespace tolerance.</w:t>
      </w:r>
      <w:r>
        <w:t xml:space="preserve"> </w:t>
      </w:r>
      <w:r>
        <w:rPr>
          <w:rStyle w:val="VerbatimChar"/>
        </w:rPr>
        <w:t xml:space="preserve">commit_all.sh</w:t>
      </w:r>
      <w:r>
        <w:t xml:space="preserve"> </w:t>
      </w:r>
      <w:r>
        <w:t xml:space="preserve">refuses</w:t>
      </w:r>
      <w:r>
        <w:t xml:space="preserve"> </w:t>
      </w:r>
      <w:r>
        <w:t xml:space="preserve">non-empty diff.</w:t>
      </w:r>
      <w:r>
        <w:t xml:space="preserve"> </w:t>
      </w:r>
      <w:r>
        <w:rPr>
          <w:b/>
          <w:bCs/>
        </w:rPr>
        <w:t xml:space="preserve">Canonical authority:</w:t>
      </w:r>
      <w:r>
        <w:t xml:space="preserve"> </w:t>
      </w:r>
      <w:r>
        <w:rPr>
          <w:rStyle w:val="VerbatimChar"/>
        </w:rPr>
        <w:t xml:space="preserve">constitution/Constitution.md</w:t>
      </w:r>
      <w:r>
        <w:t xml:space="preserve"> </w:t>
      </w:r>
      <w:r>
        <w:t xml:space="preserve">§11.4.93.</w:t>
      </w:r>
    </w:p>
    <w:bookmarkEnd w:id="26"/>
    <w:bookmarkStart w:id="27"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only when</w:t>
      </w:r>
      <w:r>
        <w:t xml:space="preserve"> </w:t>
      </w:r>
      <w:r>
        <w:t xml:space="preserve">genuinely externally blocked OR operator STOP OR §12 host-safety.</w:t>
      </w:r>
      <w:r>
        <w:t xml:space="preserve"> </w:t>
      </w:r>
      <w:r>
        <w:t xml:space="preserve">Before any wake/sleep, survey parallel-work feasibility per §11.4.42 /</w:t>
      </w:r>
      <w:r>
        <w:t xml:space="preserve"> </w:t>
      </w:r>
      <w:r>
        <w:t xml:space="preserve">§11.4.72 / §11.4.87 and dispatch non-contending items via §11.4.20 /</w:t>
      </w:r>
      <w:r>
        <w:t xml:space="preserve"> </w:t>
      </w:r>
      <w:r>
        <w:t xml:space="preserve">§11.4.70.</w:t>
      </w:r>
      <w:r>
        <w:t xml:space="preserve"> </w:t>
      </w:r>
      <w:r>
        <w:rPr>
          <w:b/>
          <w:bCs/>
        </w:rPr>
        <w:t xml:space="preserve">Canonical authority:</w:t>
      </w:r>
      <w:r>
        <w:t xml:space="preserve"> </w:t>
      </w:r>
      <w:r>
        <w:rPr>
          <w:rStyle w:val="VerbatimChar"/>
        </w:rPr>
        <w:t xml:space="preserve">constitution/Constitution.md</w:t>
      </w:r>
      <w:r>
        <w:t xml:space="preserve"> </w:t>
      </w:r>
      <w:r>
        <w:t xml:space="preserve">§11.4.94.</w:t>
      </w:r>
    </w:p>
    <w:bookmarkEnd w:id="27"/>
    <w:bookmarkStart w:id="28"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rPr>
          <w:rStyle w:val="VerbatimChar"/>
        </w:rPr>
        <w:t xml:space="preserve">docs/workable_items.db</w:t>
      </w:r>
      <w:r>
        <w:t xml:space="preserve"> </w:t>
      </w:r>
      <w:r>
        <w:t xml:space="preserve">is authoritative source data, TRACKED in git,</w:t>
      </w:r>
      <w:r>
        <w:t xml:space="preserve"> </w:t>
      </w:r>
      <w:r>
        <w:t xml:space="preserve">never gitignored. Every mutation stages + commits + pushes alongside</w:t>
      </w:r>
      <w:r>
        <w:t xml:space="preserve"> </w:t>
      </w:r>
      <w:r>
        <w:t xml:space="preserve">the MD regen. WAL-checkpoint before commit-stage.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§11.4.95.</w:t>
      </w:r>
    </w:p>
    <w:bookmarkEnd w:id="28"/>
    <w:bookmarkStart w:id="29"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Operational</w:t>
      </w:r>
      <w:r>
        <w:t xml:space="preserve"> </w:t>
      </w:r>
      <w:r>
        <w:t xml:space="preserve">catalogue classifies parallel work as SAFE (docs/scripts/tests/submodule</w:t>
      </w:r>
      <w:r>
        <w:t xml:space="preserve"> </w:t>
      </w:r>
      <w:r>
        <w:t xml:space="preserve">pushes, research, DB ops, subagent dispatch) vs UNSAFE (destructive</w:t>
      </w:r>
      <w:r>
        <w:t xml:space="preserve"> </w:t>
      </w:r>
      <w:r>
        <w:t xml:space="preserve">git ops, mass deletes, host-safety breaches). Conductor consults</w:t>
      </w:r>
      <w:r>
        <w:t xml:space="preserve"> </w:t>
      </w:r>
      <w:r>
        <w:t xml:space="preserve">catalogue at every pause point.</w:t>
      </w:r>
      <w:r>
        <w:t xml:space="preserve"> </w:t>
      </w:r>
      <w:r>
        <w:rPr>
          <w:b/>
          <w:bCs/>
        </w:rPr>
        <w:t xml:space="preserve">Canonical authority:</w:t>
      </w:r>
      <w:r>
        <w:t xml:space="preserve"> </w:t>
      </w:r>
      <w:r>
        <w:rPr>
          <w:rStyle w:val="VerbatimChar"/>
        </w:rPr>
        <w:t xml:space="preserve">constitution/Constitution.md</w:t>
      </w:r>
      <w:r>
        <w:t xml:space="preserve"> </w:t>
      </w:r>
      <w:r>
        <w:t xml:space="preserve">§11.4.96.</w:t>
      </w:r>
    </w:p>
    <w:bookmarkEnd w:id="29"/>
    <w:bookmarkStart w:id="30"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Idle minute</w:t>
      </w:r>
      <w:r>
        <w:t xml:space="preserve"> </w:t>
      </w:r>
      <w:r>
        <w:t xml:space="preserve">during which work could progress and is not genuinely blocked =</w:t>
      </w:r>
      <w:r>
        <w:t xml:space="preserve"> </w:t>
      </w:r>
      <w:r>
        <w:t xml:space="preserve">§11.4.97 violation. Emit 1-line operator-facing update on every commit</w:t>
      </w:r>
      <w:r>
        <w:t xml:space="preserve"> </w:t>
      </w:r>
      <w:r>
        <w:t xml:space="preserve">landed / subagent return / anchor landing / evidence acquisition /</w:t>
      </w:r>
      <w:r>
        <w:t xml:space="preserve"> </w:t>
      </w:r>
      <w:r>
        <w:t xml:space="preserve">milestone closure.</w:t>
      </w:r>
      <w:r>
        <w:t xml:space="preserve"> </w:t>
      </w:r>
      <w:r>
        <w:rPr>
          <w:b/>
          <w:bCs/>
        </w:rPr>
        <w:t xml:space="preserve">Canonical authority:</w:t>
      </w:r>
      <w:r>
        <w:t xml:space="preserve"> </w:t>
      </w:r>
      <w:r>
        <w:rPr>
          <w:rStyle w:val="VerbatimChar"/>
        </w:rPr>
        <w:t xml:space="preserve">constitution/Constitution.md</w:t>
      </w:r>
      <w:r>
        <w:t xml:space="preserve"> </w:t>
      </w:r>
      <w:r>
        <w:t xml:space="preserve">§11.4.97.</w:t>
      </w:r>
    </w:p>
    <w:bookmarkEnd w:id="30"/>
    <w:bookmarkStart w:id="31"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Every test</w:t>
      </w:r>
      <w:r>
        <w:t xml:space="preserve"> </w:t>
      </w:r>
      <w:r>
        <w:t xml:space="preserve">MUST be fully self-driving end-to-end and emit PASS/FAIL/SKIP-with-reason</w:t>
      </w:r>
      <w:r>
        <w:t xml:space="preserve"> </w:t>
      </w:r>
      <w:r>
        <w:t xml:space="preserve">without further human action after startup. Only exception: one-time</w:t>
      </w:r>
      <w:r>
        <w:t xml:space="preserve"> </w:t>
      </w:r>
      <w:r>
        <w:t xml:space="preserve">credential bootstrap OUTSIDE test execution. Re-runnability proof =</w:t>
      </w:r>
      <w:r>
        <w:t xml:space="preserve"> </w:t>
      </w:r>
      <w:r>
        <w:t xml:space="preserve">PASS at</w:t>
      </w:r>
      <w:r>
        <w:t xml:space="preserve"> </w:t>
      </w:r>
      <w:r>
        <w:rPr>
          <w:rStyle w:val="VerbatimChar"/>
        </w:rPr>
        <w:t xml:space="preserve">-count=3</w:t>
      </w:r>
      <w:r>
        <w:t xml:space="preserve"> </w:t>
      </w:r>
      <w:r>
        <w:t xml:space="preserve">consecutive automated invocations.</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§11.4.98.</w:t>
      </w:r>
    </w:p>
    <w:bookmarkEnd w:id="31"/>
    <w:bookmarkStart w:id="32"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Before committing operator-facing instruction docs</w:t>
      </w:r>
      <w:r>
        <w:t xml:space="preserve"> </w:t>
      </w:r>
      <w:r>
        <w:t xml:space="preserve">(guides, manuals, setup walkthroughs, troubleshooting cookbooks, API</w:t>
      </w:r>
      <w:r>
        <w:t xml:space="preserve"> </w:t>
      </w:r>
      <w:r>
        <w:t xml:space="preserve">how-tos), fetch LATEST official online docs via WebFetch / MCP / direct</w:t>
      </w:r>
      <w:r>
        <w:t xml:space="preserve"> </w:t>
      </w:r>
      <w:r>
        <w:t xml:space="preserve">browsing (NOT training data). Cross-reference every instruction.</w:t>
      </w:r>
      <w:r>
        <w:t xml:space="preserve"> </w:t>
      </w:r>
      <w:r>
        <w:rPr>
          <w:rStyle w:val="VerbatimChar"/>
        </w:rPr>
        <w:t xml:space="preserve">## Sources verified &lt;date&gt;</w:t>
      </w:r>
      <w:r>
        <w:t xml:space="preserve"> </w:t>
      </w:r>
      <w:r>
        <w:t xml:space="preserve">section in doc +</w:t>
      </w:r>
      <w:r>
        <w:t xml:space="preserve"> </w:t>
      </w:r>
      <w:r>
        <w:rPr>
          <w:rStyle w:val="VerbatimChar"/>
        </w:rPr>
        <w:t xml:space="preserve">Sources verified &lt;date&gt;: &lt;urls&gt;</w:t>
      </w:r>
      <w:r>
        <w:t xml:space="preserve"> </w:t>
      </w:r>
      <w:r>
        <w:t xml:space="preserve">footer in commit message MANDATORY. Re-verification cadence:</w:t>
      </w:r>
      <w:r>
        <w:t xml:space="preserve"> </w:t>
      </w:r>
      <w:r>
        <w:t xml:space="preserve">≤6 mo general; ≤90 d for risk-classified (messengers, cloud, payments,</w:t>
      </w:r>
      <w:r>
        <w:t xml:space="preserve"> </w:t>
      </w:r>
      <w:r>
        <w:t xml:space="preserve">LLM, code-host, package mgrs). Stale → §11.4.90 Obsolete after 30-day</w:t>
      </w:r>
      <w:r>
        <w:t xml:space="preserve"> </w:t>
      </w:r>
      <w:r>
        <w:t xml:space="preserve">grace.</w:t>
      </w:r>
      <w:r>
        <w:t xml:space="preserve"> </w:t>
      </w:r>
      <w:r>
        <w:rPr>
          <w:b/>
          <w:bCs/>
        </w:rPr>
        <w:t xml:space="preserve">Canonical authority:</w:t>
      </w:r>
      <w:r>
        <w:t xml:space="preserve"> </w:t>
      </w:r>
      <w:r>
        <w:rPr>
          <w:rStyle w:val="VerbatimChar"/>
        </w:rPr>
        <w:t xml:space="preserve">constitution/Constitution.md</w:t>
      </w:r>
      <w:r>
        <w:t xml:space="preserve"> </w:t>
      </w:r>
      <w:r>
        <w:t xml:space="preserve">§11.4.99.</w:t>
      </w:r>
    </w:p>
    <w:bookmarkEnd w:id="32"/>
    <w:bookmarkStart w:id="33"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 Non-compliance is a release blocker.</w:t>
      </w:r>
    </w:p>
    <w:bookmarkEnd w:id="33"/>
    <w:bookmarkStart w:id="3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 Non-compliance is a release blocker.</w:t>
      </w:r>
    </w:p>
    <w:bookmarkEnd w:id="34"/>
    <w:bookmarkStart w:id="35"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 Non-compliance is a release blocker.</w:t>
      </w:r>
    </w:p>
    <w:bookmarkEnd w:id="35"/>
    <w:bookmarkStart w:id="36"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36"/>
    <w:bookmarkStart w:id="37"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37"/>
    <w:bookmarkStart w:id="38"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38"/>
    <w:bookmarkStart w:id="39"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39"/>
    <w:bookmarkStart w:id="40"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40"/>
    <w:bookmarkStart w:id="4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41"/>
    <w:bookmarkStart w:id="42"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42"/>
    <w:bookmarkStart w:id="43"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43"/>
    <w:bookmarkStart w:id="44"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44"/>
    <w:bookmarkStart w:id="45"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45"/>
    <w:bookmarkStart w:id="46"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46"/>
    <w:bookmarkStart w:id="47"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47"/>
    <w:bookmarkStart w:id="48"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48"/>
    <w:bookmarkStart w:id="49"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49"/>
    <w:bookmarkStart w:id="50"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50"/>
    <w:bookmarkStart w:id="51"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51"/>
    <w:bookmarkStart w:id="52"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52"/>
    <w:bookmarkStart w:id="53"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53"/>
    <w:bookmarkStart w:id="5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54"/>
    <w:bookmarkStart w:id="5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55"/>
    <w:bookmarkStart w:id="5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56"/>
    <w:bookmarkStart w:id="5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57"/>
    <w:bookmarkStart w:id="5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58"/>
    <w:bookmarkStart w:id="5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59"/>
    <w:bookmarkStart w:id="6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60"/>
    <w:bookmarkStart w:id="6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61"/>
    <w:bookmarkStart w:id="6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62"/>
    <w:bookmarkStart w:id="6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63"/>
    <w:bookmarkStart w:id="6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64"/>
    <w:bookmarkStart w:id="6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65"/>
    <w:bookmarkStart w:id="6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66"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66"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cp:keywords/>
  <dcterms:created xsi:type="dcterms:W3CDTF">2026-06-16T20:48:45Z</dcterms:created>
  <dcterms:modified xsi:type="dcterms:W3CDTF">2026-06-16T20:48:45Z</dcterms:modified>
</cp:coreProperties>
</file>

<file path=docProps/custom.xml><?xml version="1.0" encoding="utf-8"?>
<Properties xmlns="http://schemas.openxmlformats.org/officeDocument/2006/custom-properties" xmlns:vt="http://schemas.openxmlformats.org/officeDocument/2006/docPropsVTypes"/>
</file>