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Constitution</w:t>
      </w:r>
    </w:p>
    <w:bookmarkStart w:id="37" w:name="vasic-digital-tmux--project-constitution"/>
    <w:p>
      <w:pPr>
        <w:pStyle w:val="Heading1"/>
      </w:pPr>
      <w:r>
        <w:t xml:space="preserve">vasic-digital tmux — Project Constitution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constitution/Constitution.md</w:t>
            </w:r>
            <w:r>
              <w:t xml:space="preserve"> </w:t>
            </w:r>
            <w:r>
              <w:t xml:space="preserve">— Helix Universal 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7f738df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R3 (2026-05-21): full refactor to the HelixConstitution extends-template form. Universal clauses now inherited from the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submodule; this file holds only Project Articles §101–§109. No universal clause weakened — inheritance is verified by</w:t>
            </w:r>
            <w:r>
              <w:t xml:space="preserve"> </w:t>
            </w:r>
            <w:r>
              <w:rPr>
                <w:rStyle w:val="VerbatimChar"/>
              </w:rPr>
              <w:t xml:space="preserve">scripts/tests/test_constitution_inheritance.sh</w:t>
            </w:r>
            <w:r>
              <w:t xml:space="preserve"> </w:t>
            </w:r>
            <w:r>
              <w:t xml:space="preserve">+ its paired mutation.</w:t>
            </w:r>
          </w:p>
        </w:tc>
      </w:tr>
    </w:tbl>
    <w:p>
      <w:pPr>
        <w:pStyle w:val="BodyText"/>
      </w:pPr>
      <w:r>
        <w:t xml:space="preserve">This constitution</w:t>
      </w:r>
      <w:r>
        <w:t xml:space="preserve"> </w:t>
      </w:r>
      <w:r>
        <w:rPr>
          <w:b/>
          <w:bCs/>
        </w:rPr>
        <w:t xml:space="preserve">extends</w:t>
      </w:r>
      <w:r>
        <w:t xml:space="preserve"> </w:t>
      </w:r>
      <w:r>
        <w:t xml:space="preserve">the Helix Universal Constitution at</w:t>
      </w:r>
      <w:r>
        <w:t xml:space="preserve"> </w:t>
      </w:r>
      <w:hyperlink r:id="rId9">
        <w:r>
          <w:rPr>
            <w:rStyle w:val="VerbatimChar"/>
          </w:rPr>
          <w:t xml:space="preserve">constitution/Constitution.md</w:t>
        </w:r>
      </w:hyperlink>
      <w:r>
        <w:t xml:space="preserve">. Every</w:t>
      </w:r>
      <w:r>
        <w:t xml:space="preserve"> </w:t>
      </w:r>
      <w:r>
        <w:t xml:space="preserve">clause there — the anti-bluff covenant (§11.4), absolute data safety</w:t>
      </w:r>
      <w:r>
        <w:t xml:space="preserve"> </w:t>
      </w:r>
      <w:r>
        <w:t xml:space="preserve">(§9), the 60 % host-memory budget, the continuation-document invariant</w:t>
      </w:r>
      <w:r>
        <w:t xml:space="preserve"> </w:t>
      </w:r>
      <w:r>
        <w:t xml:space="preserve">(§12.10), the no-guessing mandate (§11.4.6), commit/push discipline,</w:t>
      </w:r>
      <w:r>
        <w:t xml:space="preserve"> </w:t>
      </w:r>
      <w:r>
        <w:t xml:space="preserve">credentials handling — applies to this repository</w:t>
      </w:r>
      <w:r>
        <w:t xml:space="preserve"> </w:t>
      </w:r>
      <w:r>
        <w:rPr>
          <w:b/>
          <w:bCs/>
        </w:rPr>
        <w:t xml:space="preserve">unconditionally</w:t>
      </w:r>
      <w:r>
        <w:t xml:space="preserve">.</w:t>
      </w:r>
    </w:p>
    <w:p>
      <w:pPr>
        <w:pStyle w:val="BodyText"/>
      </w:pPr>
      <w:r>
        <w:t xml:space="preserve">The Project Articles below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those universal clauses with</w:t>
      </w:r>
      <w:r>
        <w:t xml:space="preserve"> </w:t>
      </w:r>
      <w:r>
        <w:t xml:space="preserve">tmux-specific rules. They never weaken or override a universal clause.</w:t>
      </w:r>
      <w:r>
        <w:t xml:space="preserve"> </w:t>
      </w:r>
      <w:r>
        <w:rPr>
          <w:b/>
          <w:bCs/>
        </w:rPr>
        <w:t xml:space="preserve">When this file disagrees with the constitution submodule, the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wins.</w:t>
      </w:r>
    </w:p>
    <w:p>
      <w:pPr>
        <w:pStyle w:val="BlockText"/>
      </w:pPr>
      <w:r>
        <w:rPr>
          <w:b/>
          <w:bCs/>
        </w:rPr>
        <w:t xml:space="preserve">Inheritance is verified, not assumed.</w:t>
      </w:r>
      <w:r>
        <w:t xml:space="preserve"> </w:t>
      </w:r>
      <w:r>
        <w:rPr>
          <w:rStyle w:val="VerbatimChar"/>
        </w:rPr>
        <w:t xml:space="preserve">scripts/tests/test_constitution_inheritance.sh</w:t>
      </w:r>
      <w:r>
        <w:t xml:space="preserve"> </w:t>
      </w:r>
      <w:r>
        <w:t xml:space="preserve">asserts the submodule</w:t>
      </w:r>
      <w:r>
        <w:t xml:space="preserve"> </w:t>
      </w:r>
      <w:r>
        <w:t xml:space="preserve">is present at the pinned revision and that the §11.4</w:t>
      </w:r>
      <w:r>
        <w:t xml:space="preserve"> </w:t>
      </w:r>
      <w:r>
        <w:rPr>
          <w:i/>
          <w:iCs/>
        </w:rPr>
        <w:t xml:space="preserve">End-user Quality</w:t>
      </w:r>
      <w:r>
        <w:rPr>
          <w:i/>
          <w:iCs/>
        </w:rP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anchor physically exists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.</w:t>
      </w:r>
      <w:r>
        <w:t xml:space="preserve"> </w:t>
      </w:r>
      <w:r>
        <w:t xml:space="preserve">Its paired mutation —</w:t>
      </w:r>
      <w:r>
        <w:t xml:space="preserve"> </w:t>
      </w:r>
      <w:r>
        <w:rPr>
          <w:rStyle w:val="VerbatimChar"/>
        </w:rPr>
        <w:t xml:space="preserve">constitution/meta_test_inheritance.sh</w:t>
      </w:r>
      <w:r>
        <w:t xml:space="preserve">, wired as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deletes that anchor</w:t>
      </w:r>
      <w:r>
        <w:t xml:space="preserve"> </w:t>
      </w:r>
      <w:r>
        <w:t xml:space="preserve">and proves the gate then FAILs. The gate cannot itself be a bluff gate.</w:t>
      </w:r>
    </w:p>
    <w:p>
      <w:r>
        <w:pict>
          <v:rect style="width:0;height:1.5pt" o:hralign="center" o:hrstd="t" o:hr="t"/>
        </w:pict>
      </w:r>
    </w:p>
    <w:bookmarkStart w:id="19" w:name="project-articles"/>
    <w:p>
      <w:pPr>
        <w:pStyle w:val="Heading2"/>
      </w:pPr>
      <w:r>
        <w:t xml:space="preserve">Project Articles</w:t>
      </w:r>
    </w:p>
    <w:bookmarkStart w:id="10" w:name="Xe7b654d0f02072c522bc6a6f4ad772acf5b1e65"/>
    <w:p>
      <w:pPr>
        <w:pStyle w:val="Heading3"/>
      </w:pPr>
      <w:r>
        <w:t xml:space="preserve">§101 — Anti-bluff covenant binding (origin anchor)</w:t>
      </w:r>
    </w:p>
    <w:p>
      <w:pPr>
        <w:pStyle w:val="FirstParagraph"/>
      </w:pPr>
      <w:r>
        <w:t xml:space="preserve">This repository is one of the historical origins of the Helix anti-bluff</w:t>
      </w:r>
      <w:r>
        <w:t xml:space="preserve"> </w:t>
      </w:r>
      <w:r>
        <w:t xml:space="preserve">covenant. The verbatim user mandate that the universal §11.4 codifies is</w:t>
      </w:r>
      <w:r>
        <w:t xml:space="preserve"> </w:t>
      </w:r>
      <w:r>
        <w:t xml:space="preserve">preserved here for forensic continuity — it MUST remain in this project's</w:t>
      </w:r>
      <w:r>
        <w:t xml:space="preserve"> </w:t>
      </w:r>
      <w:r>
        <w:t xml:space="preserve">Constitution regardless of inheritance: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 does</w:t>
      </w:r>
      <w:r>
        <w:t xml:space="preserve"> </w:t>
      </w:r>
      <w:r>
        <w:t xml:space="preserve">not work and can't be used! This MUST NOT be the case and execution</w:t>
      </w:r>
      <w:r>
        <w:t xml:space="preserve"> </w:t>
      </w:r>
      <w:r>
        <w:t xml:space="preserve">of tests and Challenges MUST guarantee the quality, the completion</w:t>
      </w:r>
      <w:r>
        <w:t xml:space="preserve"> </w:t>
      </w:r>
      <w:r>
        <w:t xml:space="preserve">and full usability by end users of the product!"</w:t>
      </w:r>
    </w:p>
    <w:p>
      <w:pPr>
        <w:pStyle w:val="FirstParagraph"/>
      </w:pPr>
      <w:r>
        <w:rPr>
          <w:b/>
          <w:bCs/>
        </w:rPr>
        <w:t xml:space="preserve">The bar for shipping is "users can use the feature," not "tests</w:t>
      </w:r>
      <w:r>
        <w:rPr>
          <w:b/>
          <w:bCs/>
        </w:rPr>
        <w:t xml:space="preserve"> </w:t>
      </w:r>
      <w:r>
        <w:rPr>
          <w:b/>
          <w:bCs/>
        </w:rPr>
        <w:t xml:space="preserve">pass."</w:t>
      </w:r>
      <w:r>
        <w:t xml:space="preserve"> </w:t>
      </w:r>
      <w:r>
        <w:t xml:space="preserve">Every PASS in this codebase — unit test OR HelixQA Challenge —</w:t>
      </w:r>
      <w:r>
        <w:t xml:space="preserve"> </w:t>
      </w:r>
      <w:r>
        <w:t xml:space="preserve">MUST carry positive runtime evidence captured</w:t>
      </w:r>
      <w:r>
        <w:t xml:space="preserve"> </w:t>
      </w:r>
      <w:r>
        <w:rPr>
          <w:i/>
          <w:iCs/>
        </w:rPr>
        <w:t xml:space="preserve">during execution</w:t>
      </w:r>
      <w:r>
        <w:t xml:space="preserve"> </w:t>
      </w:r>
      <w:r>
        <w:t xml:space="preserve">that</w:t>
      </w:r>
      <w:r>
        <w:t xml:space="preserve"> </w:t>
      </w:r>
      <w:r>
        <w:t xml:space="preserve">the feature works for the end user. Metadata-only PASS, configuration-</w:t>
      </w:r>
      <w:r>
        <w:t xml:space="preserve"> </w:t>
      </w:r>
      <w:r>
        <w:t xml:space="preserve">only PASS, "absence-of-error" PASS, and grep-only PASS are critical</w:t>
      </w:r>
      <w:r>
        <w:t xml:space="preserve"> </w:t>
      </w:r>
      <w:r>
        <w:t xml:space="preserve">defects regardless of how green the summary line is.</w:t>
      </w:r>
      <w:r>
        <w:t xml:space="preserve"> </w:t>
      </w:r>
      <w:r>
        <w:rPr>
          <w:b/>
          <w:bCs/>
        </w:rPr>
        <w:t xml:space="preserve">FAIL-bluffs</w:t>
      </w:r>
      <w:r>
        <w:t xml:space="preserve"> </w:t>
      </w:r>
      <w:r>
        <w:t xml:space="preserve">(a test that exits FAIL for a script-internal reason, not a product</w:t>
      </w:r>
      <w:r>
        <w:t xml:space="preserve"> </w:t>
      </w:r>
      <w:r>
        <w:t xml:space="preserve">defect) are equally forbidden and MUST be fixed at the source layer.</w:t>
      </w:r>
    </w:p>
    <w:p>
      <w:pPr>
        <w:pStyle w:val="BodyText"/>
      </w:pPr>
      <w:r>
        <w:t xml:space="preserve">The full covenant — recorded-evidence requirement, FAIL-bluff</w:t>
      </w:r>
      <w:r>
        <w:t xml:space="preserve"> </w:t>
      </w:r>
      <w:r>
        <w:t xml:space="preserve">prohibition, no-guessing mandate, test-interrupt-on-discovery — is</w:t>
      </w:r>
      <w:r>
        <w:t xml:space="preserve"> </w:t>
      </w:r>
      <w:r>
        <w:t xml:space="preserve">universal §11.4.1 through §11.4.6. This article binds this project to</w:t>
      </w:r>
      <w:r>
        <w:t xml:space="preserve"> </w:t>
      </w:r>
      <w:r>
        <w:t xml:space="preserve">it and adds the project-specific articles below.</w:t>
      </w:r>
    </w:p>
    <w:bookmarkEnd w:id="10"/>
    <w:bookmarkStart w:id="11" w:name="Xf7e37570ea40fbfc0313c8cfefb7cdec7665141"/>
    <w:p>
      <w:pPr>
        <w:pStyle w:val="Heading3"/>
      </w:pPr>
      <w:r>
        <w:t xml:space="preserve">§102 — Operator-path test coverage (project rule, User mandate 2026-05-13)</w:t>
      </w:r>
    </w:p>
    <w:p>
      <w:pPr>
        <w:pStyle w:val="FirstParagraph"/>
      </w:pPr>
      <w:r>
        <w:rPr>
          <w:b/>
          <w:bCs/>
        </w:rPr>
        <w:t xml:space="preserve">Forensic anchor: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A12 + A13. Tests 11 and 14 reported</w:t>
      </w:r>
      <w:r>
        <w:t xml:space="preserve"> </w:t>
      </w:r>
      <w:r>
        <w:t xml:space="preserve">GREEN while their operator-facing equivalents (</w:t>
      </w:r>
      <w:r>
        <w:rPr>
          <w:rStyle w:val="VerbatimChar"/>
        </w:rPr>
        <w:t xml:space="preserve">tmx new -s X</w:t>
      </w:r>
      <w:r>
        <w:t xml:space="preserve">) were</w:t>
      </w:r>
      <w:r>
        <w:t xml:space="preserve"> </w:t>
      </w:r>
      <w:r>
        <w:t xml:space="preserve">broken — test 11 only exercised the explicit-socket path; test 14</w:t>
      </w:r>
      <w:r>
        <w:t xml:space="preserve"> </w:t>
      </w:r>
      <w:r>
        <w:t xml:space="preserve">hand-spawned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units while the real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workflow placed all sessions in one shared cgroup.</w:t>
      </w:r>
    </w:p>
    <w:p>
      <w:pPr>
        <w:pStyle w:val="BodyText"/>
      </w:pPr>
      <w:r>
        <w:rPr>
          <w:b/>
          <w:bCs/>
        </w:rPr>
        <w:t xml:space="preserve">The mandate.</w:t>
      </w:r>
      <w:r>
        <w:t xml:space="preserve"> </w:t>
      </w:r>
      <w:r>
        <w:t xml:space="preserve">Every gate test for a feature MUST exercise the SAME</w:t>
      </w:r>
      <w:r>
        <w:t xml:space="preserve"> </w:t>
      </w:r>
      <w:r>
        <w:t xml:space="preserve">entry point an end-user would invoke in production. Tests that bypass</w:t>
      </w:r>
      <w:r>
        <w:t xml:space="preserve"> </w:t>
      </w:r>
      <w:r>
        <w:t xml:space="preserve">the operator's wrapper / helper / install path and reproduce its</w:t>
      </w:r>
      <w:r>
        <w:t xml:space="preserve"> </w:t>
      </w:r>
      <w:r>
        <w:t xml:space="preserve">effects with hand-crafted equivalents DO NOT satisfy the universal</w:t>
      </w:r>
      <w:r>
        <w:t xml:space="preserve"> </w:t>
      </w:r>
      <w:r>
        <w:t xml:space="preserve">§11.4.2 captured-evidence requirement. When the operator's path and</w:t>
      </w:r>
      <w:r>
        <w:t xml:space="preserve"> </w:t>
      </w:r>
      <w:r>
        <w:t xml:space="preserve">the test's path diverge:</w:t>
      </w:r>
    </w:p>
    <w:p>
      <w:pPr>
        <w:pStyle w:val="Compact"/>
        <w:numPr>
          <w:ilvl w:val="0"/>
          <w:numId w:val="1001"/>
        </w:numPr>
      </w:pPr>
      <w:r>
        <w:t xml:space="preserve">The test header MUST EXPLICITLY name the divergence</w:t>
      </w:r>
      <w:r>
        <w:t xml:space="preserve"> </w:t>
      </w:r>
      <w:r>
        <w:t xml:space="preserve">(e.g. "test invokes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directly; operator path is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").</w:t>
      </w:r>
    </w:p>
    <w:p>
      <w:pPr>
        <w:pStyle w:val="Compact"/>
        <w:numPr>
          <w:ilvl w:val="0"/>
          <w:numId w:val="1001"/>
        </w:numPr>
      </w:pPr>
      <w:r>
        <w:t xml:space="preserve">A SEPARATE end-to-end test MUST close that divergence with captured</w:t>
      </w:r>
      <w:r>
        <w:t xml:space="preserve"> </w:t>
      </w:r>
      <w:r>
        <w:t xml:space="preserve">evidence on the operator-facing entry point.</w:t>
      </w:r>
    </w:p>
    <w:p>
      <w:pPr>
        <w:pStyle w:val="FirstParagraph"/>
      </w:pPr>
      <w:r>
        <w:rPr>
          <w:b/>
          <w:bCs/>
        </w:rPr>
        <w:t xml:space="preserve">Operative test:</w:t>
      </w:r>
      <w:r>
        <w:t xml:space="preserve"> </w:t>
      </w:r>
      <w:r>
        <w:t xml:space="preserve">for every test under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, ask "would</w:t>
      </w:r>
      <w:r>
        <w:t xml:space="preserve"> </w:t>
      </w:r>
      <w:r>
        <w:t xml:space="preserve">an operator hit this code path in their normal workflow?" If no, that</w:t>
      </w:r>
      <w:r>
        <w:t xml:space="preserve"> </w:t>
      </w:r>
      <w:r>
        <w:t xml:space="preserve">test is supplementary; the operator-path test must exist alongside it.</w:t>
      </w:r>
    </w:p>
    <w:p>
      <w:pPr>
        <w:pStyle w:val="BodyText"/>
      </w:pPr>
      <w:r>
        <w:rPr>
          <w:b/>
          <w:bCs/>
        </w:rPr>
        <w:t xml:space="preserve">No grep-on-script-content alone.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on a script for a literal</w:t>
      </w:r>
      <w:r>
        <w:t xml:space="preserve"> </w:t>
      </w:r>
      <w:r>
        <w:t xml:space="preserve">string is allowed AS A STATIC CHECK</w:t>
      </w:r>
      <w:r>
        <w:t xml:space="preserve"> </w:t>
      </w:r>
      <w:r>
        <w:rPr>
          <w:i/>
          <w:iCs/>
        </w:rPr>
        <w:t xml:space="preserve">in addition to</w:t>
      </w:r>
      <w:r>
        <w:t xml:space="preserve"> </w:t>
      </w:r>
      <w:r>
        <w:t xml:space="preserve">a runtime readback</w:t>
      </w:r>
      <w:r>
        <w:t xml:space="preserve"> </w:t>
      </w:r>
      <w:r>
        <w:t xml:space="preserve">— never as the only assertion.</w:t>
      </w:r>
    </w:p>
    <w:p>
      <w:pPr>
        <w:pStyle w:val="BodyText"/>
      </w:pPr>
      <w:r>
        <w:rPr>
          <w:b/>
          <w:bCs/>
        </w:rPr>
        <w:t xml:space="preserve">Layer-4 mutations MUST target the operator-path code.</w:t>
      </w:r>
      <w:r>
        <w:t xml:space="preserve"> </w:t>
      </w:r>
      <w:r>
        <w:t xml:space="preserve">Mutations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(the code that runs in production), not synthetic-test code.</w:t>
      </w:r>
    </w:p>
    <w:p>
      <w:pPr>
        <w:pStyle w:val="BodyText"/>
      </w:pPr>
      <w:r>
        <w:t xml:space="preserve">Non-compliance is a release blocker.</w:t>
      </w:r>
    </w:p>
    <w:bookmarkEnd w:id="11"/>
    <w:bookmarkStart w:id="12" w:name="X2890358d09803b5600f8bafed52c0039cede8d2"/>
    <w:p>
      <w:pPr>
        <w:pStyle w:val="Heading3"/>
      </w:pPr>
      <w:r>
        <w:t xml:space="preserve">§103 — Four-layer test coverage for tmux defects (User mandate 2026-05-06)</w:t>
      </w:r>
    </w:p>
    <w:p>
      <w:pPr>
        <w:pStyle w:val="FirstParagraph"/>
      </w:pPr>
      <w:r>
        <w:t xml:space="preserve">Every defect found, fixed, or introduced in this repo MUST land all</w:t>
      </w:r>
      <w:r>
        <w:t xml:space="preserve"> </w:t>
      </w:r>
      <w:r>
        <w:t xml:space="preserve">four layers before the cycle closes: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1 — pre-build / static-source gate.</w:t>
      </w:r>
      <w:r>
        <w:t xml:space="preserve"> </w:t>
      </w:r>
      <w:r>
        <w:t xml:space="preserve">A check in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(or the relevant build script) that catches the</w:t>
      </w:r>
      <w:r>
        <w:t xml:space="preserve"> </w:t>
      </w:r>
      <w:r>
        <w:t xml:space="preserve">defect class at source.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2 — runtime test.</w:t>
      </w:r>
      <w:r>
        <w:t xml:space="preserve"> </w:t>
      </w:r>
      <w:r>
        <w:t xml:space="preserve">A numbered test in</w:t>
      </w:r>
      <w:r>
        <w:t xml:space="preserve"> </w:t>
      </w:r>
      <w:r>
        <w:rPr>
          <w:rStyle w:val="VerbatimChar"/>
        </w:rPr>
        <w:t xml:space="preserve">scripts/tests/NN_*.sh</w:t>
      </w:r>
      <w:r>
        <w:t xml:space="preserve"> </w:t>
      </w:r>
      <w:r>
        <w:t xml:space="preserve">producing positive runtime artifacts, anti-bluff per §101,</w:t>
      </w:r>
      <w:r>
        <w:t xml:space="preserve"> </w:t>
      </w:r>
      <w:r>
        <w:t xml:space="preserve">operator-path per §102, topology-dispatched per §104.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3 — HelixQA Challenge.</w:t>
      </w:r>
      <w:r>
        <w:t xml:space="preserve"> </w:t>
      </w:r>
      <w:r>
        <w:t xml:space="preserve">An entry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carrying captured-evidence semantics.</w:t>
      </w:r>
      <w:r>
        <w:t xml:space="preserve"> </w:t>
      </w:r>
      <w:r>
        <w:t xml:space="preserve">A test without a paired Challenge is a §101 PASS-bluff.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4 — paired mutation.</w:t>
      </w:r>
      <w:r>
        <w:t xml:space="preserve"> </w:t>
      </w:r>
      <w:r>
        <w:t xml:space="preserve">A mutation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proving the</w:t>
      </w:r>
      <w:r>
        <w:t xml:space="preserve"> </w:t>
      </w:r>
      <w:r>
        <w:t xml:space="preserve">Layer-2 test catches its own negation (mutation CAUGHT) and that the</w:t>
      </w:r>
      <w:r>
        <w:t xml:space="preserve"> </w:t>
      </w:r>
      <w:r>
        <w:t xml:space="preserve">feature is restored afterwards (RESTORED).</w:t>
      </w:r>
    </w:p>
    <w:p>
      <w:pPr>
        <w:pStyle w:val="FirstParagraph"/>
      </w:pPr>
      <w:r>
        <w:rPr>
          <w:b/>
          <w:bCs/>
        </w:rPr>
        <w:t xml:space="preserve">Test-interrupt-on-discovery.</w:t>
      </w:r>
      <w:r>
        <w:t xml:space="preserve"> </w:t>
      </w:r>
      <w:r>
        <w:t xml:space="preserve">The moment any defect is rediscovered,</w:t>
      </w:r>
      <w:r>
        <w:t xml:space="preserve"> </w:t>
      </w:r>
      <w:r>
        <w:t xml:space="preserve">re-produced, or newly identified during a test cycle, the cycle STOPS.</w:t>
      </w:r>
      <w:r>
        <w:t xml:space="preserve"> </w:t>
      </w:r>
      <w:r>
        <w:t xml:space="preserve">Fix at root cause → land all four layers → full rebuild → repeat the</w:t>
      </w:r>
      <w:r>
        <w:t xml:space="preserve"> </w:t>
      </w:r>
      <w:r>
        <w:t xml:space="preserve">full cycle from the beginning.</w:t>
      </w:r>
    </w:p>
    <w:bookmarkEnd w:id="12"/>
    <w:bookmarkStart w:id="13" w:name="X529ecd1e72830db53def0d9e0ecd83a01872793"/>
    <w:p>
      <w:pPr>
        <w:pStyle w:val="Heading3"/>
      </w:pPr>
      <w:r>
        <w:t xml:space="preserve">§104 — Per-host-topology test dispatch for tmux (User mandate 2026-05-05)</w:t>
      </w:r>
    </w:p>
    <w:p>
      <w:pPr>
        <w:pStyle w:val="FirstParagraph"/>
      </w:pPr>
      <w:r>
        <w:t xml:space="preserve">Tests that depend on host topology (systemd version, cgroup v1 vs v2,</w:t>
      </w:r>
      <w:r>
        <w:t xml:space="preserve"> </w:t>
      </w:r>
      <w:r>
        <w:t xml:space="preserve">distro-specific controller availability, presence of</w:t>
      </w:r>
      <w:r>
        <w:t xml:space="preserve"> </w:t>
      </w:r>
      <w:r>
        <w:rPr>
          <w:rStyle w:val="VerbatimChar"/>
        </w:rPr>
        <w:t xml:space="preserve">systemd-run --user</w:t>
      </w:r>
      <w:r>
        <w:t xml:space="preserve">, Linux vs Darwin) MUST detect topology at test entry and</w:t>
      </w:r>
      <w:r>
        <w:t xml:space="preserve"> </w:t>
      </w:r>
      <w:r>
        <w:t xml:space="preserve">dispatch the topology-appropriate variant — recording the probe output</w:t>
      </w:r>
      <w:r>
        <w:t xml:space="preserve"> </w:t>
      </w:r>
      <w:r>
        <w:t xml:space="preserve">as positive evidence of the SKIP rationale. A test running the wrong</w:t>
      </w:r>
      <w:r>
        <w:t xml:space="preserve"> </w:t>
      </w:r>
      <w:r>
        <w:t xml:space="preserve">variant for the actual topology and PASSing is a §101 PASS-bluff.</w:t>
      </w:r>
      <w:r>
        <w:t xml:space="preserve"> </w:t>
      </w:r>
      <w:r>
        <w:t xml:space="preserve">Silent degradation to a no-isolation path is forbidden.</w:t>
      </w:r>
    </w:p>
    <w:p>
      <w:pPr>
        <w:pStyle w:val="BodyText"/>
      </w:pPr>
      <w:r>
        <w:rPr>
          <w:rStyle w:val="VerbatimChar"/>
        </w:rPr>
        <w:t xml:space="preserve">scripts/tmx</w:t>
      </w:r>
      <w:r>
        <w:t xml:space="preserve"> </w:t>
      </w:r>
      <w:r>
        <w:t xml:space="preserve">classifies the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tmx-degraded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— the canonical dispatch seam.</w:t>
      </w:r>
    </w:p>
    <w:bookmarkEnd w:id="13"/>
    <w:bookmarkStart w:id="14" w:name="X7d28f47f23d02120e84008fc83da2f10e142184"/>
    <w:p>
      <w:pPr>
        <w:pStyle w:val="Heading3"/>
      </w:pPr>
      <w:r>
        <w:t xml:space="preserve">§105 — Per-session isolation architecture (default since 2026-05-13)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OS-native isolation boundary: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host-adaptive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max(MemTotal × 60 % / 4, 2 GB)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overrides),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any one</w:t>
      </w:r>
      <w:r>
        <w:t xml:space="preserve"> </w:t>
      </w:r>
      <w:r>
        <w:t xml:space="preserve">scope affects ONLY that scope —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as session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: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, kernel-enforced.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(memory) is NOT enforced by XNU for unprivileged</w:t>
      </w:r>
      <w:r>
        <w:t xml:space="preserve"> </w:t>
      </w:r>
      <w:r>
        <w:t xml:space="preserve">processes — documented honestly per §101, 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§5.6.</w:t>
      </w:r>
    </w:p>
    <w:p>
      <w:pPr>
        <w:pStyle w:val="FirstParagraph"/>
      </w:pPr>
      <w:r>
        <w:t xml:space="preserve">The session shell is the operator's 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.</w:t>
      </w:r>
      <w:r>
        <w:t xml:space="preserve"> </w:t>
      </w:r>
      <w:r>
        <w:t xml:space="preserve">Plain-vanilla tmux UX with OS-native isolation as a safeguard.</w:t>
      </w:r>
    </w:p>
    <w:bookmarkEnd w:id="14"/>
    <w:bookmarkStart w:id="15" w:name="X488a5bec0649e164276503027b2225e3d597020"/>
    <w:p>
      <w:pPr>
        <w:pStyle w:val="Heading3"/>
      </w:pPr>
      <w:r>
        <w:t xml:space="preserve">§106 — TMX_MEM memory-budget enforcement (project enforcement of universal §12.6)</w:t>
      </w:r>
    </w:p>
    <w:p>
      <w:pPr>
        <w:pStyle w:val="FirstParagraph"/>
      </w:pPr>
      <w:r>
        <w:t xml:space="preserve">The universal 60 % host-memory budget is enforced in this project by</w:t>
      </w:r>
      <w:r>
        <w:t xml:space="preserve"> </w:t>
      </w:r>
      <w:r>
        <w:t xml:space="preserve">the per-session containerization in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. Invariant:</w:t>
      </w:r>
      <w:r>
        <w:t xml:space="preserve"> </w:t>
      </w:r>
      <w:r>
        <w:rPr>
          <w:rStyle w:val="VerbatimChar"/>
        </w:rPr>
        <w:t xml:space="preserve">Σ(active TMX_MEM) ≤ 0.6 × MemTotal</w:t>
      </w:r>
      <w:r>
        <w:t xml:space="preserve">. Operator default</w:t>
      </w:r>
      <w:r>
        <w:t xml:space="preserve"> </w:t>
      </w:r>
      <w:r>
        <w:rPr>
          <w:rStyle w:val="VerbatimChar"/>
        </w:rPr>
        <w:t xml:space="preserve">TMX_MEM=8G</w:t>
      </w:r>
      <w:r>
        <w:t xml:space="preserve">.</w:t>
      </w:r>
      <w:r>
        <w:t xml:space="preserve"> </w:t>
      </w:r>
      <w:r>
        <w:t xml:space="preserve">On Linux the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is kernel-enforced; on macOS the cap is</w:t>
      </w:r>
      <w:r>
        <w:t xml:space="preserve"> </w:t>
      </w:r>
      <w:r>
        <w:t xml:space="preserve">informational only (XNU gap, §105). There is NO operator-facing</w:t>
      </w:r>
      <w:r>
        <w:t xml:space="preserve"> </w:t>
      </w:r>
      <w:r>
        <w:t xml:space="preserve">override of the per-host total.</w:t>
      </w:r>
    </w:p>
    <w:bookmarkEnd w:id="15"/>
    <w:bookmarkStart w:id="16" w:name="X9cb1ae7a142d8538c2df864756dd7eab831fbcf"/>
    <w:p>
      <w:pPr>
        <w:pStyle w:val="Heading3"/>
      </w:pPr>
      <w:r>
        <w:t xml:space="preserve">§107 — Upstream tmux submodule pinned + immutable</w:t>
      </w:r>
    </w:p>
    <w:p>
      <w:pPr>
        <w:pStyle w:val="FirstParagraph"/>
      </w:pPr>
      <w:r>
        <w:rPr>
          <w:rStyle w:val="VerbatimChar"/>
        </w:rPr>
        <w:t xml:space="preserve">tmux/</w:t>
      </w:r>
      <w:r>
        <w:t xml:space="preserve"> </w:t>
      </w:r>
      <w:r>
        <w:t xml:space="preserve">references</w:t>
      </w:r>
      <w:r>
        <w:t xml:space="preserve"> 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at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). It is a</w:t>
      </w:r>
      <w:r>
        <w:t xml:space="preserve"> </w:t>
      </w:r>
      <w:r>
        <w:t xml:space="preserve">third-party upstream submodule:</w:t>
      </w:r>
      <w:r>
        <w:t xml:space="preserve"> </w:t>
      </w:r>
      <w:r>
        <w:rPr>
          <w:b/>
          <w:bCs/>
        </w:rPr>
        <w:t xml:space="preserve">never modified</w:t>
      </w:r>
      <w:r>
        <w:t xml:space="preserve">, never advanced off</w:t>
      </w:r>
      <w:r>
        <w:t xml:space="preserve"> </w:t>
      </w:r>
      <w:r>
        <w:t xml:space="preserve">the tag without an explicit, documented decision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+ a</w:t>
      </w:r>
      <w:r>
        <w:t xml:space="preserve"> </w:t>
      </w:r>
      <w:r>
        <w:t xml:space="preserve">governance-doc update in the same commit. Silent pin-drift is a §101 /</w:t>
      </w:r>
      <w:r>
        <w:t xml:space="preserve"> </w:t>
      </w:r>
      <w:r>
        <w:t xml:space="preserve">universal §11.4.6 violation (forensic precedent: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§3.8).</w:t>
      </w:r>
    </w:p>
    <w:bookmarkEnd w:id="16"/>
    <w:bookmarkStart w:id="17" w:name="X708fddb52e5dc29d1f3134b70130d57c171cb9b"/>
    <w:p>
      <w:pPr>
        <w:pStyle w:val="Heading3"/>
      </w:pPr>
      <w:r>
        <w:t xml:space="preserve">§108 — Native dual-OS build discipline</w:t>
      </w:r>
    </w:p>
    <w:p>
      <w:pPr>
        <w:pStyle w:val="FirstParagraph"/>
      </w:pPr>
      <w:r>
        <w:t xml:space="preserve">The hardened tmux binary is built natively per OS — Linux ELF and macOS</w:t>
      </w:r>
      <w:r>
        <w:t xml:space="preserve"> </w:t>
      </w:r>
      <w:r>
        <w:t xml:space="preserve">Mach-O — from the same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 </w:t>
      </w:r>
      <w:r>
        <w:t xml:space="preserve">submodule.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 and every project script MUST detect host OS</w:t>
      </w:r>
      <w:r>
        <w:t xml:space="preserve"> </w:t>
      </w:r>
      <w:r>
        <w:t xml:space="preserve">and apply the correct action out of the box (no manual per-OS flags).</w:t>
      </w:r>
      <w:r>
        <w:t xml:space="preserve"> </w:t>
      </w:r>
      <w:r>
        <w:t xml:space="preserve">Compile hardening, jemalloc linkage, and the verification gate apply to</w:t>
      </w:r>
      <w:r>
        <w:t xml:space="preserve"> </w:t>
      </w:r>
      <w:r>
        <w:t xml:space="preserve">both targets.</w:t>
      </w:r>
    </w:p>
    <w:bookmarkEnd w:id="17"/>
    <w:bookmarkStart w:id="18" w:name="Xc64259ca7bbdd0c17d47d579ba195fc56e33bbd"/>
    <w:p>
      <w:pPr>
        <w:pStyle w:val="Heading3"/>
      </w:pPr>
      <w:r>
        <w:t xml:space="preserve">§109 — Anti-bluff verification gate (load-bearing)</w:t>
      </w:r>
    </w:p>
    <w:p>
      <w:pPr>
        <w:pStyle w:val="FirstParagraph"/>
      </w:pPr>
      <w:r>
        <w:rPr>
          <w:rStyle w:val="VerbatimChar"/>
        </w:rPr>
        <w:t xml:space="preserve">scripts/verify.sh</w:t>
      </w:r>
      <w:r>
        <w:t xml:space="preserve"> </w:t>
      </w:r>
      <w:r>
        <w:t xml:space="preserve">is the single decision point for whether the binary</w:t>
      </w:r>
      <w:r>
        <w:t xml:space="preserve"> </w:t>
      </w:r>
      <w:r>
        <w:t xml:space="preserve">is operator-safe. GREEN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proceeds to PATH export; RED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REFUSES to install. There is no "force install" mode and no</w:t>
      </w:r>
      <w:r>
        <w:t xml:space="preserve"> </w:t>
      </w:r>
      <w:r>
        <w:t xml:space="preserve">flag that bypasses the gate.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overrides-of-the-universal-constitution"/>
    <w:p>
      <w:pPr>
        <w:pStyle w:val="Heading2"/>
      </w:pPr>
      <w:r>
        <w:t xml:space="preserve">Overrides of the Universal Constitution</w:t>
      </w:r>
    </w:p>
    <w:p>
      <w:pPr>
        <w:pStyle w:val="FirstParagraph"/>
      </w:pPr>
      <w:r>
        <w:t xml:space="preserve">None. This project introduces</w:t>
      </w:r>
      <w:r>
        <w:t xml:space="preserve"> </w:t>
      </w:r>
      <w:r>
        <w:rPr>
          <w:b/>
          <w:bCs/>
        </w:rPr>
        <w:t xml:space="preserve">no override</w:t>
      </w:r>
      <w:r>
        <w:t xml:space="preserve"> </w:t>
      </w:r>
      <w:r>
        <w:t xml:space="preserve">of any universal clause.</w:t>
      </w:r>
      <w:r>
        <w:t xml:space="preserve"> </w:t>
      </w:r>
      <w:r>
        <w:t xml:space="preserve">Any future override MUST appear here under an explicit</w:t>
      </w:r>
      <w:r>
        <w:t xml:space="preserve"> </w:t>
      </w:r>
      <w:r>
        <w:rPr>
          <w:rStyle w:val="VerbatimChar"/>
        </w:rPr>
        <w:t xml:space="preserve">### Override §X.Y — &lt;reason&gt;</w:t>
      </w:r>
      <w:r>
        <w:t xml:space="preserve"> </w:t>
      </w:r>
      <w:r>
        <w:t xml:space="preserve">heading with justification.</w:t>
      </w:r>
    </w:p>
    <w:p>
      <w:r>
        <w:pict>
          <v:rect style="width:0;height:1.5pt" o:hralign="center" o:hrstd="t" o:hr="t"/>
        </w:pict>
      </w:r>
    </w:p>
    <w:bookmarkEnd w:id="20"/>
    <w:bookmarkStart w:id="21" w:name="owned-submodule-set"/>
    <w:p>
      <w:pPr>
        <w:pStyle w:val="Heading2"/>
      </w:pPr>
      <w:r>
        <w:t xml:space="preserve">Owned-submodule set</w:t>
      </w:r>
    </w:p>
    <w:p>
      <w:pPr>
        <w:pStyle w:val="FirstParagraph"/>
      </w:pPr>
      <w:r>
        <w:t xml:space="preserve">Submodules this project owns and is responsible for:</w:t>
      </w:r>
    </w:p>
    <w:p>
      <w:pPr>
        <w:pStyle w:val="SourceCode"/>
      </w:pPr>
      <w:r>
        <w:rPr>
          <w:rStyle w:val="VerbatimChar"/>
        </w:rPr>
        <w:t xml:space="preserve">Containers     git@github.com:vasic-digital/Containers.git   (cgroup orchestration helpers)</w:t>
      </w:r>
      <w:r>
        <w:br/>
      </w:r>
      <w:r>
        <w:rPr>
          <w:rStyle w:val="VerbatimChar"/>
        </w:rPr>
        <w:t xml:space="preserve">constitution   git@github.com:HelixDevelopment/HelixConstitution.git   (governance; pinned 7f738df)</w:t>
      </w:r>
    </w:p>
    <w:p>
      <w:pPr>
        <w:pStyle w:val="FirstParagraph"/>
      </w:pPr>
      <w:r>
        <w:rPr>
          <w:rStyle w:val="VerbatimChar"/>
        </w:rPr>
        <w:t xml:space="preserve">tmux/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third-party upstream</w:t>
      </w:r>
      <w:r>
        <w:t xml:space="preserve"> </w:t>
      </w:r>
      <w:r>
        <w:t xml:space="preserve">submodule (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</w:t>
      </w:r>
      <w:r>
        <w:t xml:space="preserve"> </w:t>
      </w:r>
      <w:r>
        <w:t xml:space="preserve">— excluded from the owned set; immutable per §107.</w:t>
      </w:r>
    </w:p>
    <w:p>
      <w:r>
        <w:pict>
          <v:rect style="width:0;height:1.5pt" o:hralign="center" o:hrstd="t" o:hr="t"/>
        </w:pict>
      </w:r>
    </w:p>
    <w:bookmarkEnd w:id="21"/>
    <w:bookmarkStart w:id="22" w:name="project-specific-remotes"/>
    <w:p>
      <w:pPr>
        <w:pStyle w:val="Heading2"/>
      </w:pPr>
      <w:r>
        <w:t xml:space="preserve">Project-specific remotes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Remotes</w:t>
            </w:r>
          </w:p>
        </w:tc>
        <w:tc>
          <w:tcPr/>
          <w:p>
            <w:pPr>
              <w:pStyle w:val="Compact"/>
            </w:pPr>
            <w:r>
              <w:t xml:space="preserve">Push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—</w:t>
            </w:r>
            <w:r>
              <w:t xml:space="preserve"> </w:t>
            </w:r>
            <w:r>
              <w:rPr>
                <w:rStyle w:val="VerbatimChar"/>
              </w:rPr>
              <w:t xml:space="preserve">vasic-digital/tmux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commit_all.sh "&lt;msg&gt;"</w:t>
            </w:r>
            <w:r>
              <w:t xml:space="preserve"> </w:t>
            </w:r>
            <w:r>
              <w:t xml:space="preserve">— ONLY allowed mechanism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t xml:space="preserve">the Containers repo's own commit wrapper</w:t>
            </w:r>
          </w:p>
        </w:tc>
      </w:tr>
    </w:tbl>
    <w:p>
      <w:pPr>
        <w:pStyle w:val="BodyText"/>
      </w:pPr>
      <w:r>
        <w:t xml:space="preserve">Never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directly on the main repo. SSH remotes only — no HTTPS</w:t>
      </w:r>
      <w:r>
        <w:t xml:space="preserve"> </w:t>
      </w:r>
      <w:r>
        <w:t xml:space="preserve">for Git. No CI/CD pipeline files. Force-push is never automatic and</w:t>
      </w:r>
      <w:r>
        <w:t xml:space="preserve"> </w:t>
      </w:r>
      <w:r>
        <w:t xml:space="preserve">requires explicit per-operation authorization per universal §9.</w:t>
      </w:r>
    </w:p>
    <w:p>
      <w:r>
        <w:pict>
          <v:rect style="width:0;height:1.5pt" o:hralign="center" o:hrstd="t" o:hr="t"/>
        </w:pict>
      </w:r>
    </w:p>
    <w:bookmarkEnd w:id="22"/>
    <w:bookmarkStart w:id="36" w:name="Xdaef766cc7ba501459c0157538ef9e3aa3a6ecf"/>
    <w:p>
      <w:pPr>
        <w:pStyle w:val="Heading2"/>
      </w:pPr>
      <w:r>
        <w:t xml:space="preserve">§11.4.87–98 — universal anchors inherited from constitution 6828ff2 (cycle 2026-05-28)</w:t>
      </w:r>
    </w:p>
    <w:p>
      <w:pPr>
        <w:pStyle w:val="FirstParagraph"/>
      </w:pPr>
      <w:r>
        <w:t xml:space="preserve">The constitution submodule was ff-merged 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(2026-05-28). Anchors §11.4.87 through §11.4.98 are universal additions</w:t>
      </w:r>
      <w:r>
        <w:t xml:space="preserve"> </w:t>
      </w:r>
      <w:r>
        <w:t xml:space="preserve">that apply to this project unconditionally per §11.4.35. Long-form bodies</w:t>
      </w:r>
      <w:r>
        <w:t xml:space="preserve"> </w:t>
      </w:r>
      <w:r>
        <w:t xml:space="preserve">live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; short-form mirrors follow.</w:t>
      </w:r>
    </w:p>
    <w:bookmarkStart w:id="23" w:name="X69f7e08ded82b7a1968042552abab42b3bce0ca"/>
    <w:p>
      <w:pPr>
        <w:pStyle w:val="Heading3"/>
      </w:pPr>
      <w:r>
        <w:t xml:space="preserve">§11.4.87 — Endless-loop autonomous work + zero-idle agent dispatch + anti-bluff testing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§11.4.87</w:t>
      </w:r>
      <w:r>
        <w:t xml:space="preserve"> </w:t>
      </w:r>
      <w:r>
        <w:t xml:space="preserve">(commit 6828ff2). Operative for this project: agent work continues</w:t>
      </w:r>
      <w:r>
        <w:t xml:space="preserve"> </w:t>
      </w:r>
      <w:r>
        <w:t xml:space="preserve">autonomously until ALL of (a) Issues.md has no In-progress / Ready /</w:t>
      </w:r>
      <w:r>
        <w:t xml:space="preserve"> </w:t>
      </w:r>
      <w:r>
        <w:t xml:space="preserve">In-testing / Reopened items, (b) CONTINUATION.md §3 active-work empty,</w:t>
      </w:r>
      <w:r>
        <w:t xml:space="preserve"> </w:t>
      </w:r>
      <w:r>
        <w:t xml:space="preserve">(c) no in-flight subagent, (d) no external dependency in-flight.</w:t>
      </w:r>
      <w:r>
        <w:t xml:space="preserve"> </w:t>
      </w:r>
      <w:r>
        <w:t xml:space="preserve">Every closed item carries §11.4.4(b) four-layer coverage + captured</w:t>
      </w:r>
      <w:r>
        <w:t xml:space="preserve"> </w:t>
      </w:r>
      <w:r>
        <w:t xml:space="preserve">evidence per §11.4.5/§11.4.69. Tests AND HelixQA Challenges bound</w:t>
      </w:r>
      <w:r>
        <w:t xml:space="preserve"> </w:t>
      </w:r>
      <w:r>
        <w:t xml:space="preserve">equally.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§11.4.87 (6828ff2).</w:t>
      </w:r>
    </w:p>
    <w:bookmarkEnd w:id="23"/>
    <w:bookmarkStart w:id="24" w:name="Xe2fd9a5a7ce864237ab3b24294f9fa37013fe34"/>
    <w:p>
      <w:pPr>
        <w:pStyle w:val="Heading3"/>
      </w:pPr>
      <w:r>
        <w:t xml:space="preserve">§11.4.88 — Background-push: commit-lock release immediately, push detached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§11.4.88</w:t>
      </w:r>
      <w:r>
        <w:t xml:space="preserve"> </w:t>
      </w:r>
      <w:r>
        <w:t xml:space="preserve">(commit 6828ff2). Operative: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MUST release its commit</w:t>
      </w:r>
      <w:r>
        <w:t xml:space="preserve"> </w:t>
      </w:r>
      <w:r>
        <w:t xml:space="preserve">flock the moment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t xml:space="preserve">returns 0;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runs detached via</w:t>
      </w:r>
      <w:r>
        <w:t xml:space="preserve"> </w:t>
      </w:r>
      <w:r>
        <w:rPr>
          <w:rStyle w:val="VerbatimChar"/>
        </w:rPr>
        <w:t xml:space="preserve">nohup ...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per-remote</w:t>
      </w:r>
      <w:r>
        <w:t xml:space="preserve"> </w:t>
      </w:r>
      <w:r>
        <w:rPr>
          <w:rStyle w:val="VerbatimChar"/>
        </w:rPr>
        <w:t xml:space="preserve">.git/.push.&lt;remote&gt;.lock</w:t>
      </w:r>
      <w:r>
        <w:t xml:space="preserve"> </w:t>
      </w:r>
      <w:r>
        <w:t xml:space="preserve">serialises</w:t>
      </w:r>
      <w:r>
        <w:t xml:space="preserve"> </w:t>
      </w:r>
      <w:r>
        <w:t xml:space="preserve">same-remote concurrent pushes but allows different-remote parallelism.</w:t>
      </w:r>
      <w:r>
        <w:t xml:space="preserve"> </w:t>
      </w:r>
      <w:r>
        <w:t xml:space="preserve">Backgrounded push failures land under</w:t>
      </w:r>
      <w:r>
        <w:t xml:space="preserve"> </w:t>
      </w:r>
      <w:r>
        <w:rPr>
          <w:rStyle w:val="VerbatimChar"/>
        </w:rPr>
        <w:t xml:space="preserve">qa-results/push_failures/</w:t>
      </w:r>
      <w:r>
        <w:t xml:space="preserve">. The</w:t>
      </w:r>
      <w:r>
        <w:t xml:space="preserve"> </w:t>
      </w:r>
      <w:r>
        <w:t xml:space="preserve">only escape is</w:t>
      </w:r>
      <w:r>
        <w:t xml:space="preserve"> </w:t>
      </w:r>
      <w:r>
        <w:rPr>
          <w:rStyle w:val="VerbatimChar"/>
        </w:rPr>
        <w:t xml:space="preserve">--sync-push</w:t>
      </w:r>
      <w:r>
        <w:t xml:space="preserve"> </w:t>
      </w:r>
      <w:r>
        <w:t xml:space="preserve">for §11.4.41 force-push paths.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§11.4.88 (6828ff2).</w:t>
      </w:r>
    </w:p>
    <w:bookmarkEnd w:id="24"/>
    <w:bookmarkStart w:id="25" w:name="Xfd403819ae87133b10d7ab026471cfb5f37456e"/>
    <w:p>
      <w:pPr>
        <w:pStyle w:val="Heading3"/>
      </w:pPr>
      <w:r>
        <w:t xml:space="preserve">§11.4.89 — Background test execution (long tests run detached)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§11.4.89</w:t>
      </w:r>
      <w:r>
        <w:t xml:space="preserve"> </w:t>
      </w:r>
      <w:r>
        <w:t xml:space="preserve">(commit 6828ff2). Operative for this project's &gt;30 s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bash scripts/tests/run_all.sh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, etc.): MUST spawn via</w:t>
      </w:r>
      <w:r>
        <w:t xml:space="preserve"> </w:t>
      </w:r>
      <w:r>
        <w:rPr>
          <w:rStyle w:val="VerbatimChar"/>
        </w:rPr>
        <w:t xml:space="preserve">nohup ... &gt; &lt;log&gt; 2&gt;&amp;1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main work stream returns to the §11.4.42 priority queue;</w:t>
      </w:r>
      <w:r>
        <w:t xml:space="preserve"> </w:t>
      </w:r>
      <w:r>
        <w:t xml:space="preserve">hard-dependent next steps poll exit-status. Per-script flock serialises</w:t>
      </w:r>
      <w:r>
        <w:t xml:space="preserve"> </w:t>
      </w:r>
      <w:r>
        <w:t xml:space="preserve">same-script invocations.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§11.4.89 (6828ff2).</w:t>
      </w:r>
    </w:p>
    <w:bookmarkEnd w:id="25"/>
    <w:bookmarkStart w:id="26" w:name="Xb91618f74d978398b25b1d1492eda8fde435d27"/>
    <w:p>
      <w:pPr>
        <w:pStyle w:val="Heading3"/>
      </w:pPr>
      <w:r>
        <w:t xml:space="preserve">§11.4.90 — Obsolete status + per-item obsolescence audit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§11.4.90</w:t>
      </w:r>
      <w:r>
        <w:t xml:space="preserve"> </w:t>
      </w:r>
      <w:r>
        <w:t xml:space="preserve">(commit 6828ff2). The §11.4.15 Status closed-set gains terminal value</w:t>
      </w:r>
      <w:r>
        <w:t xml:space="preserve"> </w:t>
      </w:r>
      <w:r>
        <w:rPr>
          <w:rStyle w:val="VerbatimChar"/>
        </w:rPr>
        <w:t xml:space="preserve">Obsolete (→ Fixed.md)</w:t>
      </w:r>
      <w:r>
        <w:t xml:space="preserve"> </w:t>
      </w:r>
      <w:r>
        <w:t xml:space="preserve">(orthogonal to Type). Reasons drawn from closed</w:t>
      </w:r>
      <w:r>
        <w:t xml:space="preserve"> </w:t>
      </w:r>
      <w:r>
        <w:t xml:space="preserve">vocabulary:</w:t>
      </w:r>
      <w:r>
        <w:t xml:space="preserve"> </w:t>
      </w:r>
      <w:r>
        <w:rPr>
          <w:rStyle w:val="VerbatimChar"/>
        </w:rPr>
        <w:t xml:space="preserve">superseded-by-design-change | superseded-by-later-mandate | feature-removed | duplicate-of | unsupported-topology</w:t>
      </w:r>
      <w:r>
        <w:t xml:space="preserve">. Every Obsolete</w:t>
      </w:r>
      <w:r>
        <w:t xml:space="preserve"> </w:t>
      </w:r>
      <w:r>
        <w:t xml:space="preserve">heading carries</w:t>
      </w:r>
      <w:r>
        <w:t xml:space="preserve"> </w:t>
      </w:r>
      <w:r>
        <w:rPr>
          <w:rStyle w:val="VerbatimChar"/>
        </w:rPr>
        <w:t xml:space="preserve">**Obsolete-Details:**</w:t>
      </w:r>
      <w:r>
        <w:t xml:space="preserve"> </w:t>
      </w:r>
      <w:r>
        <w:t xml:space="preserve">(Since + Reason + Superseding-item</w:t>
      </w:r>
    </w:p>
    <w:p>
      <w:pPr>
        <w:pStyle w:val="Compact"/>
        <w:numPr>
          <w:ilvl w:val="0"/>
          <w:numId w:val="1004"/>
        </w:numPr>
      </w:pPr>
      <w:r>
        <w:t xml:space="preserve">Triple-check evidence) within 8 non-blank lines. §11.4.23 colorizer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cell-status-obsolete</w:t>
      </w:r>
      <w:r>
        <w:t xml:space="preserve"> </w:t>
      </w:r>
      <w:r>
        <w:t xml:space="preserve">class (light-gray + strikethrough).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§11.4.90 (6828ff2).</w:t>
      </w:r>
    </w:p>
    <w:bookmarkEnd w:id="26"/>
    <w:bookmarkStart w:id="27" w:name="X0e9e67f9773952a51483b59db494c6916454aea"/>
    <w:p>
      <w:pPr>
        <w:pStyle w:val="Heading3"/>
      </w:pPr>
      <w:r>
        <w:t xml:space="preserve">§11.4.91 — Summary-doc clarity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§11.4.91</w:t>
      </w:r>
      <w:r>
        <w:t xml:space="preserve"> </w:t>
      </w:r>
      <w:r>
        <w:t xml:space="preserve">(commit 6828ff2). Every summary one-liner (Issues_Summary.md,</w:t>
      </w:r>
      <w:r>
        <w:t xml:space="preserve"> </w:t>
      </w:r>
      <w:r>
        <w:t xml:space="preserve">Fixed_Summary.md, README doc-link, Status_Summary pages) MUST be</w:t>
      </w:r>
      <w:r>
        <w:t xml:space="preserve"> </w:t>
      </w:r>
      <w:r>
        <w:t xml:space="preserve">self-contained — ≥ 6 words OR ≥ 40 chars naming SUBJECT + PROBLEM/GOAL.</w:t>
      </w:r>
      <w:r>
        <w:t xml:space="preserve"> </w:t>
      </w:r>
      <w:r>
        <w:t xml:space="preserve">Forbidden anti-patterns: section labels (</w:t>
      </w:r>
      <w:r>
        <w:rPr>
          <w:rStyle w:val="VerbatimChar"/>
        </w:rPr>
        <w:t xml:space="preserve">Composes with</w:t>
      </w:r>
      <w:r>
        <w:t xml:space="preserve">, etc.); bare</w:t>
      </w:r>
      <w:r>
        <w:t xml:space="preserve"> </w:t>
      </w:r>
      <w:r>
        <w:t xml:space="preserve">metadata fragments (</w:t>
      </w:r>
      <w:r>
        <w:rPr>
          <w:rStyle w:val="VerbatimChar"/>
        </w:rPr>
        <w:t xml:space="preserve">Critical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Bug</w:t>
      </w:r>
      <w:r>
        <w:t xml:space="preserve">,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); §-letter alone.</w:t>
      </w:r>
      <w:r>
        <w:t xml:space="preserve"> </w:t>
      </w:r>
      <w:r>
        <w:t xml:space="preserve">Generators MUST extract from H1/H2 heading line per §11.4.54 ATM-NNN</w:t>
      </w:r>
      <w:r>
        <w:t xml:space="preserve"> </w:t>
      </w:r>
      <w:r>
        <w:t xml:space="preserve">convention and refuse anti-pattern rows.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§11.4.91 (6828ff2).</w:t>
      </w:r>
    </w:p>
    <w:bookmarkEnd w:id="27"/>
    <w:bookmarkStart w:id="28" w:name="X234de17a411add966623c189a81e0f94d820e6e"/>
    <w:p>
      <w:pPr>
        <w:pStyle w:val="Heading3"/>
      </w:pPr>
      <w:r>
        <w:t xml:space="preserve">§11.4.92 — Multi-pass change-evaluation discipline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§11.4.92</w:t>
      </w:r>
      <w:r>
        <w:t xml:space="preserve"> </w:t>
      </w:r>
      <w:r>
        <w:t xml:space="preserve">(commit 6828ff2). Every non-trivial change passes 5 evaluation passes</w:t>
      </w:r>
      <w:r>
        <w:t xml:space="preserve"> </w:t>
      </w:r>
      <w:r>
        <w:t xml:space="preserve">BEFORE commit-ready: (1) main-task captured-evidence verification;</w:t>
      </w:r>
      <w:r>
        <w:t xml:space="preserve"> </w:t>
      </w:r>
      <w:r>
        <w:t xml:space="preserve">(2) regression blast-radius enumeration of every dependent file;</w:t>
      </w:r>
      <w:r>
        <w:t xml:space="preserve"> </w:t>
      </w:r>
      <w:r>
        <w:t xml:space="preserve">(3) cross-feature interaction analysis (shared state/timing/hardware);</w:t>
      </w:r>
      <w:r>
        <w:t xml:space="preserve"> </w:t>
      </w:r>
      <w:r>
        <w:t xml:space="preserve">(4) deep-research per §11.4.8 + CodeGraph queries per §11.4.78/§11.4.79;</w:t>
      </w:r>
      <w:r>
        <w:t xml:space="preserve"> </w:t>
      </w:r>
      <w:r>
        <w:t xml:space="preserve">(5) anti-bluff confirmation. Per-pass written documentation required.</w:t>
      </w:r>
      <w:r>
        <w:t xml:space="preserve"> </w:t>
      </w:r>
      <w:r>
        <w:t xml:space="preserve">Trivial exemption only for zero-source-touch revision-bump / typo</w:t>
      </w:r>
      <w:r>
        <w:t xml:space="preserve"> </w:t>
      </w:r>
      <w:r>
        <w:t xml:space="preserve">commits citing the exemption.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</w:t>
      </w:r>
      <w:r>
        <w:t xml:space="preserve"> </w:t>
      </w:r>
      <w:r>
        <w:t xml:space="preserve">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§11.4.92 (6828ff2).</w:t>
      </w:r>
    </w:p>
    <w:bookmarkEnd w:id="28"/>
    <w:bookmarkStart w:id="29" w:name="X1098051910077202c26cbb05e88ea7f8673dc04"/>
    <w:p>
      <w:pPr>
        <w:pStyle w:val="Heading3"/>
      </w:pPr>
      <w:r>
        <w:t xml:space="preserve">§11.4.93 — SQLite-backed single source of truth for workable items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§11.4.93</w:t>
      </w:r>
      <w:r>
        <w:t xml:space="preserve"> </w:t>
      </w:r>
      <w:r>
        <w:t xml:space="preserve">(commit 6828ff2). Text-based Issues/Fixed/Summary/CONTINUATION</w:t>
      </w:r>
      <w:r>
        <w:t xml:space="preserve"> </w:t>
      </w:r>
      <w:r>
        <w:t xml:space="preserve">constellation converts to SQLite-DB-backed single source of truth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(TRACKED per §11.4.95, not gitignored). A Go</w:t>
      </w:r>
      <w:r>
        <w:t xml:space="preserve"> </w:t>
      </w:r>
      <w:r>
        <w:t xml:space="preserve">binary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provides bidirectional sync (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db-to-md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Round-trip MUST be</w:t>
      </w:r>
      <w:r>
        <w:t xml:space="preserve"> </w:t>
      </w:r>
      <w:r>
        <w:t xml:space="preserve">byte-identical within whitespace-and-section-order tolerance.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refuses to commit while diff is non-empty.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§11.4.93 (6828ff2).</w:t>
      </w:r>
    </w:p>
    <w:bookmarkEnd w:id="29"/>
    <w:bookmarkStart w:id="30" w:name="X16e63fe1b5186b26e1cd363f837037b4a90bad0"/>
    <w:p>
      <w:pPr>
        <w:pStyle w:val="Heading3"/>
      </w:pPr>
      <w:r>
        <w:t xml:space="preserve">§11.4.94 — Zero-idle priority-first parallel-by-default operating mode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§11.4.94</w:t>
      </w:r>
      <w:r>
        <w:t xml:space="preserve"> </w:t>
      </w:r>
      <w:r>
        <w:t xml:space="preserve">(commit 6828ff2). Binds §11.4.20+§11.4.42+§11.4.58+§11.4.70+§11.4.72+</w:t>
      </w:r>
      <w:r>
        <w:t xml:space="preserve"> </w:t>
      </w:r>
      <w:r>
        <w:t xml:space="preserve">§11.4.82+§11.4.87+§11.4.88+§11.4.89 into a single always-on enforcement:</w:t>
      </w:r>
      <w:r>
        <w:t xml:space="preserve"> </w:t>
      </w:r>
      <w:r>
        <w:t xml:space="preserve">idle ONLY when every queued item is genuinely externally blocked OR</w:t>
      </w:r>
      <w:r>
        <w:t xml:space="preserve"> </w:t>
      </w:r>
      <w:r>
        <w:t xml:space="preserve">operator STOP OR §12 host-safety; before any wake/sleep the conductor</w:t>
      </w:r>
      <w:r>
        <w:t xml:space="preserve"> </w:t>
      </w:r>
      <w:r>
        <w:t xml:space="preserve">MUST survey parallel-work feasibility, identify non-contending items,</w:t>
      </w:r>
      <w:r>
        <w:t xml:space="preserve"> </w:t>
      </w:r>
      <w:r>
        <w:t xml:space="preserve">dispatch in parallel per §11.4.20/§11.4.70 subagent-driven default +</w:t>
      </w:r>
      <w:r>
        <w:t xml:space="preserve"> </w:t>
      </w:r>
      <w:r>
        <w:t xml:space="preserve">§11.4.58 PWU disjoint scope + §11.4.89 background long tests.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§11.4.94 (6828ff2).</w:t>
      </w:r>
    </w:p>
    <w:bookmarkEnd w:id="30"/>
    <w:bookmarkStart w:id="31" w:name="Xad4f6879b20689dacf8a28aa58340143dfdfb30"/>
    <w:p>
      <w:pPr>
        <w:pStyle w:val="Heading3"/>
      </w:pPr>
      <w:r>
        <w:t xml:space="preserve">§11.4.95 — Workable-items SQLite DB TRACKED in git, NEVER gitignored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§11.4.95</w:t>
      </w:r>
      <w:r>
        <w:t xml:space="preserve"> </w:t>
      </w:r>
      <w:r>
        <w:t xml:space="preserve">(commit 6828ff2). Amends §11.4.93: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IS authoritative</w:t>
      </w:r>
      <w:r>
        <w:t xml:space="preserve"> </w:t>
      </w:r>
      <w:r>
        <w:t xml:space="preserve">source data, NOT a build artefact — it is TRACKED in git, NEVER gitignored.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workable-items sync md-to-db</w:t>
      </w:r>
      <w:r>
        <w:t xml:space="preserve"> </w:t>
      </w:r>
      <w:r>
        <w:t xml:space="preserve">mutation stages + commits + pushes</w:t>
      </w:r>
      <w:r>
        <w:t xml:space="preserve"> </w:t>
      </w:r>
      <w:r>
        <w:t xml:space="preserve">the DB alongside the MD regen per §11.4.19 atomic-move + §2.1 multi-upstream</w:t>
      </w:r>
      <w:r>
        <w:t xml:space="preserve"> </w:t>
      </w:r>
      <w:r>
        <w:t xml:space="preserve">push. WAL-checkpoint (</w:t>
      </w:r>
      <w:r>
        <w:rPr>
          <w:rStyle w:val="VerbatimChar"/>
        </w:rPr>
        <w:t xml:space="preserve">PRAGMA wal_checkpoint(TRUNCATE)</w:t>
      </w:r>
      <w:r>
        <w:t xml:space="preserve">) required before</w:t>
      </w:r>
      <w:r>
        <w:t xml:space="preserve"> </w:t>
      </w:r>
      <w:r>
        <w:t xml:space="preserve">commit-stage. Destructive DB ops require §9.2 hardlinked-backup.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§11.4.95 (6828ff2).</w:t>
      </w:r>
    </w:p>
    <w:bookmarkEnd w:id="31"/>
    <w:bookmarkStart w:id="32" w:name="X33db198916791eae45b546cb6a9e267c0f221f6"/>
    <w:p>
      <w:pPr>
        <w:pStyle w:val="Heading3"/>
      </w:pPr>
      <w:r>
        <w:t xml:space="preserve">§11.4.96 — Safe-parallel-work-with-long-build catalogue +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§11.4.96</w:t>
      </w:r>
      <w:r>
        <w:t xml:space="preserve"> </w:t>
      </w:r>
      <w:r>
        <w:t xml:space="preserve">(commit 6828ff2). Operational catalogue for long-running build workloads</w:t>
      </w:r>
      <w:r>
        <w:t xml:space="preserve"> </w:t>
      </w:r>
      <w:r>
        <w:t xml:space="preserve">classifies parallel work as SAFE (docs/scripts/tests/submodule pushes</w:t>
      </w:r>
      <w:r>
        <w:t xml:space="preserve"> </w:t>
      </w:r>
      <w:r>
        <w:t xml:space="preserve">under §11.4.88 + research + DB ops + subagent dispatch) vs UNSAFE</w:t>
      </w:r>
      <w:r>
        <w:t xml:space="preserve"> </w:t>
      </w:r>
      <w:r>
        <w:t xml:space="preserve">(destructive git ops on source tree, mass deletes under hot subtrees,</w:t>
      </w:r>
      <w:r>
        <w:t xml:space="preserve"> </w:t>
      </w:r>
      <w:r>
        <w:t xml:space="preserve">container destruction, host-safety breaches). Conductor MUST consult</w:t>
      </w:r>
      <w:r>
        <w:t xml:space="preserve"> </w:t>
      </w:r>
      <w:r>
        <w:t xml:space="preserve">catalogue at every pause point and dispatch ≥1 safe item per §11.4.20/</w:t>
      </w:r>
      <w:r>
        <w:t xml:space="preserve"> </w:t>
      </w:r>
      <w:r>
        <w:t xml:space="preserve">§11.4.70 subagent default + §11.4.89 background.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§11.4.96 (6828ff2).</w:t>
      </w:r>
    </w:p>
    <w:bookmarkEnd w:id="32"/>
    <w:bookmarkStart w:id="33" w:name="X51f365977cb20e75415e2a94cf6219b86c98a73"/>
    <w:p>
      <w:pPr>
        <w:pStyle w:val="Heading3"/>
      </w:pPr>
      <w:r>
        <w:t xml:space="preserve">§11.4.97 — Maximum-use-of-idle-time + progress-update cadence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§11.4.97</w:t>
      </w:r>
      <w:r>
        <w:t xml:space="preserve"> </w:t>
      </w:r>
      <w:r>
        <w:t xml:space="preserve">(commit 6828ff2). Strengthens §11.4.87+§11.4.94+§11.4.96: every idle</w:t>
      </w:r>
      <w:r>
        <w:t xml:space="preserve"> </w:t>
      </w:r>
      <w:r>
        <w:t xml:space="preserve">minute during which work could autonomously progress and is not genuinely</w:t>
      </w:r>
      <w:r>
        <w:t xml:space="preserve"> </w:t>
      </w:r>
      <w:r>
        <w:t xml:space="preserve">blocked = §11.4.97 violation. Progress-update cadence: emit operator-facing</w:t>
      </w:r>
      <w:r>
        <w:t xml:space="preserve"> </w:t>
      </w:r>
      <w:r>
        <w:t xml:space="preserve">1-line update at every commit landed / subagent return / constitutional</w:t>
      </w:r>
      <w:r>
        <w:t xml:space="preserve"> </w:t>
      </w:r>
      <w:r>
        <w:t xml:space="preserve">anchor landing / captured-evidence acquisition / milestone closure —</w:t>
      </w:r>
      <w:r>
        <w:t xml:space="preserve"> </w:t>
      </w:r>
      <w:r>
        <w:t xml:space="preserve">no operator prompt required. Continuous physical-proof gathering per</w:t>
      </w:r>
      <w:r>
        <w:t xml:space="preserve"> </w:t>
      </w:r>
      <w:r>
        <w:t xml:space="preserve">§11.4.5+§11.4.6+§11.4.69.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§11.4.97 (6828ff2).</w:t>
      </w:r>
    </w:p>
    <w:bookmarkEnd w:id="33"/>
    <w:bookmarkStart w:id="34" w:name="X615a43ff9ea479cec4b075bfd3e1ff3a94e17cd"/>
    <w:p>
      <w:pPr>
        <w:pStyle w:val="Heading3"/>
      </w:pPr>
      <w:r>
        <w:t xml:space="preserve">§11.4.98 — Full-Automation Anti-Bluff — live tests re-runnable end-to-end without manual intervention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§11.4.98</w:t>
      </w:r>
      <w:r>
        <w:t xml:space="preserve"> </w:t>
      </w:r>
      <w:r>
        <w:t xml:space="preserve">(commit 6828ff2). Closes the manual-intervention gap §11.4.85/§11.4.87/</w:t>
      </w:r>
      <w:r>
        <w:t xml:space="preserve"> </w:t>
      </w:r>
      <w:r>
        <w:t xml:space="preserve">§11.4.89/§11.4.94 did not explicitly forbid: every test (unit /</w:t>
      </w:r>
      <w:r>
        <w:t xml:space="preserve"> </w:t>
      </w:r>
      <w:r>
        <w:t xml:space="preserve">integration / e2e / Challenge / stress / chaos / live) MUST be fully</w:t>
      </w:r>
      <w:r>
        <w:t xml:space="preserve"> </w:t>
      </w:r>
      <w:r>
        <w:t xml:space="preserve">self-driving end-to-end and report PASS/FAIL/SKIP-with-reason without</w:t>
      </w:r>
      <w:r>
        <w:t xml:space="preserve"> </w:t>
      </w:r>
      <w:r>
        <w:t xml:space="preserve">any further human action after startup. One-time credential bootstrap</w:t>
      </w:r>
      <w:r>
        <w:t xml:space="preserve"> </w:t>
      </w:r>
      <w:r>
        <w:t xml:space="preserve">OUTSIDE test execution is the only permissible exception. Re-runnability</w:t>
      </w:r>
      <w:r>
        <w:t xml:space="preserve"> </w:t>
      </w:r>
      <w:r>
        <w:t xml:space="preserve">proof = PASS at</w:t>
      </w:r>
      <w:r>
        <w:t xml:space="preserve"> </w:t>
      </w:r>
      <w:r>
        <w:rPr>
          <w:rStyle w:val="VerbatimChar"/>
        </w:rPr>
        <w:t xml:space="preserve">-count=3</w:t>
      </w:r>
      <w:r>
        <w:t xml:space="preserve"> </w:t>
      </w:r>
      <w:r>
        <w:t xml:space="preserve">consecutive automated invocations with</w:t>
      </w:r>
      <w:r>
        <w:t xml:space="preserve"> </w:t>
      </w:r>
      <w:r>
        <w:t xml:space="preserve">self-cleaning state. Manual-dependency tests not rewritten within 30</w:t>
      </w:r>
      <w:r>
        <w:t xml:space="preserve"> </w:t>
      </w:r>
      <w:r>
        <w:t xml:space="preserve">days graduate to §11.4.90 Obsolete citing §11.4.98 as the reason.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§11.4.98 (6828ff2).</w:t>
      </w:r>
    </w:p>
    <w:bookmarkEnd w:id="34"/>
    <w:bookmarkStart w:id="35" w:name="X9e3bf6e3065cf8b59298db9cec2d5f1bf9a288e"/>
    <w:p>
      <w:pPr>
        <w:pStyle w:val="Heading3"/>
      </w:pPr>
      <w:r>
        <w:t xml:space="preserve">§11.4.99 — Latest-Source Documentation Cross-Reference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§11.4.99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9e3bcc5</w:t>
      </w:r>
      <w:r>
        <w:t xml:space="preserve"> </w:t>
      </w:r>
      <w:r>
        <w:t xml:space="preserve">ff 2026-05-28). Before committing any operator-facing</w:t>
      </w:r>
      <w:r>
        <w:t xml:space="preserve"> </w:t>
      </w:r>
      <w:r>
        <w:t xml:space="preserve">instruction / guide / manual / setup walkthrough / troubleshooting</w:t>
      </w:r>
      <w:r>
        <w:t xml:space="preserve"> </w:t>
      </w:r>
      <w:r>
        <w:t xml:space="preserve">cookbook / API how-to, the author MUST cross-reference each instruction</w:t>
      </w:r>
      <w:r>
        <w:t xml:space="preserve"> </w:t>
      </w:r>
      <w:r>
        <w:t xml:space="preserve">against the LATEST official online documentation of the service /</w:t>
      </w:r>
      <w:r>
        <w:t xml:space="preserve"> </w:t>
      </w:r>
      <w:r>
        <w:t xml:space="preserve">library being documented via WebFetch / MCP / direct browsing — NOT</w:t>
      </w:r>
      <w:r>
        <w:t xml:space="preserve"> </w:t>
      </w:r>
      <w:r>
        <w:t xml:space="preserve">training data. A</w:t>
      </w:r>
      <w:r>
        <w:t xml:space="preserve"> </w:t>
      </w:r>
      <w:r>
        <w:rPr>
          <w:rStyle w:val="VerbatimChar"/>
        </w:rPr>
        <w:t xml:space="preserve">## Sources verified &lt;date&gt;</w:t>
      </w:r>
      <w:r>
        <w:t xml:space="preserve"> </w:t>
      </w:r>
      <w:r>
        <w:t xml:space="preserve">section in the doc and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Sources verified &lt;date&gt;: &lt;urls&gt;</w:t>
      </w:r>
      <w:r>
        <w:t xml:space="preserve"> </w:t>
      </w:r>
      <w:r>
        <w:t xml:space="preserve">footer in the commit message are</w:t>
      </w:r>
      <w:r>
        <w:t xml:space="preserve"> </w:t>
      </w:r>
      <w:r>
        <w:t xml:space="preserve">MANDATORY. Re-verification cadence: every major-release boundary; ≤ 6</w:t>
      </w:r>
      <w:r>
        <w:t xml:space="preserve"> </w:t>
      </w:r>
      <w:r>
        <w:t xml:space="preserve">months for general docs; ≤ 90 days for risk-classified service families</w:t>
      </w:r>
      <w:r>
        <w:t xml:space="preserve"> </w:t>
      </w:r>
      <w:r>
        <w:t xml:space="preserve">(messengers, cloud APIs, payments, LLM/AI providers, code-hosting,</w:t>
      </w:r>
      <w:r>
        <w:t xml:space="preserve"> </w:t>
      </w:r>
      <w:r>
        <w:t xml:space="preserve">OS/package managers). Stale docs → §11.4.90 Obsolete after the 30-day</w:t>
      </w:r>
      <w:r>
        <w:t xml:space="preserve"> </w:t>
      </w:r>
      <w:r>
        <w:t xml:space="preserve">grace window.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§11.4.99 (</w:t>
      </w:r>
      <w:r>
        <w:rPr>
          <w:rStyle w:val="VerbatimChar"/>
        </w:rPr>
        <w:t xml:space="preserve">9e3bcc5</w:t>
      </w:r>
      <w:r>
        <w:t xml:space="preserve">). Forensic anchor: Herald MTProto</w:t>
      </w:r>
      <w:r>
        <w:t xml:space="preserve"> </w:t>
      </w:r>
      <w:r>
        <w:t xml:space="preserve">guide near-miss case study where stale guidance could have caused a</w:t>
      </w:r>
      <w:r>
        <w:t xml:space="preserve"> </w:t>
      </w:r>
      <w:r>
        <w:t xml:space="preserve">Telegram account ban.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Project Constitution governs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vasic-digital/tmux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repository.</w:t>
      </w:r>
      <w:r>
        <w:rPr>
          <w:i/>
          <w:iCs/>
        </w:rPr>
        <w:t xml:space="preserve"> </w:t>
      </w:r>
      <w:r>
        <w:rPr>
          <w:i/>
          <w:iCs/>
        </w:rPr>
        <w:t xml:space="preserve">It is subordinate to and extends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constitution/Constitution.md</w:t>
      </w:r>
      <w:r>
        <w:rPr>
          <w:i/>
          <w:iCs/>
        </w:rP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onstitution/Constitu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onstitution/Constitu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Constitution</dc:title>
  <dc:creator/>
  <cp:keywords/>
  <dcterms:created xsi:type="dcterms:W3CDTF">2026-05-28T11:13:51Z</dcterms:created>
  <dcterms:modified xsi:type="dcterms:W3CDTF">2026-05-28T11:13:51Z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