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heading_grammar_gate</w:t>
      </w:r>
    </w:p>
    <w:bookmarkStart w:id="25" w:name="Xc8a7384f961bcfdc581bb9f43fc4ee485d901a1"/>
    <w:p>
      <w:pPr>
        <w:pStyle w:val="Heading1"/>
      </w:pPr>
      <w:r>
        <w:t xml:space="preserve">heading_grammar_gate.sh — tracker heading code-bearing guard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2026-09-01T20:48:54Z</w:t>
      </w:r>
    </w:p>
    <w:p>
      <w:pPr>
        <w:pStyle w:val="BodyText"/>
      </w:pPr>
      <w:r>
        <w:t xml:space="preserve">Companion guide (§11.4.18) for</w:t>
      </w:r>
      <w:r>
        <w:t xml:space="preserve"> </w:t>
      </w:r>
      <w:r>
        <w:rPr>
          <w:rStyle w:val="VerbatimChar"/>
        </w:rPr>
        <w:t xml:space="preserve">scripts/testing/heading_grammar_gate.sh</w:t>
      </w:r>
      <w:r>
        <w:t xml:space="preserve"> </w:t>
      </w:r>
      <w:r>
        <w:t xml:space="preserve">and</w:t>
      </w:r>
      <w:r>
        <w:t xml:space="preserve"> </w:t>
      </w:r>
      <w:r>
        <w:t xml:space="preserve">its paired test</w:t>
      </w:r>
      <w:r>
        <w:t xml:space="preserve"> </w:t>
      </w:r>
      <w:r>
        <w:rPr>
          <w:rStyle w:val="VerbatimChar"/>
        </w:rPr>
        <w:t xml:space="preserve">scripts/testing/heading_grammar_gate_test.sh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§11.4.135 permanent regression guard for one captured defect class: a</w:t>
      </w:r>
      <w:r>
        <w:t xml:space="preserve"> </w:t>
      </w:r>
      <w:r>
        <w:rPr>
          <w:rStyle w:val="VerbatimChar"/>
        </w:rPr>
        <w:t xml:space="preserve">### </w:t>
      </w:r>
      <w:r>
        <w:t xml:space="preserve"> </w:t>
      </w:r>
      <w:r>
        <w:t xml:space="preserve">item heading in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that carries</w:t>
      </w:r>
      <w:r>
        <w:t xml:space="preserve"> </w:t>
      </w:r>
      <w:r>
        <w:rPr>
          <w:b/>
          <w:bCs/>
        </w:rPr>
        <w:t xml:space="preserve">no block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cmd/workable-items/parser.go</w:t>
      </w:r>
      <w:r>
        <w:t xml:space="preserve"> </w:t>
      </w:r>
      <w:r>
        <w:t xml:space="preserve">reads an item heading with exactly this</w:t>
      </w:r>
      <w:r>
        <w:t xml:space="preserve"> </w:t>
      </w:r>
      <w:r>
        <w:t xml:space="preserve">grammar:</w:t>
      </w:r>
    </w:p>
    <w:p>
      <w:pPr>
        <w:pStyle w:val="SourceCode"/>
      </w:pPr>
      <w:r>
        <w:rPr>
          <w:rStyle w:val="VerbatimChar"/>
        </w:rPr>
        <w:t xml:space="preserve">^###\s+([A-Z])(\d+)(?:\.\s+|\s+)(\S.*)$</w:t>
      </w:r>
    </w:p>
    <w:p>
      <w:pPr>
        <w:pStyle w:val="FirstParagraph"/>
      </w:pPr>
      <w:r>
        <w:t xml:space="preserve">— one uppercase letter, at least one digit, then either</w:t>
      </w:r>
      <w:r>
        <w:t xml:space="preserve"> </w:t>
      </w:r>
      <w:r>
        <w:rPr>
          <w:rStyle w:val="VerbatimChar"/>
        </w:rPr>
        <w:t xml:space="preserve">. 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 </w:t>
      </w:r>
      <w:r>
        <w:t xml:space="preserve">, then a</w:t>
      </w:r>
      <w:r>
        <w:t xml:space="preserve"> </w:t>
      </w:r>
      <w:r>
        <w:t xml:space="preserve">non-blank title. A</w:t>
      </w:r>
      <w:r>
        <w:t xml:space="preserve"> </w:t>
      </w:r>
      <w:r>
        <w:rPr>
          <w:rStyle w:val="VerbatimChar"/>
        </w:rPr>
        <w:t xml:space="preserve">### </w:t>
      </w:r>
      <w:r>
        <w:t xml:space="preserve"> </w:t>
      </w:r>
      <w:r>
        <w:t xml:space="preserve">line that does not match is</w:t>
      </w:r>
      <w:r>
        <w:t xml:space="preserve"> </w:t>
      </w:r>
      <w:r>
        <w:rPr>
          <w:b/>
          <w:bCs/>
        </w:rPr>
        <w:t xml:space="preserve">not skipped</w:t>
      </w:r>
      <w:r>
        <w:rPr>
          <w:b/>
          <w:bCs/>
        </w:rPr>
        <w:t xml:space="preserve"> </w:t>
      </w:r>
      <w:r>
        <w:rPr>
          <w:b/>
          <w:bCs/>
        </w:rPr>
        <w:t xml:space="preserve">harmlessly</w:t>
      </w:r>
      <w:r>
        <w:t xml:space="preserve">: the parser keeps walking, so everything under that heading —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**Status:**</w:t>
      </w:r>
      <w:r>
        <w:t xml:space="preserve">, its</w:t>
      </w:r>
      <w:r>
        <w:t xml:space="preserve"> </w:t>
      </w:r>
      <w:r>
        <w:rPr>
          <w:rStyle w:val="VerbatimChar"/>
        </w:rPr>
        <w:t xml:space="preserve">**Type:**</w:t>
      </w:r>
      <w:r>
        <w:t xml:space="preserve">, its whole body — is absorbed into the</w:t>
      </w:r>
      <w:r>
        <w:t xml:space="preserve"> </w:t>
      </w:r>
      <w:r>
        <w:rPr>
          <w:rStyle w:val="VerbatimChar"/>
        </w:rPr>
        <w:t xml:space="preserve">raw_body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preceding coded block</w:t>
      </w:r>
      <w:r>
        <w:t xml:space="preserve">. The item then has no row, no</w:t>
      </w:r>
      <w:r>
        <w:t xml:space="preserve"> </w:t>
      </w:r>
      <w:r>
        <w:rPr>
          <w:rStyle w:val="VerbatimChar"/>
        </w:rPr>
        <w:t xml:space="preserve">TMX-ID</w:t>
      </w:r>
      <w:r>
        <w:t xml:space="preserve">, no status of its own, and cannot be reported on, closed, or</w:t>
      </w:r>
      <w:r>
        <w:t xml:space="preserve"> </w:t>
      </w:r>
      <w:r>
        <w:t xml:space="preserve">validated. It is invisible to the SQLite single source of truth (§11.4.93)</w:t>
      </w:r>
      <w:r>
        <w:t xml:space="preserve"> </w:t>
      </w:r>
      <w:r>
        <w:t xml:space="preserve">while still</w:t>
      </w:r>
      <w:r>
        <w:t xml:space="preserve"> </w:t>
      </w:r>
      <w:r>
        <w:rPr>
          <w:i/>
          <w:iCs/>
        </w:rPr>
        <w:t xml:space="preserve">looking</w:t>
      </w:r>
      <w:r>
        <w:t xml:space="preserve"> </w:t>
      </w:r>
      <w:r>
        <w:t xml:space="preserve">like a tracked item to a human reader.</w:t>
      </w:r>
    </w:p>
    <w:bookmarkStart w:id="9" w:name="the-three-captured-instances-2026-09-01"/>
    <w:p>
      <w:pPr>
        <w:pStyle w:val="Heading3"/>
      </w:pPr>
      <w:r>
        <w:t xml:space="preserve">The three captured instances (2026-09-01)</w:t>
      </w:r>
    </w:p>
    <w:p>
      <w:pPr>
        <w:pStyle w:val="FirstParagraph"/>
      </w:pPr>
      <w:r>
        <w:t xml:space="preserve">One architectural root cause — the tracker grammar never</w:t>
      </w:r>
      <w:r>
        <w:t xml:space="preserve"> </w:t>
      </w:r>
      <w:r>
        <w:rPr>
          <w:i/>
          <w:iCs/>
        </w:rPr>
        <w:t xml:space="preserve">required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### </w:t>
      </w:r>
      <w:r>
        <w:t xml:space="preserve"> </w:t>
      </w:r>
      <w:r>
        <w:t xml:space="preserve">heading to carry a block code — reached by three unrelated triggers: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Heading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Absorbed into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M24-ESCAPE-001 — …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record hand-written into the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 </w:t>
            </w:r>
            <w:r>
              <w:t xml:space="preserve">tracker — a §11.4.19 atomic-migration miss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 TMPDIR-HARDCODE-001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TMX-051 — Per-session color …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89324dc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ATM-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TMX-</w:t>
            </w:r>
            <w:r>
              <w:t xml:space="preserve"> </w:t>
            </w:r>
            <w:r>
              <w:t xml:space="preserve">ticket-prefix migration, rewrote a heading whose text</w:t>
            </w:r>
            <w:r>
              <w:t xml:space="preserve"> </w:t>
            </w:r>
            <w:r>
              <w:rPr>
                <w:i/>
                <w:iCs/>
              </w:rPr>
              <w:t xml:space="preserve">happened</w:t>
            </w:r>
            <w:r>
              <w:t xml:space="preserve"> </w:t>
            </w:r>
            <w:r>
              <w:t xml:space="preserve">to begin with a ticket-id literal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NEZHA-INSTALL-v1.0.26-001 (closed) — …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7aefdf2</w:t>
            </w:r>
            <w:r>
              <w:t xml:space="preserve">, a §12.10 doc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D1.</w:t>
            </w:r>
          </w:p>
        </w:tc>
      </w:tr>
    </w:tbl>
    <w:p>
      <w:pPr>
        <w:pStyle w:val="BodyText"/>
      </w:pPr>
      <w:r>
        <w:t xml:space="preserve">Instance 2 is the sharpest illustration that the leading literal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binding.</w:t>
      </w:r>
      <w:r>
        <w:t xml:space="preserve"> </w:t>
      </w:r>
      <w:r>
        <w:rPr>
          <w:rStyle w:val="VerbatimChar"/>
        </w:rPr>
        <w:t xml:space="preserve">TMX-051</w:t>
      </w:r>
      <w:r>
        <w:t xml:space="preserve"> </w:t>
      </w:r>
      <w:r>
        <w:t xml:space="preserve">is the id of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item (</w:t>
      </w:r>
      <w:r>
        <w:rPr>
          <w:rStyle w:val="VerbatimChar"/>
        </w:rPr>
        <w:t xml:space="preserve">A43</w:t>
      </w:r>
      <w:r>
        <w:t xml:space="preserve">, "Copy/paste:</w:t>
      </w:r>
      <w:r>
        <w:t xml:space="preserve"> </w:t>
      </w:r>
      <w:r>
        <w:t xml:space="preserve">terminal owns the mouse by default"); the colour block simply carried the</w:t>
      </w:r>
      <w:r>
        <w:t xml:space="preserve"> </w:t>
      </w:r>
      <w:r>
        <w:t xml:space="preserve">string. Measured with</w:t>
      </w:r>
      <w:r>
        <w:t xml:space="preserve"> </w:t>
      </w:r>
      <w:r>
        <w:rPr>
          <w:rStyle w:val="VerbatimChar"/>
        </w:rPr>
        <w:t xml:space="preserve">workable-items report</w:t>
      </w:r>
      <w:r>
        <w:t xml:space="preserve">: 95 rows existed and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the three blocks had one.</w:t>
      </w:r>
    </w:p>
    <w:p>
      <w:pPr>
        <w:pStyle w:val="BodyText"/>
      </w:pPr>
      <w:r>
        <w:t xml:space="preserve">Measured absorption, before and after the repair:</w:t>
      </w:r>
    </w:p>
    <w:p>
      <w:pPr>
        <w:pStyle w:val="SourceCode"/>
      </w:pPr>
      <w:r>
        <w:rPr>
          <w:rStyle w:val="VerbatimChar"/>
        </w:rPr>
        <w:t xml:space="preserve">PRE : D1. block spans 7703 chars; contains 'Per-session color'=True  'nezha'=True</w:t>
      </w:r>
      <w:r>
        <w:br/>
      </w:r>
      <w:r>
        <w:rPr>
          <w:rStyle w:val="VerbatimChar"/>
        </w:rPr>
        <w:t xml:space="preserve">POST: D1. block spans 2200 chars; contains 'Per-session color'=False 'nezha'=False</w:t>
      </w:r>
      <w:r>
        <w:br/>
      </w:r>
      <w:r>
        <w:br/>
      </w:r>
      <w:r>
        <w:rPr>
          <w:rStyle w:val="VerbatimChar"/>
        </w:rPr>
        <w:t xml:space="preserve">md-to-db BEFORE: fixed_parsed=83 inserted=0 allocated=0</w:t>
      </w:r>
      <w:r>
        <w:br/>
      </w:r>
      <w:r>
        <w:rPr>
          <w:rStyle w:val="VerbatimChar"/>
        </w:rPr>
        <w:t xml:space="preserve">md-to-db AFTER : fixed_parsed=86 inserted=3 allocated=3   → TMX-096/097/098</w:t>
      </w:r>
    </w:p>
    <w:bookmarkEnd w:id="9"/>
    <w:bookmarkStart w:id="10" w:name="why-nothing-existing-caught-it"/>
    <w:p>
      <w:pPr>
        <w:pStyle w:val="Heading3"/>
      </w:pPr>
      <w:r>
        <w:t xml:space="preserve">Why nothing existing caught it</w:t>
      </w:r>
    </w:p>
    <w:p>
      <w:pPr>
        <w:pStyle w:val="FirstParagraph"/>
      </w:pPr>
      <w:r>
        <w:t xml:space="preserve">Every other check in this repo reasons about blocks the parser</w:t>
      </w:r>
      <w:r>
        <w:t xml:space="preserve"> </w:t>
      </w:r>
      <w:r>
        <w:rPr>
          <w:b/>
          <w:bCs/>
        </w:rPr>
        <w:t xml:space="preserve">already</w:t>
      </w:r>
      <w:r>
        <w:rPr>
          <w:b/>
          <w:bCs/>
        </w:rPr>
        <w:t xml:space="preserve"> </w:t>
      </w:r>
      <w:r>
        <w:rPr>
          <w:b/>
          <w:bCs/>
        </w:rPr>
        <w:t xml:space="preserve">sees</w:t>
      </w:r>
      <w:r>
        <w:t xml:space="preserve">. To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 to the</w:t>
      </w:r>
      <w:r>
        <w:t xml:space="preserve"> </w:t>
      </w:r>
      <w:r>
        <w:rPr>
          <w:rStyle w:val="VerbatimChar"/>
        </w:rPr>
        <w:t xml:space="preserve">md-to-db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db-to-md</w:t>
      </w:r>
      <w:r>
        <w:t xml:space="preserve"> </w:t>
      </w:r>
      <w:r>
        <w:t xml:space="preserve">round trip, to</w:t>
      </w:r>
      <w:r>
        <w:t xml:space="preserve"> </w:t>
      </w:r>
      <w:r>
        <w:rPr>
          <w:rStyle w:val="VerbatimChar"/>
        </w:rPr>
        <w:t xml:space="preserve">scripts/tests/51_workable_items_db_integrity.sh</w:t>
      </w:r>
      <w:r>
        <w:t xml:space="preserve">, and to the sibling</w:t>
      </w:r>
      <w:r>
        <w:t xml:space="preserve"> </w:t>
      </w:r>
      <w:r>
        <w:rPr>
          <w:rStyle w:val="VerbatimChar"/>
        </w:rPr>
        <w:t xml:space="preserve">tracker_structural_integrity.sh</w:t>
      </w:r>
      <w:r>
        <w:t xml:space="preserve">, a heading the parser skips is</w:t>
      </w:r>
      <w:r>
        <w:t xml:space="preserve"> </w:t>
      </w:r>
      <w:r>
        <w:rPr>
          <w:i/>
          <w:iCs/>
        </w:rPr>
        <w:t xml:space="preserve">not a</w:t>
      </w:r>
      <w:r>
        <w:rPr>
          <w:i/>
          <w:iCs/>
        </w:rPr>
        <w:t xml:space="preserve"> </w:t>
      </w:r>
      <w:r>
        <w:rPr>
          <w:i/>
          <w:iCs/>
        </w:rPr>
        <w:t xml:space="preserve">heading at all</w:t>
      </w:r>
      <w:r>
        <w:t xml:space="preserve"> </w:t>
      </w:r>
      <w:r>
        <w:t xml:space="preserve">— so a corpus with three invisible items and a corpus with</w:t>
      </w:r>
      <w:r>
        <w:t xml:space="preserve"> </w:t>
      </w:r>
      <w:r>
        <w:t xml:space="preserve">none return the identical quiet zero. That is the §11.4.201(6)</w:t>
      </w:r>
      <w:r>
        <w:t xml:space="preserve"> </w:t>
      </w:r>
      <w:r>
        <w:rPr>
          <w:b/>
          <w:bCs/>
        </w:rPr>
        <w:t xml:space="preserve">false</w:t>
      </w:r>
      <w:r>
        <w:rPr>
          <w:b/>
          <w:bCs/>
        </w:rPr>
        <w:t xml:space="preserve"> </w:t>
      </w:r>
      <w:r>
        <w:rPr>
          <w:b/>
          <w:bCs/>
        </w:rPr>
        <w:t xml:space="preserve">null</w:t>
      </w:r>
      <w:r>
        <w:t xml:space="preserve">. This gate is the only one that asserts on the raw document grammar,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parser's own filter has a chance to hide the defect.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awk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(POSIX). Nothing else — no</w:t>
      </w:r>
      <w:r>
        <w:t xml:space="preserve"> </w:t>
      </w:r>
      <w:r>
        <w:rPr>
          <w:rStyle w:val="VerbatimChar"/>
        </w:rPr>
        <w:t xml:space="preserve">git</w:t>
      </w:r>
      <w:r>
        <w:t xml:space="preserve">, no network, no build,</w:t>
      </w:r>
      <w:r>
        <w:t xml:space="preserve"> </w:t>
      </w:r>
      <w:r>
        <w:t xml:space="preserve">no database.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to invoke it. The script itself is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clean as well</w:t>
      </w:r>
      <w:r>
        <w:t xml:space="preserve"> </w:t>
      </w:r>
      <w:r>
        <w:t xml:space="preserve">(§11.4.67): no arrays, no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, no here-strings, no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writable</w:t>
      </w:r>
      <w:r>
        <w:t xml:space="preserve"> </w:t>
      </w:r>
      <w:r>
        <w:rPr>
          <w:rStyle w:val="VerbatimChar"/>
        </w:rPr>
        <w:t xml:space="preserve">${TMPDIR:-/tmp}</w:t>
      </w:r>
      <w:r>
        <w:t xml:space="preserve">. The scratch directory is honoured from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 </w:t>
      </w:r>
      <w:r>
        <w:t xml:space="preserve">and never hardcoded to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— the defect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rPr>
          <w:rStyle w:val="VerbatimChar"/>
        </w:rPr>
        <w:t xml:space="preserve">D2</w:t>
      </w:r>
      <w:r>
        <w:t xml:space="preserve"> </w:t>
      </w:r>
      <w:r>
        <w:t xml:space="preserve">(</w:t>
      </w:r>
      <w:r>
        <w:rPr>
          <w:rStyle w:val="VerbatimChar"/>
        </w:rPr>
        <w:t xml:space="preserve">TMPDIR-HARDCODE-001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TMX-092</w:t>
      </w:r>
      <w:r>
        <w:t xml:space="preserve">) records why.</w:t>
      </w:r>
    </w:p>
    <w:p>
      <w:r>
        <w:pict>
          <v:rect style="width:0;height:1.5pt" o:hralign="center" o:hrstd="t" o:hr="t"/>
        </w:pict>
      </w:r>
    </w:p>
    <w:bookmarkEnd w:id="12"/>
    <w:bookmarkStart w:id="15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default: Issues.md + Fixed.md at the repo root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scripts/testing/heading_grammar_gate.sh</w:t>
      </w:r>
      <w:r>
        <w:br/>
      </w:r>
      <w:r>
        <w:br/>
      </w:r>
      <w:r>
        <w:rPr>
          <w:rStyle w:val="CommentTok"/>
        </w:rPr>
        <w:t xml:space="preserve"># explicit files (repeatable; absolute or repo-root-relative)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scripts/testing/heading_grammar_gate.sh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Issues.md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Fixed.md</w:t>
      </w:r>
      <w:r>
        <w:br/>
      </w:r>
      <w:r>
        <w:br/>
      </w:r>
      <w:r>
        <w:rPr>
          <w:rStyle w:val="CommentTok"/>
        </w:rPr>
        <w:t xml:space="preserve"># suppress the per-file inventory line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scripts/testing/heading_grammar_gate.sh </w:t>
      </w:r>
      <w:r>
        <w:rPr>
          <w:rStyle w:val="AttributeTok"/>
        </w:rPr>
        <w:t xml:space="preserve">--quiet</w:t>
      </w:r>
      <w:r>
        <w:br/>
      </w:r>
      <w:r>
        <w:br/>
      </w:r>
      <w:r>
        <w:rPr>
          <w:rStyle w:val="CommentTok"/>
        </w:rPr>
        <w:t xml:space="preserve"># the header itself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scripts/testing/heading_grammar_gate.sh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Exit codes: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= PASS or SKIP-with-reason,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= FAIL (at least one</w:t>
      </w:r>
      <w:r>
        <w:t xml:space="preserve"> </w:t>
      </w:r>
      <w:r>
        <w:t xml:space="preserve">code-less heading). A SKIP always prints its reason and is never silently</w:t>
      </w:r>
      <w:r>
        <w:t xml:space="preserve"> </w:t>
      </w:r>
      <w:r>
        <w:t xml:space="preserve">counted as a pass (§11.4.3).</w:t>
      </w:r>
    </w:p>
    <w:bookmarkStart w:id="13" w:name="output"/>
    <w:p>
      <w:pPr>
        <w:pStyle w:val="Heading3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[evidence heading-grammar] control needle: 3 synthetic headings pushed through the SAME scanner → seen=3 coded=2 code-less=1 (expected seen=3 coded=2 code-less=1)</w:t>
      </w:r>
      <w:r>
        <w:br/>
      </w:r>
      <w:r>
        <w:rPr>
          <w:rStyle w:val="VerbatimChar"/>
        </w:rPr>
        <w:t xml:space="preserve">[evidence heading-grammar] Issues.md: scanner SEES headings=10 coded=10 code-less=0</w:t>
      </w:r>
      <w:r>
        <w:br/>
      </w:r>
      <w:r>
        <w:rPr>
          <w:rStyle w:val="VerbatimChar"/>
        </w:rPr>
        <w:t xml:space="preserve">PASS heading-grammar: G1 Issues.md — all 10 `### ` heading(s) carry a parser-readable block code</w:t>
      </w:r>
      <w:r>
        <w:br/>
      </w:r>
      <w:r>
        <w:rPr>
          <w:rStyle w:val="VerbatimChar"/>
        </w:rPr>
        <w:t xml:space="preserve">[evidence heading-grammar] Fixed.md: scanner SEES headings=86 coded=86 code-less=0</w:t>
      </w:r>
      <w:r>
        <w:br/>
      </w:r>
      <w:r>
        <w:rPr>
          <w:rStyle w:val="VerbatimChar"/>
        </w:rPr>
        <w:t xml:space="preserve">PASS heading-grammar: G1 Fixed.md — all 86 `### ` heading(s) carry a parser-readable block code</w:t>
      </w:r>
      <w:r>
        <w:br/>
      </w:r>
      <w:r>
        <w:rPr>
          <w:rStyle w:val="VerbatimChar"/>
        </w:rPr>
        <w:t xml:space="preserve">── summary heading-grammar: PASS=2 FAIL=0 SKIP=0 ──</w:t>
      </w:r>
    </w:p>
    <w:p>
      <w:pPr>
        <w:pStyle w:val="FirstParagraph"/>
      </w:pPr>
      <w:r>
        <w:t xml:space="preserve">On a refusal, every offender is printed with</w:t>
      </w:r>
      <w:r>
        <w:t xml:space="preserve"> </w:t>
      </w:r>
      <w:r>
        <w:rPr>
          <w:b/>
          <w:bCs/>
        </w:rPr>
        <w:t xml:space="preserve">resolved evidence</w:t>
      </w:r>
      <w:r>
        <w:t xml:space="preserve"> </w:t>
      </w:r>
      <w:r>
        <w:t xml:space="preserve">(§11.4.201(5)) — the exact path, line number, and heading text — so the</w:t>
      </w:r>
      <w:r>
        <w:t xml:space="preserve"> </w:t>
      </w:r>
      <w:r>
        <w:t xml:space="preserve">finding is actionable in one step:</w:t>
      </w:r>
    </w:p>
    <w:p>
      <w:pPr>
        <w:pStyle w:val="SourceCode"/>
      </w:pPr>
      <w:r>
        <w:rPr>
          <w:rStyle w:val="VerbatimChar"/>
        </w:rPr>
        <w:t xml:space="preserve">[evidence heading-grammar] OFFENDER /…/Fixed.md:2835: ### TMX-051 — Per-session color via `name:color[:ignored]`</w:t>
      </w:r>
      <w:r>
        <w:br/>
      </w:r>
      <w:r>
        <w:rPr>
          <w:rStyle w:val="VerbatimChar"/>
        </w:rPr>
        <w:t xml:space="preserve">FAIL heading-grammar: G1 Fixed.md — 2 of 85 `### ` heading(s) carry NO block code, …</w:t>
      </w:r>
    </w:p>
    <w:bookmarkEnd w:id="13"/>
    <w:bookmarkStart w:id="14" w:name="fixing-a-finding"/>
    <w:p>
      <w:pPr>
        <w:pStyle w:val="Heading3"/>
      </w:pPr>
      <w:r>
        <w:t xml:space="preserve">Fixing a finding</w:t>
      </w:r>
    </w:p>
    <w:p>
      <w:pPr>
        <w:pStyle w:val="FirstParagraph"/>
      </w:pPr>
      <w:r>
        <w:t xml:space="preserve">Give the heading a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rPr>
          <w:rStyle w:val="VerbatimChar"/>
        </w:rPr>
        <w:t xml:space="preserve">&lt;LETTER&gt;&lt;DIGITS&gt;</w:t>
      </w:r>
      <w:r>
        <w:t xml:space="preserve"> </w:t>
      </w:r>
      <w:r>
        <w:t xml:space="preserve">code. Both forms are valid</w:t>
      </w:r>
      <w:r>
        <w:t xml:space="preserve"> </w:t>
      </w:r>
      <w:r>
        <w:t xml:space="preserve">and the gate accepts either:</w:t>
      </w:r>
    </w:p>
    <w:p>
      <w:pPr>
        <w:pStyle w:val="SourceCode"/>
      </w:pPr>
      <w:r>
        <w:rPr>
          <w:rStyle w:val="FunctionTok"/>
        </w:rPr>
        <w:t xml:space="preserve">### D2. Per-session color via `name:color[:ignored]` — `IMPLEMENTED`   ← period form</w:t>
      </w:r>
      <w:r>
        <w:br/>
      </w:r>
      <w:r>
        <w:rPr>
          <w:rStyle w:val="FunctionTok"/>
        </w:rPr>
        <w:t xml:space="preserve">### B54 M24-ESCAPE-001 — meta-test M24 … — `FIXED`                     ← space form</w:t>
      </w:r>
    </w:p>
    <w:p>
      <w:pPr>
        <w:pStyle w:val="FirstParagraph"/>
      </w:pPr>
      <w:r>
        <w:t xml:space="preserve">Then add a</w:t>
      </w:r>
      <w:r>
        <w:t xml:space="preserve"> </w:t>
      </w:r>
      <w:r>
        <w:rPr>
          <w:rStyle w:val="VerbatimChar"/>
        </w:rPr>
        <w:t xml:space="preserve">**TMX-ID:**</w:t>
      </w:r>
      <w:r>
        <w:t xml:space="preserve"> </w:t>
      </w:r>
      <w:r>
        <w:t xml:space="preserve">line so the binding is explicit rather than</w:t>
      </w:r>
      <w:r>
        <w:t xml:space="preserve"> </w:t>
      </w:r>
      <w:r>
        <w:t xml:space="preserve">allocation-order dependent, and — if the block carries a terminal status —</w:t>
      </w:r>
      <w:r>
        <w:t xml:space="preserve"> </w:t>
      </w:r>
      <w:r>
        <w:t xml:space="preserve">make sure it lives in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(§11.4.19). Free codes are</w:t>
      </w:r>
      <w:r>
        <w:t xml:space="preserve"> </w:t>
      </w:r>
      <w:r>
        <w:t xml:space="preserve">found by listing the existing ones per file: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'^### [A-Z][0-9]+'</w:t>
      </w:r>
      <w:r>
        <w:rPr>
          <w:rStyle w:val="NormalTok"/>
        </w:rPr>
        <w:t xml:space="preserve"> Fixed.md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</w:p>
    <w:p>
      <w:pPr>
        <w:pStyle w:val="FirstParagraph"/>
      </w:pPr>
      <w:r>
        <w:t xml:space="preserve">Block codes are a</w:t>
      </w:r>
      <w:r>
        <w:t xml:space="preserve"> </w:t>
      </w:r>
      <w:r>
        <w:rPr>
          <w:b/>
          <w:bCs/>
        </w:rPr>
        <w:t xml:space="preserve">per-file</w:t>
      </w:r>
      <w:r>
        <w:t xml:space="preserve"> </w:t>
      </w:r>
      <w:r>
        <w:t xml:space="preserve">namespace: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both</w:t>
      </w:r>
      <w:r>
        <w:t xml:space="preserve"> </w:t>
      </w:r>
      <w:r>
        <w:t xml:space="preserve">legitimately carry an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I1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dge-cases"/>
    <w:p>
      <w:pPr>
        <w:pStyle w:val="Heading2"/>
      </w:pPr>
      <w:r>
        <w:t xml:space="preserve">Edge cases</w:t>
      </w:r>
    </w:p>
    <w:p>
      <w:pPr>
        <w:pStyle w:val="FirstParagraph"/>
      </w:pPr>
      <w:r>
        <w:t xml:space="preserve">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flagged — a false-positive refusal is a FAIL-bluff</w:t>
      </w:r>
      <w:r>
        <w:t xml:space="preserve"> </w:t>
      </w:r>
      <w:r>
        <w:t xml:space="preserve">exactly as a false-negative pass is a PASS-bluff (§11.4.201(1)):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A7. Title</w:t>
            </w:r>
          </w:p>
        </w:tc>
        <w:tc>
          <w:tcPr/>
          <w:p>
            <w:pPr>
              <w:pStyle w:val="Compact"/>
            </w:pPr>
            <w:r>
              <w:t xml:space="preserve">coded</w:t>
            </w:r>
          </w:p>
        </w:tc>
        <w:tc>
          <w:tcPr/>
          <w:p>
            <w:pPr>
              <w:pStyle w:val="Compact"/>
            </w:pPr>
            <w:r>
              <w:t xml:space="preserve">period form, the parser's</w:t>
            </w:r>
            <w:r>
              <w:t xml:space="preserve"> </w:t>
            </w:r>
            <w:r>
              <w:rPr>
                <w:rStyle w:val="VerbatimChar"/>
              </w:rPr>
              <w:t xml:space="preserve">\.\s+</w:t>
            </w:r>
            <w:r>
              <w:t xml:space="preserve"> </w:t>
            </w:r>
            <w:r>
              <w:t xml:space="preserve">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G5 Title</w:t>
            </w:r>
          </w:p>
        </w:tc>
        <w:tc>
          <w:tcPr/>
          <w:p>
            <w:pPr>
              <w:pStyle w:val="Compact"/>
            </w:pPr>
            <w:r>
              <w:t xml:space="preserve">coded</w:t>
            </w:r>
          </w:p>
        </w:tc>
        <w:tc>
          <w:tcPr/>
          <w:p>
            <w:pPr>
              <w:pStyle w:val="Compact"/>
            </w:pPr>
            <w:r>
              <w:t xml:space="preserve">space form, the parser's</w:t>
            </w:r>
            <w:r>
              <w:t xml:space="preserve"> </w:t>
            </w:r>
            <w:r>
              <w:rPr>
                <w:rStyle w:val="VerbatimChar"/>
              </w:rPr>
              <w:t xml:space="preserve">\s+</w:t>
            </w:r>
            <w:r>
              <w:t xml:space="preserve"> </w:t>
            </w:r>
            <w:r>
              <w:t xml:space="preserve">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B123 Title</w:t>
            </w:r>
          </w:p>
        </w:tc>
        <w:tc>
          <w:tcPr/>
          <w:p>
            <w:pPr>
              <w:pStyle w:val="Compact"/>
            </w:pPr>
            <w:r>
              <w:t xml:space="preserve">coded</w:t>
            </w:r>
          </w:p>
        </w:tc>
        <w:tc>
          <w:tcPr/>
          <w:p>
            <w:pPr>
              <w:pStyle w:val="Compact"/>
            </w:pPr>
            <w:r>
              <w:t xml:space="preserve">multi-digit ordinals are fine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D. Section</w:t>
            </w:r>
          </w:p>
        </w:tc>
        <w:tc>
          <w:tcPr/>
          <w:p>
            <w:pPr>
              <w:pStyle w:val="Compact"/>
            </w:pPr>
            <w:r>
              <w:t xml:space="preserve">ignored</w:t>
            </w:r>
          </w:p>
        </w:tc>
        <w:tc>
          <w:tcPr/>
          <w:p>
            <w:pPr>
              <w:pStyle w:val="Compact"/>
            </w:pPr>
            <w:r>
              <w:t xml:space="preserve">section header; the item grammar does not apply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#### Sub-heading</w:t>
            </w:r>
          </w:p>
        </w:tc>
        <w:tc>
          <w:tcPr/>
          <w:p>
            <w:pPr>
              <w:pStyle w:val="Compact"/>
            </w:pPr>
            <w:r>
              <w:t xml:space="preserve">ignored</w:t>
            </w:r>
          </w:p>
        </w:tc>
        <w:tc>
          <w:tcPr/>
          <w:p>
            <w:pPr>
              <w:pStyle w:val="Compact"/>
            </w:pPr>
            <w:r>
              <w:t xml:space="preserve">not an item heading (</w:t>
            </w:r>
            <w:r>
              <w:rPr>
                <w:rStyle w:val="VerbatimChar"/>
              </w:rPr>
              <w:t xml:space="preserve">^###</w:t>
            </w:r>
            <w:r>
              <w:t xml:space="preserve"> </w:t>
            </w:r>
            <w:r>
              <w:t xml:space="preserve">requires a non-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next char)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###foo</w:t>
            </w:r>
          </w:p>
        </w:tc>
        <w:tc>
          <w:tcPr/>
          <w:p>
            <w:pPr>
              <w:pStyle w:val="Compact"/>
            </w:pPr>
            <w:r>
              <w:t xml:space="preserve">ignored</w:t>
            </w:r>
          </w:p>
        </w:tc>
        <w:tc>
          <w:tcPr/>
          <w:p>
            <w:pPr>
              <w:pStyle w:val="Compact"/>
            </w:pPr>
            <w:r>
              <w:t xml:space="preserve">not a Markdown ATX heading at all —</w:t>
            </w:r>
            <w:r>
              <w:t xml:space="preserve"> </w:t>
            </w:r>
            <w:r>
              <w:rPr>
                <w:rStyle w:val="VerbatimChar"/>
              </w:rPr>
              <w:t xml:space="preserve">anyHeadingRE</w:t>
            </w:r>
            <w:r>
              <w:t xml:space="preserve"> </w:t>
            </w: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#{1,6}\s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  ### X</w:t>
            </w:r>
            <w:r>
              <w:t xml:space="preserve"> </w:t>
            </w:r>
            <w:r>
              <w:t xml:space="preserve">(indented)</w:t>
            </w:r>
          </w:p>
        </w:tc>
        <w:tc>
          <w:tcPr/>
          <w:p>
            <w:pPr>
              <w:pStyle w:val="Compact"/>
            </w:pPr>
            <w:r>
              <w:t xml:space="preserve">ignored</w:t>
            </w:r>
          </w:p>
        </w:tc>
        <w:tc>
          <w:tcPr/>
          <w:p>
            <w:pPr>
              <w:pStyle w:val="Compact"/>
            </w:pPr>
            <w:r>
              <w:t xml:space="preserve">the parser anchors at column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X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```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~~~</w:t>
            </w:r>
          </w:p>
        </w:tc>
        <w:tc>
          <w:tcPr/>
          <w:p>
            <w:pPr>
              <w:pStyle w:val="Compact"/>
            </w:pPr>
            <w:r>
              <w:t xml:space="preserve">ignored</w:t>
            </w:r>
          </w:p>
        </w:tc>
        <w:tc>
          <w:tcPr/>
          <w:p>
            <w:pPr>
              <w:pStyle w:val="Compact"/>
            </w:pPr>
            <w:r>
              <w:t xml:space="preserve">sample text inside a fenced block, not a heading</w:t>
            </w:r>
          </w:p>
        </w:tc>
      </w:tr>
    </w:tbl>
    <w:p>
      <w:pPr>
        <w:pStyle w:val="BodyText"/>
      </w:pPr>
      <w:r>
        <w:t xml:space="preserve">Correctly flagged as</w:t>
      </w:r>
      <w:r>
        <w:t xml:space="preserve"> </w:t>
      </w:r>
      <w:r>
        <w:rPr>
          <w:b/>
          <w:bCs/>
        </w:rPr>
        <w:t xml:space="preserve">code-less</w:t>
      </w:r>
      <w:r>
        <w:t xml:space="preserve">, because the parser cannot read them</w:t>
      </w:r>
      <w:r>
        <w:t xml:space="preserve"> </w:t>
      </w:r>
      <w:r>
        <w:t xml:space="preserve">either: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NEZHA-INSTALL-001 — 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is followed by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, not a digit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AB1 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([A-Z])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one</w:t>
            </w:r>
            <w:r>
              <w:t xml:space="preserve"> </w:t>
            </w:r>
            <w:r>
              <w:t xml:space="preserve">letter;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is not a digit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A7.Title</w:t>
            </w:r>
          </w:p>
        </w:tc>
        <w:tc>
          <w:tcPr/>
          <w:p>
            <w:pPr>
              <w:pStyle w:val="Compact"/>
            </w:pPr>
            <w:r>
              <w:t xml:space="preserve">the separator needs whitespace after the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A7</w:t>
            </w:r>
          </w:p>
        </w:tc>
        <w:tc>
          <w:tcPr/>
          <w:p>
            <w:pPr>
              <w:pStyle w:val="Compact"/>
            </w:pPr>
            <w:r>
              <w:t xml:space="preserve">no title after the code</w:t>
            </w:r>
          </w:p>
        </w:tc>
      </w:tr>
    </w:tbl>
    <w:p>
      <w:pPr>
        <w:pStyle w:val="BodyText"/>
      </w:pPr>
      <w:r>
        <w:t xml:space="preserve">The gate mirrors</w:t>
      </w:r>
      <w:r>
        <w:t xml:space="preserve"> </w:t>
      </w:r>
      <w:r>
        <w:rPr>
          <w:rStyle w:val="VerbatimChar"/>
        </w:rPr>
        <w:t xml:space="preserve">headingRE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rather than inventing a stricter</w:t>
      </w:r>
      <w:r>
        <w:t xml:space="preserve"> </w:t>
      </w:r>
      <w:r>
        <w:t xml:space="preserve">rule of its own — the property under test is "can</w:t>
      </w:r>
      <w:r>
        <w:t xml:space="preserve"> </w:t>
      </w:r>
      <w:r>
        <w:rPr>
          <w:rStyle w:val="VerbatimChar"/>
        </w:rPr>
        <w:t xml:space="preserve">parser.go</w:t>
      </w:r>
      <w:r>
        <w:t xml:space="preserve"> </w:t>
      </w:r>
      <w:r>
        <w:t xml:space="preserve">read this</w:t>
      </w:r>
      <w:r>
        <w:t xml:space="preserve"> </w:t>
      </w:r>
      <w:r>
        <w:t xml:space="preserve">heading", so the check probes the real grammar rather than a proxy</w:t>
      </w:r>
      <w:r>
        <w:t xml:space="preserve"> </w:t>
      </w:r>
      <w:r>
        <w:t xml:space="preserve">(§11.4.201(11)).</w:t>
      </w:r>
    </w:p>
    <w:p>
      <w:r>
        <w:pict>
          <v:rect style="width:0;height:1.5pt" o:hralign="center" o:hrstd="t" o:hr="t"/>
        </w:pict>
      </w:r>
    </w:p>
    <w:bookmarkEnd w:id="16"/>
    <w:bookmarkStart w:id="20" w:name="internal-behaviour"/>
    <w:p>
      <w:pPr>
        <w:pStyle w:val="Heading2"/>
      </w:pPr>
      <w:r>
        <w:t xml:space="preserve">Internal behaviour</w:t>
      </w:r>
    </w:p>
    <w:bookmarkStart w:id="17" w:name="one-scanner-one-code-path"/>
    <w:p>
      <w:pPr>
        <w:pStyle w:val="Heading3"/>
      </w:pPr>
      <w:r>
        <w:t xml:space="preserve">One scanner, one code path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program (</w:t>
      </w:r>
      <w:r>
        <w:rPr>
          <w:rStyle w:val="VerbatimChar"/>
        </w:rPr>
        <w:t xml:space="preserve">_scan</w:t>
      </w:r>
      <w:r>
        <w:t xml:space="preserve">) does all classification and is used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real trackers and the control needle. There is no second,</w:t>
      </w:r>
      <w:r>
        <w:t xml:space="preserve"> </w:t>
      </w:r>
      <w:r>
        <w:t xml:space="preserve">divergent implementation that could drift.</w:t>
      </w:r>
    </w:p>
    <w:p>
      <w:pPr>
        <w:pStyle w:val="BodyText"/>
      </w:pPr>
      <w:r>
        <w:t xml:space="preserve">It walks each file once, tracking fenced code blocks (</w:t>
      </w:r>
      <w:r>
        <w:rPr>
          <w:rStyle w:val="VerbatimChar"/>
        </w:rPr>
        <w:t xml:space="preserve">```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~~~</w:t>
      </w:r>
      <w:r>
        <w:t xml:space="preserve">, any fence length, indented or not — a fence of one character closes</w:t>
      </w:r>
      <w:r>
        <w:t xml:space="preserve"> </w:t>
      </w:r>
      <w:r>
        <w:t xml:space="preserve">only on the same character), skips</w:t>
      </w:r>
      <w:r>
        <w:t xml:space="preserve"> </w:t>
      </w:r>
      <w:r>
        <w:rPr>
          <w:rStyle w:val="VerbatimChar"/>
        </w:rPr>
        <w:t xml:space="preserve">####</w:t>
      </w:r>
      <w:r>
        <w:t xml:space="preserve">+ and non-column-0 lines, and</w:t>
      </w:r>
      <w:r>
        <w:t xml:space="preserve"> </w:t>
      </w:r>
      <w:r>
        <w:t xml:space="preserve">classifies each surviving</w:t>
      </w:r>
      <w:r>
        <w:t xml:space="preserve"> </w:t>
      </w:r>
      <w:r>
        <w:rPr>
          <w:rStyle w:val="VerbatimChar"/>
        </w:rPr>
        <w:t xml:space="preserve">### </w:t>
      </w:r>
      <w:r>
        <w:t xml:space="preserve"> </w:t>
      </w:r>
      <w:r>
        <w:t xml:space="preserve">line with</w:t>
      </w:r>
      <w:r>
        <w:t xml:space="preserve"> </w:t>
      </w:r>
      <w:r>
        <w:rPr>
          <w:rStyle w:val="VerbatimChar"/>
        </w:rPr>
        <w:t xml:space="preserve">_hg_coded</w:t>
      </w:r>
      <w:r>
        <w:t xml:space="preserve">. It emits</w:t>
      </w:r>
      <w:r>
        <w:t xml:space="preserve"> </w:t>
      </w:r>
      <w:r>
        <w:rPr>
          <w:rStyle w:val="VerbatimChar"/>
        </w:rPr>
        <w:t xml:space="preserve">HEADINGS</w:t>
      </w:r>
      <w:r>
        <w:t xml:space="preserve">/</w:t>
      </w:r>
      <w:r>
        <w:rPr>
          <w:rStyle w:val="VerbatimChar"/>
        </w:rPr>
        <w:t xml:space="preserve">CODED</w:t>
      </w:r>
      <w:r>
        <w:t xml:space="preserve">/</w:t>
      </w:r>
      <w:r>
        <w:rPr>
          <w:rStyle w:val="VerbatimChar"/>
        </w:rPr>
        <w:t xml:space="preserve">CODELESS</w:t>
      </w:r>
      <w:r>
        <w:t xml:space="preserve"> </w:t>
      </w:r>
      <w:r>
        <w:t xml:space="preserve">counts plus one</w:t>
      </w:r>
      <w:r>
        <w:t xml:space="preserve"> </w:t>
      </w:r>
      <w:r>
        <w:rPr>
          <w:rStyle w:val="VerbatimChar"/>
        </w:rPr>
        <w:t xml:space="preserve">OFFENDER &lt;line&gt;\t&lt;text&gt;</w:t>
      </w:r>
      <w:r>
        <w:t xml:space="preserve"> </w:t>
      </w:r>
      <w:r>
        <w:t xml:space="preserve">row</w:t>
      </w:r>
      <w:r>
        <w:t xml:space="preserve"> </w:t>
      </w:r>
      <w:r>
        <w:t xml:space="preserve">per code-less heading.</w:t>
      </w:r>
    </w:p>
    <w:bookmarkEnd w:id="17"/>
    <w:bookmarkStart w:id="18" w:name="the-control-needle-1142017b"/>
    <w:p>
      <w:pPr>
        <w:pStyle w:val="Heading3"/>
      </w:pPr>
      <w:r>
        <w:t xml:space="preserve">The control needle (§11.4.201(7)(b))</w:t>
      </w:r>
    </w:p>
    <w:p>
      <w:pPr>
        <w:pStyle w:val="FirstParagraph"/>
      </w:pPr>
      <w:r>
        <w:t xml:space="preserve">A zero-finding result is refused unless the instrument is proven to see —</w:t>
      </w:r>
      <w:r>
        <w:t xml:space="preserve"> </w:t>
      </w:r>
      <w:r>
        <w:rPr>
          <w:b/>
          <w:bCs/>
        </w:rPr>
        <w:t xml:space="preserve">in both polarities, through the same code path</w:t>
      </w:r>
      <w:r>
        <w:t xml:space="preserve"> </w:t>
      </w:r>
      <w:r>
        <w:t xml:space="preserve">— before any file is</w:t>
      </w:r>
      <w:r>
        <w:t xml:space="preserve"> </w:t>
      </w:r>
      <w:r>
        <w:t xml:space="preserve">judged: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Seeing</w:t>
      </w:r>
      <w:r>
        <w:t xml:space="preserve"> </w:t>
      </w:r>
      <w:r>
        <w:t xml:space="preserve">— the scanner must extract more than zero</w:t>
      </w:r>
      <w:r>
        <w:t xml:space="preserve"> </w:t>
      </w:r>
      <w:r>
        <w:rPr>
          <w:rStyle w:val="VerbatimChar"/>
        </w:rPr>
        <w:t xml:space="preserve">### </w:t>
      </w:r>
      <w:r>
        <w:t xml:space="preserve"> </w:t>
      </w:r>
      <w:r>
        <w:t xml:space="preserve">headings from</w:t>
      </w:r>
      <w:r>
        <w:t xml:space="preserve"> </w:t>
      </w:r>
      <w:r>
        <w:t xml:space="preserve">the file. Zero extracted means BLIND, and the gate SKIPs with that reason</w:t>
      </w:r>
      <w:r>
        <w:t xml:space="preserve"> </w:t>
      </w:r>
      <w:r>
        <w:t xml:space="preserve">rather than reporting a confident clean zero.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Polarity</w:t>
      </w:r>
      <w:r>
        <w:t xml:space="preserve"> </w:t>
      </w:r>
      <w:r>
        <w:t xml:space="preserve">— three synthetic needle lines (two known-coded, one</w:t>
      </w:r>
      <w:r>
        <w:t xml:space="preserve"> </w:t>
      </w:r>
      <w:r>
        <w:t xml:space="preserve">known-code-less) are pushed through the identical</w:t>
      </w:r>
      <w:r>
        <w:t xml:space="preserve"> </w:t>
      </w:r>
      <w:r>
        <w:rPr>
          <w:rStyle w:val="VerbatimChar"/>
        </w:rPr>
        <w:t xml:space="preserve">_scan</w:t>
      </w:r>
      <w:r>
        <w:t xml:space="preserve">. A classifier</w:t>
      </w:r>
      <w:r>
        <w:t xml:space="preserve"> </w:t>
      </w:r>
      <w:r>
        <w:t xml:space="preserve">stuck at</w:t>
      </w:r>
      <w:r>
        <w:t xml:space="preserve"> </w:t>
      </w:r>
      <w:r>
        <w:rPr>
          <w:i/>
          <w:iCs/>
        </w:rPr>
        <w:t xml:space="preserve">"everything is coded"</w:t>
      </w:r>
      <w:r>
        <w:t xml:space="preserve"> </w:t>
      </w:r>
      <w:r>
        <w:t xml:space="preserve">would return a clean zero on a genuinely</w:t>
      </w:r>
      <w:r>
        <w:t xml:space="preserve"> </w:t>
      </w:r>
      <w:r>
        <w:t xml:space="preserve">broken file; the code-less needle is what refutes that. If the needle</w:t>
      </w:r>
      <w:r>
        <w:t xml:space="preserve"> </w:t>
      </w:r>
      <w:r>
        <w:t xml:space="preserve">lands</w:t>
      </w:r>
      <w:r>
        <w:t xml:space="preserve"> </w:t>
      </w:r>
      <w:r>
        <w:rPr>
          <w:rStyle w:val="VerbatimChar"/>
        </w:rPr>
        <w:t xml:space="preserve">3/2/1</w:t>
      </w:r>
      <w:r>
        <w:t xml:space="preserve"> </w:t>
      </w:r>
      <w:r>
        <w:t xml:space="preserve">the instrument discriminates; anything else is BLIND → SKIP.</w:t>
      </w:r>
    </w:p>
    <w:p>
      <w:pPr>
        <w:pStyle w:val="FirstParagraph"/>
      </w:pPr>
      <w:r>
        <w:t xml:space="preserve">The needle counts are</w:t>
      </w:r>
      <w:r>
        <w:t xml:space="preserve"> </w:t>
      </w:r>
      <w:r>
        <w:rPr>
          <w:b/>
          <w:bCs/>
        </w:rPr>
        <w:t xml:space="preserve">printed on every run</w:t>
      </w:r>
      <w:r>
        <w:t xml:space="preserve">, so the null is auditable</w:t>
      </w:r>
      <w:r>
        <w:t xml:space="preserve"> </w:t>
      </w:r>
      <w:r>
        <w:t xml:space="preserve">rather than merely asserted.</w:t>
      </w:r>
      <w:r>
        <w:t xml:space="preserve"> </w:t>
      </w:r>
      <w:r>
        <w:rPr>
          <w:rStyle w:val="VerbatimChar"/>
        </w:rPr>
        <w:t xml:space="preserve">T7</w:t>
      </w:r>
      <w:r>
        <w:t xml:space="preserve"> </w:t>
      </w:r>
      <w:r>
        <w:t xml:space="preserve">in the paired test breaks the needle</w:t>
      </w:r>
      <w:r>
        <w:t xml:space="preserve"> </w:t>
      </w:r>
      <w:r>
        <w:t xml:space="preserve">deliberately and proves the gate then refuses to emit a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at all.</w:t>
      </w:r>
    </w:p>
    <w:bookmarkEnd w:id="18"/>
    <w:bookmarkStart w:id="19" w:name="the-load-bearing-assertion"/>
    <w:p>
      <w:pPr>
        <w:pStyle w:val="Heading3"/>
      </w:pPr>
      <w:r>
        <w:t xml:space="preserve">The load-bearing assertion</w:t>
      </w:r>
    </w:p>
    <w:p>
      <w:pPr>
        <w:pStyle w:val="FirstParagraph"/>
      </w:pPr>
      <w:r>
        <w:rPr>
          <w:rStyle w:val="VerbatimChar"/>
        </w:rPr>
        <w:t xml:space="preserve">_hg_coded</w:t>
      </w:r>
      <w:r>
        <w:t xml:space="preserve">'s regex is the whole verdict. The paired test weakens it (</w:t>
      </w:r>
      <w:r>
        <w:rPr>
          <w:rStyle w:val="VerbatimChar"/>
        </w:rPr>
        <w:t xml:space="preserve">M1</w:t>
      </w:r>
      <w:r>
        <w:t xml:space="preserve">)</w:t>
      </w:r>
      <w:r>
        <w:t xml:space="preserve"> </w:t>
      </w:r>
      <w:r>
        <w:t xml:space="preserve">and neuters the code-less counter (</w:t>
      </w:r>
      <w:r>
        <w:rPr>
          <w:rStyle w:val="VerbatimChar"/>
        </w:rPr>
        <w:t xml:space="preserve">M2</w:t>
      </w:r>
      <w:r>
        <w:t xml:space="preserve">) in</w:t>
      </w:r>
      <w:r>
        <w:t xml:space="preserve"> </w:t>
      </w:r>
      <w:r>
        <w:rPr>
          <w:b/>
          <w:bCs/>
        </w:rPr>
        <w:t xml:space="preserve">copies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${TMPDIR}</w:t>
      </w:r>
      <w:r>
        <w:t xml:space="preserve"> </w:t>
      </w:r>
      <w:r>
        <w:t xml:space="preserve">—</w:t>
      </w:r>
      <w:r>
        <w:t xml:space="preserve"> </w:t>
      </w:r>
      <w:r>
        <w:t xml:space="preserve">the tracked gate is never edited, so no mutation residue can be staged</w:t>
      </w:r>
      <w:r>
        <w:t xml:space="preserve"> </w:t>
      </w:r>
      <w:r>
        <w:t xml:space="preserve">(§11.4.84) — and asserts that each weakened copy then</w:t>
      </w:r>
      <w:r>
        <w:t xml:space="preserve"> </w:t>
      </w:r>
      <w:r>
        <w:rPr>
          <w:b/>
          <w:bCs/>
        </w:rPr>
        <w:t xml:space="preserve">misses</w:t>
      </w:r>
      <w:r>
        <w:t xml:space="preserve"> </w:t>
      </w:r>
      <w:r>
        <w:t xml:space="preserve">the</w:t>
      </w:r>
      <w:r>
        <w:t xml:space="preserve"> </w:t>
      </w:r>
      <w:r>
        <w:t xml:space="preserve">golden-bad fixture.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validation-evidence"/>
    <w:p>
      <w:pPr>
        <w:pStyle w:val="Heading2"/>
      </w:pPr>
      <w:r>
        <w:t xml:space="preserve">Validation evidence</w:t>
      </w:r>
    </w:p>
    <w:p>
      <w:pPr>
        <w:pStyle w:val="FirstParagraph"/>
      </w:pPr>
      <w:r>
        <w:rPr>
          <w:rStyle w:val="VerbatimChar"/>
        </w:rPr>
        <w:t xml:space="preserve">§11.4.115(F)</w:t>
      </w:r>
      <w:r>
        <w:t xml:space="preserve"> </w:t>
      </w:r>
      <w:r>
        <w:t xml:space="preserve">— a guard never observed failing on the genuinely-broken</w:t>
      </w:r>
      <w:r>
        <w:t xml:space="preserve"> </w:t>
      </w:r>
      <w:r>
        <w:t xml:space="preserve">artifact is unvalidated instrumentation. This one was:</w:t>
      </w:r>
    </w:p>
    <w:p>
      <w:pPr>
        <w:pStyle w:val="SourceCode"/>
      </w:pPr>
      <w:r>
        <w:rPr>
          <w:rStyle w:val="VerbatimChar"/>
        </w:rPr>
        <w:t xml:space="preserve">$ git show HEAD:Issues.md &gt; /tmp/pre_Issues.md</w:t>
      </w:r>
      <w:r>
        <w:br/>
      </w:r>
      <w:r>
        <w:rPr>
          <w:rStyle w:val="VerbatimChar"/>
        </w:rPr>
        <w:t xml:space="preserve">$ git show HEAD:Fixed.md  &gt; /tmp/pre_Fixed.md</w:t>
      </w:r>
      <w:r>
        <w:br/>
      </w:r>
      <w:r>
        <w:rPr>
          <w:rStyle w:val="VerbatimChar"/>
        </w:rPr>
        <w:t xml:space="preserve">$ bash scripts/testing/heading_grammar_gate.sh --file /tmp/pre_Issues.md --file /tmp/pre_Fixed.md</w:t>
      </w:r>
      <w:r>
        <w:br/>
      </w:r>
      <w:r>
        <w:rPr>
          <w:rStyle w:val="VerbatimChar"/>
        </w:rPr>
        <w:t xml:space="preserve">FAIL heading-grammar: G1 pre_Issues.md — 1 of 10 … code-less</w:t>
      </w:r>
      <w:r>
        <w:br/>
      </w:r>
      <w:r>
        <w:rPr>
          <w:rStyle w:val="VerbatimChar"/>
        </w:rPr>
        <w:t xml:space="preserve">FAIL heading-grammar: G1 pre_Fixed.md  — 2 of 85 … code-less</w:t>
      </w:r>
      <w:r>
        <w:br/>
      </w:r>
      <w:r>
        <w:rPr>
          <w:rStyle w:val="VerbatimChar"/>
        </w:rPr>
        <w:t xml:space="preserve">── summary heading-grammar: PASS=0 FAIL=2 SKIP=0 ──   (rc=1)</w:t>
      </w:r>
    </w:p>
    <w:p>
      <w:pPr>
        <w:pStyle w:val="FirstParagraph"/>
      </w:pPr>
      <w:r>
        <w:rPr>
          <w:rStyle w:val="VerbatimChar"/>
        </w:rPr>
        <w:t xml:space="preserve">T5</w:t>
      </w:r>
      <w:r>
        <w:t xml:space="preserve"> </w:t>
      </w:r>
      <w:r>
        <w:t xml:space="preserve">of the paired test performs exactly this, automatically, so the</w:t>
      </w:r>
      <w:r>
        <w:t xml:space="preserve"> </w:t>
      </w:r>
      <w:r>
        <w:t xml:space="preserve">observation is re-run on every invocation rather than being a one-off claim.</w:t>
      </w:r>
    </w:p>
    <w:p>
      <w:pPr>
        <w:pStyle w:val="BodyText"/>
      </w:pPr>
      <w:r>
        <w:t xml:space="preserve">— exactly the three known offenders, and no false positives. After the</w:t>
      </w:r>
      <w:r>
        <w:t xml:space="preserve"> </w:t>
      </w:r>
      <w:r>
        <w:t xml:space="preserve">repair the same gate reports</w:t>
      </w:r>
      <w:r>
        <w:t xml:space="preserve"> </w:t>
      </w:r>
      <w:r>
        <w:rPr>
          <w:rStyle w:val="VerbatimChar"/>
        </w:rPr>
        <w:t xml:space="preserve">PASS=2 FAIL=0 SKIP=0</w:t>
      </w:r>
      <w:r>
        <w:t xml:space="preserve"> </w:t>
      </w:r>
      <w:r>
        <w:t xml:space="preserve">(rc=0).</w:t>
      </w:r>
    </w:p>
    <w:p>
      <w:pPr>
        <w:pStyle w:val="BodyText"/>
      </w:pPr>
      <w:r>
        <w:t xml:space="preserve">Paired test:</w:t>
      </w:r>
      <w:r>
        <w:t xml:space="preserve"> </w:t>
      </w:r>
      <w:r>
        <w:rPr>
          <w:rStyle w:val="VerbatimChar"/>
        </w:rPr>
        <w:t xml:space="preserve">9 PASS / 0 FAIL</w:t>
      </w:r>
      <w:r>
        <w:t xml:space="preserve">, identical across three consecutive runs</w:t>
      </w:r>
      <w:r>
        <w:t xml:space="preserve"> </w:t>
      </w:r>
      <w:r>
        <w:t xml:space="preserve">(§11.4.50).</w:t>
      </w:r>
    </w:p>
    <w:p>
      <w:r>
        <w:pict>
          <v:rect style="width:0;height:1.5pt" o:hralign="center" o:hrstd="t" o:hr="t"/>
        </w:pict>
      </w:r>
    </w:p>
    <w:bookmarkEnd w:id="21"/>
    <w:bookmarkStart w:id="22" w:name="related-scripts"/>
    <w:p>
      <w:pPr>
        <w:pStyle w:val="Heading2"/>
      </w:pPr>
      <w:r>
        <w:t xml:space="preserve">Related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scripts/testing/heading_grammar_gate_test.sh</w:t>
            </w:r>
          </w:p>
        </w:tc>
        <w:tc>
          <w:tcPr/>
          <w:p>
            <w:pPr>
              <w:pStyle w:val="Compact"/>
            </w:pPr>
            <w:r>
              <w:t xml:space="preserve">the §1.1 paired test for this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scripts/testing/tracker_structural_integrity.sh</w:t>
            </w:r>
          </w:p>
        </w:tc>
        <w:tc>
          <w:tcPr/>
          <w:p>
            <w:pPr>
              <w:pStyle w:val="Compact"/>
            </w:pPr>
            <w:r>
              <w:t xml:space="preserve">sibling guard. That one asserts a tracker did not</w:t>
            </w:r>
            <w:r>
              <w:t xml:space="preserve"> </w:t>
            </w:r>
            <w:r>
              <w:rPr>
                <w:b/>
                <w:bCs/>
              </w:rPr>
              <w:t xml:space="preserve">lose</w:t>
            </w:r>
            <w:r>
              <w:t xml:space="preserve"> </w:t>
            </w:r>
            <w:r>
              <w:t xml:space="preserve">structure across revisions; this one asserts every heading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structure the parser can read. Neither subsumes the other.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cmd/workable-items/parser.go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headingRE</w:t>
            </w:r>
            <w:r>
              <w:t xml:space="preserve"> </w:t>
            </w:r>
            <w:r>
              <w:t xml:space="preserve">— the grammar this gate mirrors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cmd/workable-items/sync_md_to_db.go</w:t>
            </w:r>
          </w:p>
        </w:tc>
        <w:tc>
          <w:tcPr/>
          <w:p>
            <w:pPr>
              <w:pStyle w:val="Compact"/>
            </w:pPr>
            <w:r>
              <w:t xml:space="preserve">the verbatim absorption that makes a code-less heading invisible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scripts/tests/51_workable_items_db_integrity.sh</w:t>
            </w:r>
          </w:p>
        </w:tc>
        <w:tc>
          <w:tcPr/>
          <w:p>
            <w:pPr>
              <w:pStyle w:val="Compact"/>
            </w:pPr>
            <w:r>
              <w:t xml:space="preserve">the self-referential round trip that cannot see this defect class</w:t>
            </w:r>
          </w:p>
        </w:tc>
      </w:tr>
    </w:tbl>
    <w:bookmarkEnd w:id="22"/>
    <w:bookmarkStart w:id="23" w:name="honest-boundary-114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This gate proves every</w:t>
      </w:r>
      <w:r>
        <w:t xml:space="preserve"> </w:t>
      </w:r>
      <w:r>
        <w:rPr>
          <w:rStyle w:val="VerbatimChar"/>
        </w:rPr>
        <w:t xml:space="preserve">### </w:t>
      </w:r>
      <w:r>
        <w:t xml:space="preserve"> </w:t>
      </w:r>
      <w:r>
        <w:t xml:space="preserve">heading is</w:t>
      </w:r>
      <w:r>
        <w:t xml:space="preserve"> </w:t>
      </w:r>
      <w:r>
        <w:rPr>
          <w:b/>
          <w:bCs/>
        </w:rPr>
        <w:t xml:space="preserve">readable by the parser</w:t>
      </w:r>
      <w:r>
        <w:t xml:space="preserve">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the heading's code is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one (a duplicate code is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's job, via the</w:t>
      </w:r>
      <w:r>
        <w:t xml:space="preserve"> </w:t>
      </w:r>
      <w:r>
        <w:rPr>
          <w:rStyle w:val="VerbatimChar"/>
        </w:rPr>
        <w:t xml:space="preserve">§11.4.54</w:t>
      </w:r>
      <w:r>
        <w:t xml:space="preserve"> </w:t>
      </w:r>
      <w:r>
        <w:t xml:space="preserve">duplicate/gap checks), that the block's</w:t>
      </w:r>
      <w:r>
        <w:t xml:space="preserve"> </w:t>
      </w:r>
      <w:r>
        <w:rPr>
          <w:rStyle w:val="VerbatimChar"/>
        </w:rPr>
        <w:t xml:space="preserve">**Status:**</w:t>
      </w:r>
      <w:r>
        <w:t xml:space="preserve"> </w:t>
      </w:r>
      <w:r>
        <w:t xml:space="preserve">matches its file (</w:t>
      </w:r>
      <w:r>
        <w:rPr>
          <w:rStyle w:val="VerbatimChar"/>
        </w:rPr>
        <w:t xml:space="preserve">§11.4.19</w:t>
      </w:r>
      <w:r>
        <w:t xml:space="preserve">/</w:t>
      </w:r>
      <w:r>
        <w:rPr>
          <w:rStyle w:val="VerbatimChar"/>
        </w:rPr>
        <w:t xml:space="preserve">§11.4.33</w:t>
      </w:r>
      <w:r>
        <w:t xml:space="preserve">), or that the item's</w:t>
      </w:r>
      <w:r>
        <w:t xml:space="preserve"> </w:t>
      </w:r>
      <w:r>
        <w:t xml:space="preserve">content is correct. It is one layer, and it is the earliest one.</w:t>
      </w:r>
    </w:p>
    <w:bookmarkEnd w:id="23"/>
    <w:bookmarkStart w:id="24" w:name="sources-verified-2026-09-01"/>
    <w:p>
      <w:pPr>
        <w:pStyle w:val="Heading2"/>
      </w:pPr>
      <w:r>
        <w:t xml:space="preserve">Sources verified 2026-09-01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cmd/workable-items/parser.go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headingRE</w:t>
      </w:r>
      <w:r>
        <w:t xml:space="preserve">,</w:t>
      </w:r>
      <w:r>
        <w:t xml:space="preserve"> </w:t>
      </w:r>
      <w:r>
        <w:rPr>
          <w:rStyle w:val="VerbatimChar"/>
        </w:rPr>
        <w:t xml:space="preserve">anyHeadingRE</w:t>
      </w:r>
      <w:r>
        <w:t xml:space="preserve"> </w:t>
      </w:r>
      <w:r>
        <w:t xml:space="preserve">(read in-tree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2c8187a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cmd/workable-items/validate.go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§11.4.54</w:t>
      </w:r>
      <w:r>
        <w:t xml:space="preserve"> </w:t>
      </w:r>
      <w:r>
        <w:t xml:space="preserve">id sequence/duplicate</w:t>
      </w:r>
      <w:r>
        <w:t xml:space="preserve"> </w:t>
      </w:r>
      <w:r>
        <w:t xml:space="preserve">rules that this gate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duplicate.</w:t>
      </w:r>
    </w:p>
    <w:p>
      <w:pPr>
        <w:pStyle w:val="Compact"/>
        <w:numPr>
          <w:ilvl w:val="0"/>
          <w:numId w:val="1003"/>
        </w:numPr>
      </w:pPr>
      <w:r>
        <w:t xml:space="preserve">Measured with</w:t>
      </w:r>
      <w:r>
        <w:t xml:space="preserve"> </w:t>
      </w:r>
      <w:r>
        <w:rPr>
          <w:rStyle w:val="VerbatimChar"/>
        </w:rPr>
        <w:t xml:space="preserve">workable-items report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sync md-to-db</w:t>
      </w:r>
      <w:r>
        <w:t xml:space="preserve"> </w:t>
      </w:r>
      <w:r>
        <w:t xml:space="preserve">against a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; the tracked database was not modified.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heading_grammar_gate</dc:title>
  <dc:creator/>
  <cp:keywords/>
  <dcterms:created xsi:type="dcterms:W3CDTF">2026-09-02T05:54:42Z</dcterms:created>
  <dcterms:modified xsi:type="dcterms:W3CDTF">2026-09-02T05:54:42Z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