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closure-evidence</w:t>
      </w:r>
    </w:p>
    <w:bookmarkStart w:id="15" w:name="X48c9c22428cba0d8b5448a6f7aaa9776b93dd81"/>
    <w:p>
      <w:pPr>
        <w:pStyle w:val="Heading1"/>
      </w:pPr>
      <w:r>
        <w:t xml:space="preserve">Closure evidence — heading-regex widening + corpus repair</w:t>
      </w:r>
    </w:p>
    <w:p>
      <w:pPr>
        <w:pStyle w:val="FirstParagraph"/>
      </w:pPr>
      <w:r>
        <w:t xml:space="preserve">Captured: 2026-09-01T18:36:11Z HEAD: ec25327</w:t>
      </w:r>
    </w:p>
    <w:bookmarkStart w:id="9" w:name="X0b3d225622a60f8527dd4e201eff21ab0f270cf"/>
    <w:p>
      <w:pPr>
        <w:pStyle w:val="Heading2"/>
      </w:pPr>
      <w:r>
        <w:t xml:space="preserve">Identity-audit unlocated count (review MINOR-5)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(period-only regex, pre-repair)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(widened+tightened, post-repair)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</w:tbl>
    <w:p>
      <w:pPr>
        <w:pStyle w:val="BodyText"/>
      </w:pPr>
      <w:r>
        <w:t xml:space="preserve">The count ROSE by 2. This is an honest regression in that one number, not a</w:t>
      </w:r>
      <w:r>
        <w:t xml:space="preserve"> </w:t>
      </w:r>
      <w:r>
        <w:t xml:space="preserve">silent one, and it is explained: 14 previously-invisible blocks now parse into</w:t>
      </w:r>
      <w:r>
        <w:t xml:space="preserve"> </w:t>
      </w:r>
      <w:r>
        <w:t xml:space="preserve">the SSoT, and the audit can only LOCATE a block that declares a</w:t>
      </w:r>
      <w:r>
        <w:t xml:space="preserve"> </w:t>
      </w:r>
      <w:r>
        <w:rPr>
          <w:rStyle w:val="VerbatimChar"/>
        </w:rPr>
        <w:t xml:space="preserve">**TMX-ID:**</w:t>
      </w:r>
      <w:r>
        <w:t xml:space="preserve"> </w:t>
      </w:r>
      <w:r>
        <w:t xml:space="preserve">line. Blocks with no such line assert no ownership and are skipped by design</w:t>
      </w:r>
      <w:r>
        <w:t xml:space="preserve"> </w:t>
      </w:r>
      <w:r>
        <w:t xml:space="preserve">(the audit's own false-positive guard) — they are counted, never hidden.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blocks with no</w:t>
            </w:r>
            <w:r>
              <w:t xml:space="preserve"> </w:t>
            </w:r>
            <w:r>
              <w:rPr>
                <w:rStyle w:val="VerbatimChar"/>
              </w:rPr>
              <w:t xml:space="preserve">**TMX-ID:**</w:t>
            </w:r>
          </w:p>
        </w:tc>
        <w:tc>
          <w:tcPr/>
          <w:p>
            <w:pPr>
              <w:pStyle w:val="Compact"/>
            </w:pPr>
            <w:r>
              <w:t xml:space="preserve">total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Issues.md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Fixed.md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</w:tbl>
    <w:bookmarkEnd w:id="9"/>
    <w:bookmarkStart w:id="10" w:name="sentinel-identities-heading-never-parsed"/>
    <w:p>
      <w:pPr>
        <w:pStyle w:val="Heading2"/>
      </w:pPr>
      <w:r>
        <w:t xml:space="preserve">Sentinel identities (heading never parsed)</w:t>
      </w:r>
    </w:p>
    <w:p>
      <w:pPr>
        <w:pStyle w:val="FirstParagraph"/>
      </w:pPr>
      <w:r>
        <w:t xml:space="preserve">Measured against</w:t>
      </w:r>
      <w:r>
        <w:t xml:space="preserve"> </w:t>
      </w:r>
      <w:r>
        <w:rPr>
          <w:rStyle w:val="VerbatimChar"/>
        </w:rPr>
        <w:t xml:space="preserve">git show HEAD~1:docs/workable_items.db</w:t>
      </w:r>
      <w:r>
        <w:t xml:space="preserve"> </w:t>
      </w:r>
      <w:r>
        <w:t xml:space="preserve">vs the current DB.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with</w:t>
            </w:r>
            <w:r>
              <w:t xml:space="preserve"> </w:t>
            </w:r>
            <w:r>
              <w:rPr>
                <w:rStyle w:val="VerbatimChar"/>
              </w:rPr>
              <w:t xml:space="preserve">code_ordinal &lt;= 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 (of 94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with</w:t>
            </w:r>
            <w:r>
              <w:t xml:space="preserve"> </w:t>
            </w:r>
            <w:r>
              <w:rPr>
                <w:rStyle w:val="VerbatimChar"/>
              </w:rPr>
              <w:t xml:space="preserve">category = 'Z'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14 rows that healed (TMX-057..066, TMX-072..075) were the TRUE sentinels — every</w:t>
      </w:r>
      <w:r>
        <w:t xml:space="preserve"> </w:t>
      </w:r>
      <w:r>
        <w:t xml:space="preserve">one of them now carries a real</w:t>
      </w:r>
      <w:r>
        <w:t xml:space="preserve"> </w:t>
      </w:r>
      <w:r>
        <w:rPr>
          <w:rStyle w:val="VerbatimChar"/>
        </w:rPr>
        <w:t xml:space="preserve">&lt;CAT&gt;&lt;ORD&gt;</w:t>
      </w:r>
      <w:r>
        <w:t xml:space="preserve">. The 3 survivors are NOT sentinels: they are</w:t>
      </w:r>
      <w:r>
        <w:t xml:space="preserve"> </w:t>
      </w:r>
      <w:r>
        <w:t xml:space="preserve">TMX-038 / TMX-039 / TMX-041, the genuine</w:t>
      </w:r>
      <w:r>
        <w:t xml:space="preserve"> </w:t>
      </w:r>
      <w:r>
        <w:rPr>
          <w:rStyle w:val="VerbatimChar"/>
        </w:rPr>
        <w:t xml:space="preserve">### A0.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B0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C0</w:t>
      </w:r>
      <w:r>
        <w:t xml:space="preserve"> </w:t>
      </w:r>
      <w:r>
        <w:t xml:space="preserve">blocks at</w:t>
      </w:r>
      <w:r>
        <w:t xml:space="preserve"> </w:t>
      </w:r>
      <w:r>
        <w:rPr>
          <w:rStyle w:val="VerbatimChar"/>
        </w:rPr>
        <w:t xml:space="preserve">Fixed.md:2585 / 2652 / 2718</w:t>
      </w:r>
      <w:r>
        <w:t xml:space="preserve">, whose ordinal legitimately IS zero.</w:t>
      </w:r>
    </w:p>
    <w:p>
      <w:pPr>
        <w:pStyle w:val="BodyText"/>
      </w:pPr>
      <w:r>
        <w:t xml:space="preserve">CORRECTION (§11.4.6): an earlier revision of this file published "7 → 3" for this row.</w:t>
      </w:r>
      <w:r>
        <w:t xml:space="preserve"> </w:t>
      </w:r>
      <w:r>
        <w:t xml:space="preserve">That figure reproduces under no definition of "sentinel" the current DB supports</w:t>
      </w:r>
      <w:r>
        <w:t xml:space="preserve"> </w:t>
      </w:r>
      <w:r>
        <w:t xml:space="preserve">(category-Z-only = 4; category-Z AND ordinal-0 = 4;</w:t>
      </w:r>
      <w:r>
        <w:t xml:space="preserve"> </w:t>
      </w:r>
      <w:r>
        <w:rPr>
          <w:rStyle w:val="VerbatimChar"/>
        </w:rPr>
        <w:t xml:space="preserve">code_ordinal &lt;= 0</w:t>
      </w:r>
      <w:r>
        <w:t xml:space="preserve"> </w:t>
      </w:r>
      <w:r>
        <w:t xml:space="preserve">= 17; true</w:t>
      </w:r>
      <w:r>
        <w:t xml:space="preserve"> </w:t>
      </w:r>
      <w:r>
        <w:t xml:space="preserve">sentinels = 14) and it contradicted this document's own adjacent "14 newly-visible</w:t>
      </w:r>
      <w:r>
        <w:t xml:space="preserve"> </w:t>
      </w:r>
      <w:r>
        <w:t xml:space="preserve">blocks" figure. The table above is the re-measured, reproducible replacement.</w:t>
      </w:r>
    </w:p>
    <w:bookmarkEnd w:id="10"/>
    <w:bookmarkStart w:id="11" w:name="X3496f18a352b846070d48fa9facfadbd5fa7439"/>
    <w:p>
      <w:pPr>
        <w:pStyle w:val="Heading2"/>
      </w:pPr>
      <w:r>
        <w:t xml:space="preserve">Why the DB holds 94 rows while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parses 92 blocks (measured, reproducible)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rows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 blocks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block identities</w:t>
            </w:r>
            <w:r>
              <w:t xml:space="preserve"> </w:t>
            </w:r>
            <w:r>
              <w:rPr>
                <w:rStyle w:val="VerbatimChar"/>
              </w:rPr>
              <w:t xml:space="preserve">(location, CAT, ORD)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</w:tbl>
    <w:p>
      <w:pPr>
        <w:pStyle w:val="BodyText"/>
      </w:pPr>
      <w:r>
        <w:t xml:space="preserve">94 = 91 distinct identities + 2 rows that SHARE an identity with a live successor</w:t>
      </w:r>
      <w:r>
        <w:t xml:space="preserve"> </w:t>
      </w:r>
      <w:r>
        <w:t xml:space="preserve">(TMX-001 shares Fixed</w:t>
      </w:r>
      <w:r>
        <w:t xml:space="preserve"> </w:t>
      </w:r>
      <w:r>
        <w:rPr>
          <w:rStyle w:val="VerbatimChar"/>
        </w:rPr>
        <w:t xml:space="preserve">B3</w:t>
      </w:r>
      <w:r>
        <w:t xml:space="preserve"> </w:t>
      </w:r>
      <w:r>
        <w:t xml:space="preserve">with TMX-054; TMX-071 shares Fixed</w:t>
      </w:r>
      <w:r>
        <w:t xml:space="preserve"> </w:t>
      </w:r>
      <w:r>
        <w:rPr>
          <w:rStyle w:val="VerbatimChar"/>
        </w:rPr>
        <w:t xml:space="preserve">A52</w:t>
      </w:r>
      <w:r>
        <w:t xml:space="preserve"> </w:t>
      </w:r>
      <w:r>
        <w:t xml:space="preserve">with TMX-062) + 1 row</w:t>
      </w:r>
      <w:r>
        <w:t xml:space="preserve"> </w:t>
      </w:r>
      <w:r>
        <w:t xml:space="preserve">whose claimed identity has no block at all (TMX-050 at Fixed</w:t>
      </w:r>
      <w:r>
        <w:t xml:space="preserve"> </w:t>
      </w:r>
      <w:r>
        <w:rPr>
          <w:rStyle w:val="VerbatimChar"/>
        </w:rPr>
        <w:t xml:space="preserve">F1</w:t>
      </w:r>
      <w:r>
        <w:t xml:space="preserve">). 92 = 91 distinct +</w:t>
      </w:r>
      <w:r>
        <w:t xml:space="preserve"> </w:t>
      </w:r>
      <w:r>
        <w:t xml:space="preserve">1 DUPLICATE markdown heading —</w:t>
      </w:r>
      <w:r>
        <w:t xml:space="preserve"> </w:t>
      </w:r>
      <w:r>
        <w:rPr>
          <w:rStyle w:val="VerbatimChar"/>
        </w:rPr>
        <w:t xml:space="preserve">### A52.</w:t>
      </w:r>
      <w:r>
        <w:t xml:space="preserve"> </w:t>
      </w:r>
      <w:r>
        <w:t xml:space="preserve">occurs twice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 at line 2890</w:t>
      </w:r>
      <w:r>
        <w:t xml:space="preserve"> </w:t>
      </w:r>
      <w:r>
        <w:t xml:space="preserve">(TMX-062) and line 3027 (TMX-071).</w:t>
      </w:r>
    </w:p>
    <w:p>
      <w:pPr>
        <w:pStyle w:val="BodyText"/>
      </w:pPr>
      <w:r>
        <w:t xml:space="preserve">All three extra rows carry status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, which is precisely the case</w:t>
      </w:r>
      <w:r>
        <w:t xml:space="preserve"> </w:t>
      </w:r>
      <w:r>
        <w:rPr>
          <w:rStyle w:val="VerbatimChar"/>
        </w:rPr>
        <w:t xml:space="preserve">validate_identity.go</w:t>
      </w:r>
      <w:r>
        <w:t xml:space="preserve">'s Obsolete guard skips (§11.4.90 — a superseded record may</w:t>
      </w:r>
      <w:r>
        <w:t xml:space="preserve"> </w:t>
      </w:r>
      <w:r>
        <w:t xml:space="preserve">legitimately share its successor's block), so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correctly reports 0 findings.</w:t>
      </w:r>
    </w:p>
    <w:p>
      <w:pPr>
        <w:pStyle w:val="BodyText"/>
      </w:pPr>
      <w:r>
        <w:t xml:space="preserve">RETRACTION (§11.4.6): an earlier account of this gap attributed it to the two headings the</w:t>
      </w:r>
      <w:r>
        <w:t xml:space="preserve"> </w:t>
      </w:r>
      <w:r>
        <w:t xml:space="preserve">tightened regex refuses (</w:t>
      </w:r>
      <w:r>
        <w:rPr>
          <w:rStyle w:val="VerbatimChar"/>
        </w:rPr>
        <w:t xml:space="preserve">### TMX-051 —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NEZHA-INSTALL-… —</w:t>
      </w:r>
      <w:r>
        <w:t xml:space="preserve">). That mechanism is</w:t>
      </w:r>
      <w:r>
        <w:t xml:space="preserve"> </w:t>
      </w:r>
      <w:r>
        <w:t xml:space="preserve">WRONG and is withdrawn — measured, NO DB row corresponds to either heading, so they</w:t>
      </w:r>
      <w:r>
        <w:t xml:space="preserve"> </w:t>
      </w:r>
      <w:r>
        <w:t xml:space="preserve">contribute ZERO rows. The error was reading the id literal in</w:t>
      </w:r>
      <w:r>
        <w:t xml:space="preserve"> </w:t>
      </w:r>
      <w:r>
        <w:rPr>
          <w:rStyle w:val="VerbatimChar"/>
        </w:rPr>
        <w:t xml:space="preserve">### TMX-051 —</w:t>
      </w:r>
      <w:r>
        <w:t xml:space="preserve"> </w:t>
      </w:r>
      <w:r>
        <w:t xml:space="preserve">as the row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 </w:t>
      </w:r>
      <w:r>
        <w:t xml:space="preserve">is TMX-051; that row is a different item entirely (Copy/paste mouse</w:t>
      </w:r>
      <w:r>
        <w:t xml:space="preserve"> </w:t>
      </w:r>
      <w:r>
        <w:t xml:space="preserve">ownership,</w:t>
      </w:r>
      <w:r>
        <w:t xml:space="preserve"> </w:t>
      </w:r>
      <w:r>
        <w:rPr>
          <w:rStyle w:val="VerbatimChar"/>
        </w:rPr>
        <w:t xml:space="preserve">A43</w:t>
      </w:r>
      <w:r>
        <w:t xml:space="preserve">). That is the §11.4.201(9) field-identity class — an id literal matched as</w:t>
      </w:r>
      <w:r>
        <w:t xml:space="preserve"> </w:t>
      </w:r>
      <w:r>
        <w:t xml:space="preserve">a row key — the same shape as the discarded 62-row instrument below. The conclusions were</w:t>
      </w:r>
      <w:r>
        <w:t xml:space="preserve"> </w:t>
      </w:r>
      <w:r>
        <w:t xml:space="preserve">unaffected (gap = 2, no live collision,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0 findings) but they were reached via</w:t>
      </w:r>
      <w:r>
        <w:t xml:space="preserve"> </w:t>
      </w:r>
      <w:r>
        <w:t xml:space="preserve">the wrong rows, and the arithmetic above is the reproducible replacement.</w:t>
      </w:r>
    </w:p>
    <w:bookmarkEnd w:id="11"/>
    <w:bookmarkStart w:id="12" w:name="corpus-duplication"/>
    <w:p>
      <w:pPr>
        <w:pStyle w:val="Heading2"/>
      </w:pPr>
      <w:r>
        <w:t xml:space="preserve">Corpus duplication</w:t>
      </w:r>
    </w:p>
    <w:p>
      <w:pPr>
        <w:pStyle w:val="FirstParagraph"/>
      </w:pPr>
      <w:r>
        <w:t xml:space="preserve">Cross-tracker duplicates BEFORE: 5 (G1..G4 in both trackers; A50 claimed by two</w:t>
      </w:r>
      <w:r>
        <w:t xml:space="preserve"> </w:t>
      </w:r>
      <w:r>
        <w:t xml:space="preserve">items). AFTER: 0 — enforced at the sync seam, which now refuses on the union of</w:t>
      </w:r>
      <w:r>
        <w:t xml:space="preserve"> </w:t>
      </w:r>
      <w:r>
        <w:rPr>
          <w:rStyle w:val="VerbatimChar"/>
        </w:rPr>
        <w:t xml:space="preserve">**TMX-ID:**</w:t>
      </w:r>
      <w:r>
        <w:t xml:space="preserve"> </w:t>
      </w:r>
      <w:r>
        <w:t xml:space="preserve">and heading-identity across every parsed block in both files.</w:t>
      </w:r>
    </w:p>
    <w:bookmarkEnd w:id="12"/>
    <w:bookmarkStart w:id="13" w:name="Xb7d95293f3fee4b92b1149eaca6183804fbdd53"/>
    <w:p>
      <w:pPr>
        <w:pStyle w:val="Heading2"/>
      </w:pPr>
      <w:r>
        <w:t xml:space="preserve">Mutation ledger (§1.1) — every guard pinned, each mutation verified to land before running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Test that FAILs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</w:t>
            </w:r>
          </w:p>
        </w:tc>
        <w:tc>
          <w:tcPr/>
          <w:p>
            <w:pPr>
              <w:pStyle w:val="Compact"/>
            </w:pPr>
            <w:r>
              <w:t xml:space="preserve">revert</w:t>
            </w:r>
            <w:r>
              <w:t xml:space="preserve"> </w:t>
            </w:r>
            <w:r>
              <w:rPr>
                <w:rStyle w:val="VerbatimChar"/>
              </w:rPr>
              <w:t xml:space="preserve">headingRE</w:t>
            </w:r>
            <w:r>
              <w:t xml:space="preserve"> </w:t>
            </w:r>
            <w:r>
              <w:t xml:space="preserve">to the loose pre-tightening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TestHeadingRE_AcceptedAndRefused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M-D</w:t>
            </w:r>
          </w:p>
        </w:tc>
        <w:tc>
          <w:tcPr/>
          <w:p>
            <w:pPr>
              <w:pStyle w:val="Compact"/>
            </w:pPr>
            <w:r>
              <w:t xml:space="preserve">desync</w:t>
            </w:r>
            <w:r>
              <w:t xml:space="preserve"> </w:t>
            </w:r>
            <w:r>
              <w:rPr>
                <w:rStyle w:val="VerbatimChar"/>
              </w:rPr>
              <w:t xml:space="preserve">blockCodeRE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headingRE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TestHeadingRE_AndBlockCodeRE_AgreeOnAcceptance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M-A</w:t>
            </w:r>
          </w:p>
        </w:tc>
        <w:tc>
          <w:tcPr/>
          <w:p>
            <w:pPr>
              <w:pStyle w:val="Compact"/>
            </w:pPr>
            <w:r>
              <w:t xml:space="preserve">restrict the duplicate guard to same-code pairs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…RefusesSameIDUnderDifferentBlockCodes</w:t>
            </w:r>
          </w:p>
        </w:tc>
        <w:tc>
          <w:tcPr/>
          <w:p>
            <w:pPr>
              <w:pStyle w:val="Compact"/>
            </w:pPr>
            <w:r>
              <w:t xml:space="preserve">reviewer (SURVIVED round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M-B</w:t>
            </w:r>
          </w:p>
        </w:tc>
        <w:tc>
          <w:tcPr/>
          <w:p>
            <w:pPr>
              <w:pStyle w:val="Compact"/>
            </w:pPr>
            <w:r>
              <w:t xml:space="preserve">restrict the duplicate guard to cross-file pairs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…RefusesSameIDTwiceWithinOneFile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disable the byHash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…RefusesIdLessDuplicateAcrossTrackers</w:t>
            </w:r>
          </w:p>
        </w:tc>
        <w:tc>
          <w:tcPr/>
          <w:p>
            <w:pPr>
              <w:pStyle w:val="Compact"/>
            </w:pPr>
            <w:r>
              <w:t xml:space="preserve">reviewer (SURVIVED round 2 — it IS round 2's IMPORTANT-N1)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swap identity-resolution precedence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…HeadingHashWinsAndNoSpuriousRebindIsRecorded</w:t>
            </w:r>
          </w:p>
        </w:tc>
        <w:tc>
          <w:tcPr/>
          <w:p>
            <w:pPr>
              <w:pStyle w:val="Compact"/>
            </w:pPr>
            <w:r>
              <w:t xml:space="preserve">reviewer (SURVIVED round 2 — it IS round 2's MINOR-N4)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R17</w:t>
            </w:r>
          </w:p>
        </w:tc>
        <w:tc>
          <w:tcPr/>
          <w:p>
            <w:pPr>
              <w:pStyle w:val="Compact"/>
            </w:pPr>
            <w:r>
              <w:t xml:space="preserve">suppress the rebind counter, keep the history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…IdentityRebindIsRecordedInHistory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R23</w:t>
            </w:r>
          </w:p>
        </w:tc>
        <w:tc>
          <w:tcPr/>
          <w:p>
            <w:pPr>
              <w:pStyle w:val="Compact"/>
            </w:pPr>
            <w:r>
              <w:t xml:space="preserve">strip the prior identity from the history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…IdentityRebindIsRecordedInHistory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persist</w:t>
            </w:r>
            <w:r>
              <w:t xml:space="preserve"> </w:t>
            </w:r>
            <w:r>
              <w:rPr>
                <w:rStyle w:val="VerbatimChar"/>
              </w:rPr>
              <w:t xml:space="preserve">document_sources</w:t>
            </w:r>
            <w:r>
              <w:t xml:space="preserve"> </w:t>
            </w:r>
            <w:r>
              <w:t xml:space="preserve">before the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…RefusalLeavesDocumentSourcesUntouched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remove the rebind's history 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…IdentityRebindIsRecordedInHistory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  <w:r>
              <w:t xml:space="preserve"> </w:t>
            </w:r>
            <w:r>
              <w:rPr>
                <w:rStyle w:val="VerbatimChar"/>
              </w:rPr>
              <w:t xml:space="preserve">RebindDetails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…IdentityRebindIsRecordedInHistory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disable the id-reservation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TestAllocatorReservesIDLiteralInsideANonParseableBlock</w:t>
            </w:r>
          </w:p>
        </w:tc>
        <w:tc>
          <w:tcPr/>
          <w:p>
            <w:pPr>
              <w:pStyle w:val="Compact"/>
            </w:pPr>
            <w:r>
              <w:t xml:space="preserve">reviewer (caught)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drop the atm-branch heading-hash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TestUpsertItem_ChangedHeadingHashUpdatesByATMID</w:t>
            </w:r>
          </w:p>
        </w:tc>
        <w:tc>
          <w:tcPr/>
          <w:p>
            <w:pPr>
              <w:pStyle w:val="Compact"/>
            </w:pPr>
            <w:r>
              <w:t xml:space="preserve">reviewer (caught)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weaken</w:t>
            </w:r>
            <w:r>
              <w:t xml:space="preserve"> </w:t>
            </w:r>
            <w:r>
              <w:rPr>
                <w:rStyle w:val="VerbatimChar"/>
              </w:rPr>
              <w:t xml:space="preserve">headingRE</w:t>
            </w:r>
            <w:r>
              <w:t xml:space="preserve">'s title group to</w:t>
            </w:r>
            <w:r>
              <w:t xml:space="preserve"> </w:t>
            </w:r>
            <w:r>
              <w:rPr>
                <w:rStyle w:val="VerbatimChar"/>
              </w:rPr>
              <w:t xml:space="preserve">(.*)$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TestHeadingRE_AcceptedAndRefused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…AgreeOnAcceptance</w:t>
            </w:r>
          </w:p>
        </w:tc>
        <w:tc>
          <w:tcPr/>
          <w:p>
            <w:pPr>
              <w:pStyle w:val="Compact"/>
            </w:pPr>
            <w:r>
              <w:t xml:space="preserve">reviewer (caught)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disable the greedy-bind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TestParse_NonItemHeadingStillClosesMetadataWindow</w:t>
            </w:r>
          </w:p>
        </w:tc>
        <w:tc>
          <w:tcPr/>
          <w:p>
            <w:pPr>
              <w:pStyle w:val="Compact"/>
            </w:pPr>
            <w:r>
              <w:t xml:space="preserve">reviewer (caught)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restore the</w:t>
            </w:r>
            <w:r>
              <w:t xml:space="preserve"> </w:t>
            </w:r>
            <w:r>
              <w:rPr>
                <w:rStyle w:val="VerbatimChar"/>
              </w:rPr>
              <w:t xml:space="preserve">lookupByHeadingHash</w:t>
            </w:r>
            <w:r>
              <w:t xml:space="preserve"> </w:t>
            </w:r>
            <w:r>
              <w:t xml:space="preserve">error swallow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…ReportsRealErrorsInsteadOfReportingAbsent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CodeOrdinal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itemContentEqual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…DriftedStoredOrdinalSelfHeals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HeadingHash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itemContentEqual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…StaleStoredHashSelfHeals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drop BOTH identity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…OrdinalOnlyRenumberIsAppliedAndRecorded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</w:tr>
    </w:tbl>
    <w:p>
      <w:pPr>
        <w:pStyle w:val="BodyText"/>
      </w:pPr>
      <w:r>
        <w:t xml:space="preserve">Two of my own tests were BLIND on first write and were caught by running these</w:t>
      </w:r>
      <w:r>
        <w:t xml:space="preserve"> </w:t>
      </w:r>
      <w:r>
        <w:t xml:space="preserve">mutations rather than trusting the green: the rebind test's assertions sat behind</w:t>
      </w:r>
      <w:r>
        <w:t xml:space="preserve"> </w:t>
      </w:r>
      <w:r>
        <w:t xml:space="preserve">an inverted condition that skipped them every run, and the precedence test asserted</w:t>
      </w:r>
      <w:r>
        <w:t xml:space="preserve"> </w:t>
      </w:r>
      <w:r>
        <w:t xml:space="preserve">a row outcome that is identical under both orderings (</w:t>
      </w:r>
      <w:r>
        <w:rPr>
          <w:rStyle w:val="VerbatimChar"/>
        </w:rPr>
        <w:t xml:space="preserve">UpsertItem</w:t>
      </w:r>
      <w:r>
        <w:t xml:space="preserve"> </w:t>
      </w:r>
      <w:r>
        <w:t xml:space="preserve">re-resolves by</w:t>
      </w:r>
      <w:r>
        <w:t xml:space="preserve"> </w:t>
      </w:r>
      <w:r>
        <w:t xml:space="preserve">heading-hash internally, so the sync-layer order changes only the audit trail).</w:t>
      </w:r>
      <w:r>
        <w:t xml:space="preserve"> </w:t>
      </w:r>
      <w:r>
        <w:t xml:space="preserve">Both were rewritten to assert what the mutation actually changes.</w:t>
      </w:r>
    </w:p>
    <w:bookmarkEnd w:id="13"/>
    <w:bookmarkStart w:id="14" w:name="review-trail-114134-iterate-to-go"/>
    <w:p>
      <w:pPr>
        <w:pStyle w:val="Heading2"/>
      </w:pPr>
      <w:r>
        <w:t xml:space="preserve">Review trail (§11.4.134 iterate-to-GO)</w:t>
      </w:r>
    </w:p>
    <w:p>
      <w:pPr>
        <w:pStyle w:val="FirstParagraph"/>
      </w:pPr>
      <w:r>
        <w:t xml:space="preserve">Round 1 NO-GO — 1 BLOCKING (my corpus-removal loop over-deleted the</w:t>
      </w:r>
      <w:r>
        <w:t xml:space="preserve"> </w:t>
      </w:r>
      <w:r>
        <w:rPr>
          <w:rStyle w:val="VerbatimChar"/>
        </w:rPr>
        <w:t xml:space="preserve">## H.</w:t>
      </w:r>
      <w:r>
        <w:t xml:space="preserve"> </w:t>
      </w:r>
      <w:r>
        <w:t xml:space="preserve">header</w:t>
      </w:r>
      <w:r>
        <w:t xml:space="preserve"> </w:t>
      </w:r>
      <w:r>
        <w:t xml:space="preserve">and its §11.4.114 preamble; restored verbatim from</w:t>
      </w:r>
      <w:r>
        <w:t xml:space="preserve"> </w:t>
      </w:r>
      <w:r>
        <w:rPr>
          <w:rStyle w:val="VerbatimChar"/>
        </w:rPr>
        <w:t xml:space="preserve">git show HEAD:Issues.md</w:t>
      </w:r>
      <w:r>
        <w:t xml:space="preserve">), plus</w:t>
      </w:r>
      <w:r>
        <w:t xml:space="preserve"> </w:t>
      </w:r>
      <w:r>
        <w:t xml:space="preserve">IMPORTANT + MINOR findings. Round 2 NO-GO — 3 IMPORTANT, 3 MINOR; it also VERIFIED</w:t>
      </w:r>
      <w:r>
        <w:t xml:space="preserve"> </w:t>
      </w:r>
      <w:r>
        <w:t xml:space="preserve">the round-1 BLOCKING closed. Round 3 NO-GO — 1 IMPORTANT (the</w:t>
      </w:r>
      <w:r>
        <w:t xml:space="preserve"> </w:t>
      </w:r>
      <w:r>
        <w:rPr>
          <w:rStyle w:val="VerbatimChar"/>
        </w:rPr>
        <w:t xml:space="preserve">itemContentEqual</w:t>
      </w:r>
      <w:r>
        <w:t xml:space="preserve"> </w:t>
      </w:r>
      <w:r>
        <w:t xml:space="preserve">identity gap, found in the seam I asked the reviewer to attack). Round 4 GO — zero</w:t>
      </w:r>
      <w:r>
        <w:t xml:space="preserve"> </w:t>
      </w:r>
      <w:r>
        <w:t xml:space="preserve">findings, zero warnings. Delta review of the two filed tracker items GO. Delta review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§3.37 + this file NO-GO on 3 MINOR documentation-accuracy</w:t>
      </w:r>
      <w:r>
        <w:t xml:space="preserve"> </w:t>
      </w:r>
      <w:r>
        <w:t xml:space="preserve">findings (round attribution, the sentinel figures, and a superseded gitignored copy of</w:t>
      </w:r>
      <w:r>
        <w:t xml:space="preserve"> </w:t>
      </w:r>
      <w:r>
        <w:t xml:space="preserve">this file) — all three remediated.</w:t>
      </w:r>
    </w:p>
    <w:p>
      <w:pPr>
        <w:pStyle w:val="BodyText"/>
      </w:pPr>
      <w:r>
        <w:t xml:space="preserve">Round-numbering note (§11.4.6): no per-round review artifact was written to disk, so I</w:t>
      </w:r>
      <w:r>
        <w:t xml:space="preserve"> </w:t>
      </w:r>
      <w:r>
        <w:t xml:space="preserve">could not reconstruct the round-1/2 boundary from local state. The numbering is the</w:t>
      </w:r>
      <w:r>
        <w:t xml:space="preserve"> </w:t>
      </w:r>
      <w:r>
        <w:t xml:space="preserve">reviewer's record, now stated explicitly by it with a decisive argument: R1 and R5 ARE</w:t>
      </w:r>
      <w:r>
        <w:t xml:space="preserve"> </w:t>
      </w:r>
      <w:r>
        <w:t xml:space="preserve">round 2's own findings (IMPORTANT-N1 and MINOR-N4), and a mutation that BECAME a round-2</w:t>
      </w:r>
      <w:r>
        <w:t xml:space="preserve"> </w:t>
      </w:r>
      <w:r>
        <w:t xml:space="preserve">finding cannot have survived round 1 — round 1's suite had never seen it. Only M-A</w:t>
      </w:r>
      <w:r>
        <w:t xml:space="preserve"> </w:t>
      </w:r>
      <w:r>
        <w:t xml:space="preserve">survived round 1. Two revisions of this file got this wrong in opposite directions: the</w:t>
      </w:r>
      <w:r>
        <w:t xml:space="preserve"> </w:t>
      </w:r>
      <w:r>
        <w:t xml:space="preserve">first folded round 1 into round 2 and mis-dated the BLOCKING; the second over-rotated and</w:t>
      </w:r>
      <w:r>
        <w:t xml:space="preserve"> </w:t>
      </w:r>
      <w:r>
        <w:t xml:space="preserve">moved all three surviving mutations to round 1. This revision is the settled record.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closure-evidence</dc:title>
  <dc:creator/>
  <cp:keywords/>
  <dcterms:created xsi:type="dcterms:W3CDTF">2026-09-01T19:46:05Z</dcterms:created>
  <dcterms:modified xsi:type="dcterms:W3CDTF">2026-09-01T19:46:05Z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