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69" w:name="vasic-digital-tmux--qwenmd"/>
    <w:p>
      <w:pPr>
        <w:pStyle w:val="Heading1"/>
      </w:pPr>
      <w:r>
        <w:t xml:space="preserve">vasic-digital tmux — QWEN.md</w:t>
      </w:r>
    </w:p>
    <w:p>
      <w:pPr>
        <w:pStyle w:val="BlockText"/>
      </w:pPr>
      <w:r>
        <w:t xml:space="preserve">Qwen Code CLI agent view of this project's governance.</w:t>
      </w:r>
      <w:r>
        <w:t xml:space="preserve"> </w:t>
      </w:r>
      <w:r>
        <w:t xml:space="preserve">Base agent rules live at</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 For the full agent rule set see</w:t>
      </w:r>
      <w:r>
        <w:t xml:space="preserve"> </w:t>
      </w:r>
      <w:hyperlink r:id="rId10">
        <w:r>
          <w:rPr>
            <w:rStyle w:val="VerbatimChar"/>
          </w:rPr>
          <w:t xml:space="preserve">AGENTS.md</w:t>
        </w:r>
      </w:hyperlink>
      <w:r>
        <w:t xml:space="preserve">, which this file mirrors.</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1"/>
    <w:bookmarkStart w:id="12" w:name="project-overview"/>
    <w:p>
      <w:pPr>
        <w:pStyle w:val="Heading2"/>
      </w:pPr>
      <w:r>
        <w:t xml:space="preserve">Project overview</w:t>
      </w:r>
    </w:p>
    <w:p>
      <w:pPr>
        <w:pStyle w:val="FirstParagraph"/>
      </w:pPr>
      <w:r>
        <w:t xml:space="preserve">Verified hardened tmux</w:t>
      </w:r>
      <w:r>
        <w:t xml:space="preserve"> </w:t>
      </w:r>
      <w:r>
        <w:rPr>
          <w:rStyle w:val="VerbatimChar"/>
        </w:rPr>
        <w:t xml:space="preserve">3.7b</w:t>
      </w:r>
      <w:r>
        <w:t xml:space="preserve"> </w:t>
      </w:r>
      <w:r>
        <w:t xml:space="preserve">build — upstream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adopted by explicit operator decision 2026-09-01</w:t>
      </w:r>
      <w:r>
        <w:t xml:space="preserve"> </w:t>
      </w:r>
      <w:r>
        <w:t xml:space="preserve">(the same-day revision of that day's earlier untagged-master pin,</w:t>
      </w:r>
      <w:r>
        <w:t xml:space="preserve"> </w:t>
      </w:r>
      <w:r>
        <w:t xml:space="preserve">Project §107) —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with OS-native isolation</w:t>
      </w:r>
      <w:r>
        <w:t xml:space="preserve"> </w:t>
      </w:r>
      <w:r>
        <w:t xml:space="preserve">— cgroup-v2 scope on Linux, POSIX rlimit wrapper on macOS. Session</w:t>
      </w:r>
      <w:r>
        <w:t xml:space="preserve"> </w:t>
      </w:r>
      <w:r>
        <w:t xml:space="preserve">shell is the operator's host shell with full PATH. No VM.</w:t>
      </w:r>
    </w:p>
    <w:bookmarkEnd w:id="12"/>
    <w:bookmarkStart w:id="13"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Fix script-bug failures at the source</w:t>
      </w:r>
      <w:r>
        <w:t xml:space="preserve"> </w:t>
      </w:r>
      <w:r>
        <w:t xml:space="preserve">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Gate tests use</w:t>
      </w:r>
      <w:r>
        <w:t xml:space="preserve">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without explicit per-operation authorization.</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4"/>
    <w:bookmarkStart w:id="17" w:name="project-specific-agent-rules"/>
    <w:p>
      <w:pPr>
        <w:pStyle w:val="Heading2"/>
      </w:pPr>
      <w:r>
        <w:t xml:space="preserve">Project-specific agent rules</w:t>
      </w:r>
    </w:p>
    <w:bookmarkStart w:id="15" w:name="forbidden-in-this-project"/>
    <w:p>
      <w:pPr>
        <w:pStyle w:val="Heading3"/>
      </w:pPr>
      <w:r>
        <w:t xml:space="preserve">Forbidden in this project</w:t>
      </w:r>
    </w:p>
    <w:p>
      <w:pPr>
        <w:pStyle w:val="Compact"/>
        <w:numPr>
          <w:ilvl w:val="0"/>
          <w:numId w:val="1002"/>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2"/>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2"/>
        </w:numPr>
      </w:pPr>
      <w:r>
        <w:t xml:space="preserve">CI/CD pipeline files; HTTPS Git remotes (SSH only).</w:t>
      </w:r>
    </w:p>
    <w:p>
      <w:pPr>
        <w:pStyle w:val="Compact"/>
        <w:numPr>
          <w:ilvl w:val="0"/>
          <w:numId w:val="1002"/>
        </w:numPr>
      </w:pPr>
      <w:r>
        <w:t xml:space="preserve">Advancing the</w:t>
      </w:r>
      <w:r>
        <w:t xml:space="preserve"> </w:t>
      </w:r>
      <w:r>
        <w:rPr>
          <w:rStyle w:val="VerbatimChar"/>
        </w:rPr>
        <w:t xml:space="preserve">tmux/</w:t>
      </w:r>
      <w:r>
        <w:t xml:space="preserve"> </w:t>
      </w:r>
      <w:r>
        <w:t xml:space="preserve">submodule off pinned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without an explicit documented decision (Project §107).</w:t>
      </w:r>
    </w:p>
    <w:bookmarkEnd w:id="15"/>
    <w:bookmarkStart w:id="16" w:name="project-specific-workflow"/>
    <w:p>
      <w:pPr>
        <w:pStyle w:val="Heading3"/>
      </w:pPr>
      <w:r>
        <w:t xml:space="preserve">Project-specific workflow</w:t>
      </w:r>
    </w:p>
    <w:p>
      <w:pPr>
        <w:pStyle w:val="Compact"/>
        <w:numPr>
          <w:ilvl w:val="0"/>
          <w:numId w:val="1003"/>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3"/>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3"/>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bookmarkEnd w:id="16"/>
    <w:bookmarkEnd w:id="17"/>
    <w:bookmarkStart w:id="18" w:name="project-overrides-of-universal-rules"/>
    <w:p>
      <w:pPr>
        <w:pStyle w:val="Heading2"/>
      </w:pPr>
      <w:r>
        <w:t xml:space="preserve">Project overrides of universal rules</w:t>
      </w:r>
    </w:p>
    <w:p>
      <w:pPr>
        <w:pStyle w:val="FirstParagraph"/>
      </w:pPr>
      <w:r>
        <w:t xml:space="preserve">None.</w:t>
      </w:r>
    </w:p>
    <w:bookmarkEnd w:id="18"/>
    <w:bookmarkStart w:id="68"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w:t>
      </w:r>
    </w:p>
    <w:bookmarkStart w:id="19"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Issues.md has zero non-terminal items, CONTINUATION.md §3 empty,</w:t>
      </w:r>
      <w:r>
        <w:t xml:space="preserve"> </w:t>
      </w:r>
      <w:r>
        <w:t xml:space="preserve">no in-flight subagent, no external dependency in-flight. Every closure</w:t>
      </w:r>
      <w:r>
        <w:t xml:space="preserve"> </w:t>
      </w:r>
      <w:r>
        <w:t xml:space="preserve">carries §11.4.4(b) four-layer coverage + captured-evidence per</w:t>
      </w:r>
      <w:r>
        <w:t xml:space="preserve"> </w:t>
      </w:r>
      <w:r>
        <w:t xml:space="preserve">§11.4.5/§11.4.69.</w:t>
      </w:r>
      <w:r>
        <w:t xml:space="preserve"> </w:t>
      </w:r>
      <w:r>
        <w:rPr>
          <w:b/>
          <w:bCs/>
        </w:rPr>
        <w:t xml:space="preserve">Canonical authority:</w:t>
      </w:r>
      <w:r>
        <w:t xml:space="preserve"> </w:t>
      </w:r>
      <w:r>
        <w:t xml:space="preserve">§11.4.87.</w:t>
      </w:r>
    </w:p>
    <w:bookmarkEnd w:id="19"/>
    <w:bookmarkStart w:id="20" w:name="Xb4a1c48452d39a82f04de28f9f7bab83953f6c8"/>
    <w:p>
      <w:pPr>
        <w:pStyle w:val="Heading3"/>
      </w:pPr>
      <w:r>
        <w:t xml:space="preserve">§11.4.88 — Background-push: commit-flock immediate release,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the moment</w:t>
      </w:r>
      <w:r>
        <w:t xml:space="preserve"> </w:t>
      </w:r>
      <w:r>
        <w:rPr>
          <w:rStyle w:val="VerbatimChar"/>
        </w:rPr>
        <w:t xml:space="preserve">git commit</w:t>
      </w:r>
      <w:r>
        <w:t xml:space="preserve"> </w:t>
      </w:r>
      <w:r>
        <w:t xml:space="preserve">returns 0; push runs</w:t>
      </w:r>
      <w:r>
        <w:t xml:space="preserve"> </w:t>
      </w:r>
      <w:r>
        <w:t xml:space="preserve">detached. Per-remote flock for concurrency control. Only escape:</w:t>
      </w:r>
      <w:r>
        <w:t xml:space="preserve"> </w:t>
      </w:r>
      <w:r>
        <w:rPr>
          <w:rStyle w:val="VerbatimChar"/>
        </w:rPr>
        <w:t xml:space="preserve">--sync-push</w:t>
      </w:r>
      <w:r>
        <w:t xml:space="preserve"> </w:t>
      </w:r>
      <w:r>
        <w:t xml:space="preserve">for §11.4.41 force-push.</w:t>
      </w:r>
      <w:r>
        <w:t xml:space="preserve"> </w:t>
      </w:r>
      <w:r>
        <w:rPr>
          <w:b/>
          <w:bCs/>
        </w:rPr>
        <w:t xml:space="preserve">Canonical authority:</w:t>
      </w:r>
      <w:r>
        <w:t xml:space="preserve"> </w:t>
      </w:r>
      <w:r>
        <w:t xml:space="preserve">§11.4.88.</w:t>
      </w:r>
    </w:p>
    <w:bookmarkEnd w:id="20"/>
    <w:bookmarkStart w:id="21"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 &gt; 30 s</w:t>
      </w:r>
      <w:r>
        <w:t xml:space="preserve"> </w:t>
      </w:r>
      <w:r>
        <w:t xml:space="preserve">MUST be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 stream</w:t>
      </w:r>
      <w:r>
        <w:t xml:space="preserve"> </w:t>
      </w:r>
      <w:r>
        <w:t xml:space="preserve">returns to §11.4.42 priority queue.</w:t>
      </w:r>
      <w:r>
        <w:t xml:space="preserve"> </w:t>
      </w:r>
      <w:r>
        <w:rPr>
          <w:b/>
          <w:bCs/>
        </w:rPr>
        <w:t xml:space="preserve">Canonical authority:</w:t>
      </w:r>
      <w:r>
        <w:t xml:space="preserve"> </w:t>
      </w:r>
      <w:r>
        <w:t xml:space="preserve">§11.4.89.</w:t>
      </w:r>
    </w:p>
    <w:bookmarkEnd w:id="21"/>
    <w:bookmarkStart w:id="22"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Status</w:t>
      </w:r>
      <w:r>
        <w:t xml:space="preserve"> </w:t>
      </w:r>
      <w:r>
        <w:t xml:space="preserve">terminal value</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audit-line (Since + Reason + Superseding-item + Triple-check evidence).</w:t>
      </w:r>
      <w:r>
        <w:t xml:space="preserve"> </w:t>
      </w:r>
      <w:r>
        <w:rPr>
          <w:b/>
          <w:bCs/>
        </w:rPr>
        <w:t xml:space="preserve">Canonical authority:</w:t>
      </w:r>
      <w:r>
        <w:t xml:space="preserve"> </w:t>
      </w:r>
      <w:r>
        <w:t xml:space="preserve">§11.4.90.</w:t>
      </w:r>
    </w:p>
    <w:bookmarkEnd w:id="22"/>
    <w:bookmarkStart w:id="23"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Forbidden anti-patterns: section labels, bare metadata, §-letter alone.</w:t>
      </w:r>
      <w:r>
        <w:t xml:space="preserve"> </w:t>
      </w:r>
      <w:r>
        <w:rPr>
          <w:b/>
          <w:bCs/>
        </w:rPr>
        <w:t xml:space="preserve">Canonical authority:</w:t>
      </w:r>
      <w:r>
        <w:t xml:space="preserve"> </w:t>
      </w:r>
      <w:r>
        <w:t xml:space="preserve">§11.4.91.</w:t>
      </w:r>
    </w:p>
    <w:bookmarkEnd w:id="23"/>
    <w:bookmarkStart w:id="24"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main-task evidence; regression blast radius; cross-feature</w:t>
      </w:r>
      <w:r>
        <w:t xml:space="preserve"> </w:t>
      </w:r>
      <w:r>
        <w:t xml:space="preserve">interaction; deep research + CodeGraph; anti-bluff confirmation.</w:t>
      </w:r>
      <w:r>
        <w:t xml:space="preserve"> </w:t>
      </w:r>
      <w:r>
        <w:t xml:space="preserve">Trivial exemption only for zero-source-touch commits.</w:t>
      </w:r>
      <w:r>
        <w:t xml:space="preserve"> </w:t>
      </w:r>
      <w:r>
        <w:rPr>
          <w:b/>
          <w:bCs/>
        </w:rPr>
        <w:t xml:space="preserve">Canonical</w:t>
      </w:r>
      <w:r>
        <w:rPr>
          <w:b/>
          <w:bCs/>
        </w:rPr>
        <w:t xml:space="preserve"> </w:t>
      </w:r>
      <w:r>
        <w:rPr>
          <w:b/>
          <w:bCs/>
        </w:rPr>
        <w:t xml:space="preserve">authority:</w:t>
      </w:r>
      <w:r>
        <w:t xml:space="preserve"> </w:t>
      </w:r>
      <w:r>
        <w:t xml:space="preserve">§11.4.92.</w:t>
      </w:r>
    </w:p>
    <w:bookmarkEnd w:id="24"/>
    <w:bookmarkStart w:id="25"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Authoritative</w:t>
      </w:r>
      <w:r>
        <w:t xml:space="preserve"> </w:t>
      </w:r>
      <w:r>
        <w:t xml:space="preserve">DB at</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bidirectional sync. Round-trip byte-identical within whitespace</w:t>
      </w:r>
      <w:r>
        <w:t xml:space="preserve"> </w:t>
      </w:r>
      <w:r>
        <w:t xml:space="preserve">tolerance.</w:t>
      </w:r>
      <w:r>
        <w:t xml:space="preserve"> </w:t>
      </w:r>
      <w:r>
        <w:rPr>
          <w:rStyle w:val="VerbatimChar"/>
        </w:rPr>
        <w:t xml:space="preserve">commit_all.sh</w:t>
      </w:r>
      <w:r>
        <w:t xml:space="preserve"> </w:t>
      </w:r>
      <w:r>
        <w:t xml:space="preserve">refuses non-empty diff.</w:t>
      </w:r>
      <w:r>
        <w:t xml:space="preserve"> </w:t>
      </w:r>
      <w:r>
        <w:rPr>
          <w:b/>
          <w:bCs/>
        </w:rPr>
        <w:t xml:space="preserve">Canonical</w:t>
      </w:r>
      <w:r>
        <w:rPr>
          <w:b/>
          <w:bCs/>
        </w:rPr>
        <w:t xml:space="preserve"> </w:t>
      </w:r>
      <w:r>
        <w:rPr>
          <w:b/>
          <w:bCs/>
        </w:rPr>
        <w:t xml:space="preserve">authority:</w:t>
      </w:r>
      <w:r>
        <w:t xml:space="preserve"> </w:t>
      </w:r>
      <w:r>
        <w:t xml:space="preserve">§11.4.93.</w:t>
      </w:r>
    </w:p>
    <w:bookmarkEnd w:id="25"/>
    <w:bookmarkStart w:id="26"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wake/sleep, survey parallel-work feasibility and dispatch</w:t>
      </w:r>
      <w:r>
        <w:t xml:space="preserve"> </w:t>
      </w:r>
      <w:r>
        <w:t xml:space="preserve">non-contending items via subagent-driven default.</w:t>
      </w:r>
      <w:r>
        <w:t xml:space="preserve"> </w:t>
      </w:r>
      <w:r>
        <w:rPr>
          <w:b/>
          <w:bCs/>
        </w:rPr>
        <w:t xml:space="preserve">Canonical</w:t>
      </w:r>
      <w:r>
        <w:rPr>
          <w:b/>
          <w:bCs/>
        </w:rPr>
        <w:t xml:space="preserve"> </w:t>
      </w:r>
      <w:r>
        <w:rPr>
          <w:b/>
          <w:bCs/>
        </w:rPr>
        <w:t xml:space="preserve">authority:</w:t>
      </w:r>
      <w:r>
        <w:t xml:space="preserve"> </w:t>
      </w:r>
      <w:r>
        <w:t xml:space="preserve">§11.4.94.</w:t>
      </w:r>
    </w:p>
    <w:bookmarkEnd w:id="26"/>
    <w:bookmarkStart w:id="27"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t xml:space="preserve">the DB is authoritative source data, TRACKED, never gitignored. Every</w:t>
      </w:r>
      <w:r>
        <w:t xml:space="preserve"> </w:t>
      </w:r>
      <w:r>
        <w:t xml:space="preserve">mutation stages + commits + pushes alongside the MD regen.</w:t>
      </w:r>
      <w:r>
        <w:t xml:space="preserve"> </w:t>
      </w:r>
      <w:r>
        <w:t xml:space="preserve">WAL-checkpoint before commit-stage.</w:t>
      </w:r>
      <w:r>
        <w:t xml:space="preserve"> </w:t>
      </w:r>
      <w:r>
        <w:rPr>
          <w:b/>
          <w:bCs/>
        </w:rPr>
        <w:t xml:space="preserve">Canonical authority:</w:t>
      </w:r>
      <w:r>
        <w:t xml:space="preserve"> </w:t>
      </w:r>
      <w:r>
        <w:t xml:space="preserve">§11.4.95.</w:t>
      </w:r>
    </w:p>
    <w:bookmarkEnd w:id="27"/>
    <w:bookmarkStart w:id="28"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SAFE during</w:t>
      </w:r>
      <w:r>
        <w:t xml:space="preserve"> </w:t>
      </w:r>
      <w:r>
        <w:t xml:space="preserve">long builds: docs/scripts/tests/submodule pushes, research, DB ops,</w:t>
      </w:r>
      <w:r>
        <w:t xml:space="preserve"> </w:t>
      </w:r>
      <w:r>
        <w:t xml:space="preserve">subagent dispatch. UNSAFE: destructive git ops, mass deletes,</w:t>
      </w:r>
      <w:r>
        <w:t xml:space="preserve"> </w:t>
      </w:r>
      <w:r>
        <w:t xml:space="preserve">host-safety breaches. Conductor consults catalogue at every pause.</w:t>
      </w:r>
      <w:r>
        <w:t xml:space="preserve"> </w:t>
      </w:r>
      <w:r>
        <w:rPr>
          <w:b/>
          <w:bCs/>
        </w:rPr>
        <w:t xml:space="preserve">Canonical authority:</w:t>
      </w:r>
      <w:r>
        <w:t xml:space="preserve"> </w:t>
      </w:r>
      <w:r>
        <w:t xml:space="preserve">§11.4.96.</w:t>
      </w:r>
    </w:p>
    <w:bookmarkEnd w:id="28"/>
    <w:bookmarkStart w:id="29"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is a</w:t>
      </w:r>
      <w:r>
        <w:t xml:space="preserve"> </w:t>
      </w:r>
      <w:r>
        <w:t xml:space="preserve">§11.4.97 violation. 1-line operator-facing update at every commit /</w:t>
      </w:r>
      <w:r>
        <w:t xml:space="preserve"> </w:t>
      </w:r>
      <w:r>
        <w:t xml:space="preserve">subagent return / anchor landing / evidence acquisition / milestone.</w:t>
      </w:r>
      <w:r>
        <w:t xml:space="preserve"> </w:t>
      </w:r>
      <w:r>
        <w:rPr>
          <w:b/>
          <w:bCs/>
        </w:rPr>
        <w:t xml:space="preserve">Canonical authority:</w:t>
      </w:r>
      <w:r>
        <w:t xml:space="preserve"> </w:t>
      </w:r>
      <w:r>
        <w:t xml:space="preserve">§11.4.97.</w:t>
      </w:r>
    </w:p>
    <w:bookmarkEnd w:id="29"/>
    <w:bookmarkStart w:id="30"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fully self-driving end-to-end, emits PASS/FAIL/SKIP-with-reason without</w:t>
      </w:r>
      <w:r>
        <w:t xml:space="preserve"> </w:t>
      </w:r>
      <w:r>
        <w:t xml:space="preserve">further human action after startup. Only exception: one-time credential</w:t>
      </w:r>
      <w:r>
        <w:t xml:space="preserve"> </w:t>
      </w:r>
      <w:r>
        <w:t xml:space="preserve">bootstrap OUTSIDE test execution. Re-runnability proof = PASS at</w:t>
      </w:r>
      <w:r>
        <w:t xml:space="preserve"> </w:t>
      </w:r>
      <w:r>
        <w:rPr>
          <w:rStyle w:val="VerbatimChar"/>
        </w:rPr>
        <w:t xml:space="preserve">-count=3</w:t>
      </w:r>
      <w:r>
        <w:t xml:space="preserve"> </w:t>
      </w:r>
      <w:r>
        <w:t xml:space="preserve">consecutive automated invocations.</w:t>
      </w:r>
      <w:r>
        <w:t xml:space="preserve"> </w:t>
      </w:r>
      <w:r>
        <w:rPr>
          <w:b/>
          <w:bCs/>
        </w:rPr>
        <w:t xml:space="preserve">Canonical authority:</w:t>
      </w:r>
      <w:r>
        <w:t xml:space="preserve"> </w:t>
      </w:r>
      <w:r>
        <w:t xml:space="preserve">§11.4.98.</w:t>
      </w:r>
    </w:p>
    <w:bookmarkEnd w:id="30"/>
    <w:bookmarkStart w:id="31"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Operator-facing docs MUST cite LATEST official online</w:t>
      </w:r>
      <w:r>
        <w:t xml:space="preserve"> </w:t>
      </w:r>
      <w:r>
        <w:t xml:space="preserve">sources verified via WebFetch / MCP / direct browsing.</w:t>
      </w:r>
      <w:r>
        <w:t xml:space="preserve"> </w:t>
      </w:r>
      <w:r>
        <w:rPr>
          <w:rStyle w:val="VerbatimChar"/>
        </w:rPr>
        <w:t xml:space="preserve">## Sources verified &lt;date&gt;</w:t>
      </w:r>
      <w:r>
        <w:t xml:space="preserve"> </w:t>
      </w:r>
      <w:r>
        <w:t xml:space="preserve">section + commit-footer</w:t>
      </w:r>
      <w:r>
        <w:t xml:space="preserve"> </w:t>
      </w:r>
      <w:r>
        <w:rPr>
          <w:rStyle w:val="VerbatimChar"/>
        </w:rPr>
        <w:t xml:space="preserve">Sources verified &lt;date&gt;: &lt;urls&gt;</w:t>
      </w:r>
      <w:r>
        <w:t xml:space="preserve"> </w:t>
      </w:r>
      <w:r>
        <w:t xml:space="preserve">MANDATORY. Re-verify cadence: ≤6 mo general / ≤90 d for risk-</w:t>
      </w:r>
      <w:r>
        <w:t xml:space="preserve"> </w:t>
      </w:r>
      <w:r>
        <w:t xml:space="preserve">class (messengers, cloud, payments, LLM, code-host, package mgrs). Stale</w:t>
      </w:r>
      <w:r>
        <w:t xml:space="preserve"> </w:t>
      </w:r>
      <w:r>
        <w:t xml:space="preserve">→ §11.4.90 Obsolete after 30-day grace.</w:t>
      </w:r>
      <w:r>
        <w:t xml:space="preserve"> </w:t>
      </w:r>
      <w:r>
        <w:rPr>
          <w:b/>
          <w:bCs/>
        </w:rPr>
        <w:t xml:space="preserve">Canonical authority:</w:t>
      </w:r>
      <w:r>
        <w:t xml:space="preserve"> </w:t>
      </w:r>
      <w:r>
        <w:t xml:space="preserve">§11.4.99.</w:t>
      </w:r>
    </w:p>
    <w:p>
      <w:pPr>
        <w:pStyle w:val="BodyText"/>
      </w:pPr>
      <w:r>
        <w:rPr>
          <w:b/>
          <w:bCs/>
        </w:rPr>
        <w:t xml:space="preserve">§11.4.100 — RETIRED.</w:t>
      </w:r>
      <w:r>
        <w:t xml:space="preserve"> </w:t>
      </w:r>
      <w:r>
        <w:t xml:space="preserve">Demoted to consumer project per §11.4.17 /</w:t>
      </w:r>
      <w:r>
        <w:t xml:space="preserve"> </w:t>
      </w:r>
      <w:r>
        <w:t xml:space="preserve">§11.4.35 — project-specific (RK3588/MPV/Arvus video-color/visual-quality</w:t>
      </w:r>
      <w:r>
        <w:t xml:space="preserve"> </w:t>
      </w:r>
      <w:r>
        <w:t xml:space="preserve">fidelity), not universal. Correctly absent from the consumer governance</w:t>
      </w:r>
      <w:r>
        <w:t xml:space="preserve"> </w:t>
      </w:r>
      <w:r>
        <w:t xml:space="preserve">fleet.</w:t>
      </w:r>
      <w:r>
        <w:t xml:space="preserve"> </w:t>
      </w:r>
      <w:r>
        <w:rPr>
          <w:b/>
          <w:bCs/>
        </w:rPr>
        <w:t xml:space="preserve">Canonical authority:</w:t>
      </w:r>
      <w:r>
        <w:t xml:space="preserve"> </w:t>
      </w:r>
      <w:r>
        <w:rPr>
          <w:rStyle w:val="VerbatimChar"/>
        </w:rPr>
        <w:t xml:space="preserve">constitution/Constitution.md</w:t>
      </w:r>
      <w:r>
        <w:t xml:space="preserve"> </w:t>
      </w:r>
      <w:r>
        <w:t xml:space="preserve">§11.4.100.</w:t>
      </w:r>
    </w:p>
    <w:bookmarkEnd w:id="31"/>
    <w:bookmarkStart w:id="32"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2"/>
    <w:bookmarkStart w:id="3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3"/>
    <w:bookmarkStart w:id="3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4"/>
    <w:bookmarkStart w:id="3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5"/>
    <w:bookmarkStart w:id="3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36"/>
    <w:bookmarkStart w:id="3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37"/>
    <w:bookmarkStart w:id="38"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38"/>
    <w:bookmarkStart w:id="39"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39"/>
    <w:bookmarkStart w:id="4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0"/>
    <w:bookmarkStart w:id="4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1"/>
    <w:bookmarkStart w:id="4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2"/>
    <w:bookmarkStart w:id="4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3"/>
    <w:bookmarkStart w:id="44"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4"/>
    <w:bookmarkStart w:id="4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5"/>
    <w:bookmarkStart w:id="4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46"/>
    <w:bookmarkStart w:id="4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47"/>
    <w:bookmarkStart w:id="4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48"/>
    <w:bookmarkStart w:id="4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49"/>
    <w:bookmarkStart w:id="5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0"/>
    <w:bookmarkStart w:id="5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1"/>
    <w:bookmarkStart w:id="5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2"/>
    <w:bookmarkStart w:id="5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3"/>
    <w:bookmarkStart w:id="5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4"/>
    <w:bookmarkStart w:id="5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5"/>
    <w:bookmarkStart w:id="5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56"/>
    <w:bookmarkStart w:id="5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57"/>
    <w:bookmarkStart w:id="5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58"/>
    <w:bookmarkStart w:id="5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59"/>
    <w:bookmarkStart w:id="6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0"/>
    <w:bookmarkStart w:id="6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1"/>
    <w:bookmarkStart w:id="6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2"/>
    <w:bookmarkStart w:id="6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3"/>
    <w:bookmarkStart w:id="6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4"/>
    <w:bookmarkStart w:id="6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66">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5">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§11.4.170.</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 Type="http://schemas.openxmlformats.org/officeDocument/2006/relationships/hyperlink" Id="rId66"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 Type="http://schemas.openxmlformats.org/officeDocument/2006/relationships/hyperlink" Id="rId66"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cp:keywords/>
  <dcterms:created xsi:type="dcterms:W3CDTF">2026-09-01T16:13:24Z</dcterms:created>
  <dcterms:modified xsi:type="dcterms:W3CDTF">2026-09-01T16:13:24Z</dcterms:modified>
</cp:coreProperties>
</file>

<file path=docProps/custom.xml><?xml version="1.0" encoding="utf-8"?>
<Properties xmlns="http://schemas.openxmlformats.org/officeDocument/2006/custom-properties" xmlns:vt="http://schemas.openxmlformats.org/officeDocument/2006/docPropsVTypes"/>
</file>