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golden_fixed</w:t>
      </w:r>
    </w:p>
    <w:bookmarkStart w:id="11" w:name="vasic-digital-tmux--closed-items-tracker"/>
    <w:p>
      <w:pPr>
        <w:pStyle w:val="Heading1"/>
      </w:pPr>
      <w:r>
        <w:t xml:space="preserve">vasic-digital tmux — Closed Items Tracker</w:t>
      </w:r>
    </w:p>
    <w:p>
      <w:pPr>
        <w:pStyle w:val="BlockText"/>
      </w:pPr>
      <w:r>
        <w:t xml:space="preserve">§11.4.93 SQLite-SSoT generated. Closures land here via</w:t>
      </w:r>
      <w:r>
        <w:t xml:space="preserve"> </w:t>
      </w:r>
      <w:r>
        <w:rPr>
          <w:rStyle w:val="VerbatimChar"/>
        </w:rPr>
        <w:t xml:space="preserve">workable-items close TMX-NNN --status fixed|implemented|completed|obsolete</w:t>
      </w:r>
      <w:r>
        <w:t xml:space="preserve">.</w:t>
      </w:r>
    </w:p>
    <w:bookmarkStart w:id="10" w:name="items"/>
    <w:p>
      <w:pPr>
        <w:pStyle w:val="Heading2"/>
      </w:pPr>
      <w:r>
        <w:t xml:space="preserve">Items</w:t>
      </w:r>
    </w:p>
    <w:bookmarkStart w:id="9" w:name="Xcc55e8204382c89b2f2fd38d089b59fc86caf0a"/>
    <w:p>
      <w:pPr>
        <w:pStyle w:val="Heading3"/>
      </w:pPr>
      <w:r>
        <w:t xml:space="preserve">A3. SQLite-SSoT scaffold finalised + binary built + tests green —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rPr>
          <w:b/>
          <w:bCs/>
        </w:rPr>
        <w:t xml:space="preserve">TMX-ID:</w:t>
      </w:r>
      <w:r>
        <w:t xml:space="preserve"> </w:t>
      </w:r>
      <w:r>
        <w:t xml:space="preserve">TMX-003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Project-local cmd/workable-items binary implements md-to-db + db-to-md + diff + validate + add + close with embedded schema synced from constitution submodule.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golden_fixed</dc:title>
  <dc:creator/>
  <cp:keywords/>
  <dcterms:created xsi:type="dcterms:W3CDTF">2026-09-01T16:11:56Z</dcterms:created>
  <dcterms:modified xsi:type="dcterms:W3CDTF">2026-09-01T16:11:56Z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