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23" w:name="workable-items--operator-guide"/>
    <w:p>
      <w:pPr>
        <w:pStyle w:val="Heading1"/>
      </w:pPr>
      <w:r>
        <w:t xml:space="preserve">workable-items — Operator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2026-05-28T17:00:00Z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Operator-facing guide for the v1.0.15 project-local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Go binary — the §11.4.93 SQLite Single-Source-of-Truth for every workable item tracked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412dda37e299d038f3e86cf16f3170b2a9ceadc"/>
    <w:p>
      <w:pPr>
        <w:pStyle w:val="Heading2"/>
      </w:pPr>
      <w:r>
        <w:t xml:space="preserve">1. What this is</w:t>
      </w:r>
    </w:p>
    <w:p>
      <w:pPr>
        <w:pStyle w:val="FirstParagraph"/>
      </w:pPr>
      <w:r>
        <w:rPr>
          <w:rStyle w:val="VerbatimChar"/>
        </w:rPr>
        <w:t xml:space="preserve">cmd/workable-items/</w:t>
      </w:r>
      <w:r>
        <w:t xml:space="preserve"> </w:t>
      </w:r>
      <w:r>
        <w:t xml:space="preserve">is a small Go binary that owns the canonical</w:t>
      </w:r>
      <w:r>
        <w:t xml:space="preserve"> </w:t>
      </w:r>
      <w:r>
        <w:t xml:space="preserve">form of every workable item in the tmux project. The on-disk truth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— a SQLite file</w:t>
      </w:r>
      <w:r>
        <w:t xml:space="preserve"> </w:t>
      </w:r>
      <w:r>
        <w:rPr>
          <w:b/>
          <w:bCs/>
        </w:rPr>
        <w:t xml:space="preserve">tracked in git per</w:t>
      </w:r>
      <w:r>
        <w:rPr>
          <w:b/>
          <w:bCs/>
        </w:rPr>
        <w:t xml:space="preserve"> </w:t>
      </w:r>
      <w:r>
        <w:rPr>
          <w:b/>
          <w:bCs/>
        </w:rPr>
        <w:t xml:space="preserve">§11.4.95</w:t>
      </w:r>
      <w:r>
        <w:t xml:space="preserve">. Markdown (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) is regenerated FROM</w:t>
      </w:r>
      <w:r>
        <w:t xml:space="preserve"> </w:t>
      </w:r>
      <w:r>
        <w:t xml:space="preserve">the DB; the DB is regenerated FROM the Markdown. Round-trip drift is</w:t>
      </w:r>
      <w:r>
        <w:t xml:space="preserve"> </w:t>
      </w:r>
      <w:r>
        <w:t xml:space="preserve">detected by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.</w:t>
      </w:r>
    </w:p>
    <w:p>
      <w:pPr>
        <w:pStyle w:val="BodyText"/>
      </w:pPr>
      <w:r>
        <w:t xml:space="preserve">Two design constraints govern the layout: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§11.4.93 SQLite-SSoT mandate.</w:t>
      </w:r>
      <w:r>
        <w:t xml:space="preserve"> </w:t>
      </w:r>
      <w:r>
        <w:t xml:space="preserve">Workable items must live in a</w:t>
      </w:r>
      <w:r>
        <w:t xml:space="preserve"> </w:t>
      </w:r>
      <w:r>
        <w:t xml:space="preserve">structured, queryable store — not free-form Markdown — so that</w:t>
      </w:r>
      <w:r>
        <w:t xml:space="preserve"> </w:t>
      </w:r>
      <w:r>
        <w:t xml:space="preserve">validation (§11.4.33 closure vocabulary, §11.4.91 description</w:t>
      </w:r>
      <w:r>
        <w:t xml:space="preserve"> </w:t>
      </w:r>
      <w:r>
        <w:t xml:space="preserve">clarity, §11.4.5 / §11.4.69 evidence-required-on-close) can be</w:t>
      </w:r>
      <w:r>
        <w:t xml:space="preserve"> </w:t>
      </w:r>
      <w:r>
        <w:t xml:space="preserve">enforced mechanically.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§11.4.95 DB tracked in git mandate.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is checked into git on every commit. Operators inspecting the</w:t>
      </w:r>
      <w:r>
        <w:t xml:space="preserve"> </w:t>
      </w:r>
      <w:r>
        <w:t xml:space="preserve">tracker get a deterministic snapshot per SHA; there is no "DB on</w:t>
      </w:r>
      <w:r>
        <w:t xml:space="preserve"> </w:t>
      </w:r>
      <w:r>
        <w:t xml:space="preserve">the server, Markdown in git" split-brain.</w:t>
      </w:r>
    </w:p>
    <w:p>
      <w:pPr>
        <w:pStyle w:val="FirstParagraph"/>
      </w:pPr>
      <w:r>
        <w:t xml:space="preserve">The constitution submodule (</w:t>
      </w:r>
      <w:r>
        <w:rPr>
          <w:rStyle w:val="VerbatimChar"/>
        </w:rPr>
        <w:t xml:space="preserve">constitution/scripts/workable-items/</w:t>
      </w:r>
      <w:r>
        <w:t xml:space="preserve">)</w:t>
      </w:r>
      <w:r>
        <w:t xml:space="preserve"> </w:t>
      </w:r>
      <w:r>
        <w:t xml:space="preserve">ships a Phase-2 scaffold (stubs + canonical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). The</w:t>
      </w:r>
      <w:r>
        <w:t xml:space="preserve"> </w:t>
      </w:r>
      <w:r>
        <w:t xml:space="preserve">Phase 3+ implementation lives in THIS repo at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per the</w:t>
      </w:r>
      <w:r>
        <w:t xml:space="preserve"> </w:t>
      </w:r>
      <w:r>
        <w:rPr>
          <w:rStyle w:val="VerbatimChar"/>
        </w:rPr>
        <w:t xml:space="preserve">feedback_no_modify_constitution</w:t>
      </w:r>
      <w:r>
        <w:t xml:space="preserve"> </w:t>
      </w:r>
      <w:r>
        <w:t xml:space="preserve">memory rule. Upstream PR</w:t>
      </w:r>
      <w:r>
        <w:t xml:space="preserve"> </w:t>
      </w:r>
      <w:r>
        <w:t xml:space="preserve">to HelixDevelopment/HelixConstitution is tracked as a follow-up.</w:t>
      </w:r>
    </w:p>
    <w:p>
      <w:r>
        <w:pict>
          <v:rect style="width:0;height:1.5pt" o:hralign="center" o:hrstd="t" o:hr="t"/>
        </w:pict>
      </w:r>
    </w:p>
    <w:bookmarkEnd w:id="9"/>
    <w:bookmarkStart w:id="10" w:name="X51ff81f2bdac786dcfd1783fa0af27f492b68fa"/>
    <w:p>
      <w:pPr>
        <w:pStyle w:val="Heading2"/>
      </w:pPr>
      <w:r>
        <w:t xml:space="preserve">2. Quick start</w:t>
      </w:r>
    </w:p>
    <w:p>
      <w:pPr>
        <w:pStyle w:val="SourceCode"/>
      </w:pPr>
      <w:r>
        <w:rPr>
          <w:rStyle w:val="CommentTok"/>
        </w:rPr>
        <w:t xml:space="preserve"># Build (no CGO, no system SQLite required)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./cmd/workable-items</w:t>
      </w:r>
      <w:r>
        <w:br/>
      </w:r>
      <w:r>
        <w:rPr>
          <w:rStyle w:val="CommentTok"/>
        </w:rPr>
        <w:t xml:space="preserve"># → produces ./workable-items in CWD</w:t>
      </w:r>
      <w:r>
        <w:br/>
      </w:r>
      <w:r>
        <w:br/>
      </w:r>
      <w:r>
        <w:rPr>
          <w:rStyle w:val="CommentTok"/>
        </w:rPr>
        <w:t xml:space="preserve"># Show every item in the DB</w:t>
      </w:r>
      <w:r>
        <w:br/>
      </w:r>
      <w:r>
        <w:rPr>
          <w:rStyle w:val="ExtensionTok"/>
        </w:rPr>
        <w:t xml:space="preserve">./cmd/workable-items/workable-items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Validate the DB against §11.4 mandates</w:t>
      </w:r>
      <w:r>
        <w:br/>
      </w:r>
      <w:r>
        <w:rPr>
          <w:rStyle w:val="ExtensionTok"/>
        </w:rPr>
        <w:t xml:space="preserve">./cmd/workable-items/workable-items</w:t>
      </w:r>
      <w:r>
        <w:rPr>
          <w:rStyle w:val="NormalTok"/>
        </w:rPr>
        <w:t xml:space="preserve"> validate</w:t>
      </w:r>
      <w:r>
        <w:br/>
      </w:r>
      <w:r>
        <w:br/>
      </w:r>
      <w:r>
        <w:rPr>
          <w:rStyle w:val="CommentTok"/>
        </w:rPr>
        <w:t xml:space="preserve"># Detect Markdown ↔ DB drift (exits 1 on drift)</w:t>
      </w:r>
      <w:r>
        <w:br/>
      </w:r>
      <w:r>
        <w:rPr>
          <w:rStyle w:val="ExtensionTok"/>
        </w:rPr>
        <w:t xml:space="preserve">./cmd/workable-items/workable-items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Sync DB → regenerated Markdown (writes under docs/workable-items/regen/)</w:t>
      </w:r>
      <w:r>
        <w:br/>
      </w:r>
      <w:r>
        <w:rPr>
          <w:rStyle w:val="ExtensionTok"/>
        </w:rPr>
        <w:t xml:space="preserve">./cmd/workable-items/workable-items</w:t>
      </w:r>
      <w:r>
        <w:rPr>
          <w:rStyle w:val="NormalTok"/>
        </w:rPr>
        <w:t xml:space="preserve"> sync db-to-md</w:t>
      </w:r>
      <w:r>
        <w:br/>
      </w:r>
      <w:r>
        <w:br/>
      </w:r>
      <w:r>
        <w:rPr>
          <w:rStyle w:val="CommentTok"/>
        </w:rPr>
        <w:t xml:space="preserve"># Sync Markdown → DB (re-parse Issues.md + Fixed.md, allocate TMX-NNNs)</w:t>
      </w:r>
      <w:r>
        <w:br/>
      </w:r>
      <w:r>
        <w:rPr>
          <w:rStyle w:val="ExtensionTok"/>
        </w:rPr>
        <w:t xml:space="preserve">./cmd/workable-items/workable-items</w:t>
      </w:r>
      <w:r>
        <w:rPr>
          <w:rStyle w:val="NormalTok"/>
        </w:rPr>
        <w:t xml:space="preserve"> sync md-to-db</w:t>
      </w:r>
      <w:r>
        <w:br/>
      </w:r>
      <w:r>
        <w:br/>
      </w:r>
      <w:r>
        <w:rPr>
          <w:rStyle w:val="CommentTok"/>
        </w:rPr>
        <w:t xml:space="preserve"># Add a new item</w:t>
      </w:r>
      <w:r>
        <w:br/>
      </w:r>
      <w:r>
        <w:rPr>
          <w:rStyle w:val="ExtensionTok"/>
        </w:rPr>
        <w:t xml:space="preserve">./cmd/workable-items/workable-items</w:t>
      </w:r>
      <w:r>
        <w:rPr>
          <w:rStyle w:val="NormalTok"/>
        </w:rPr>
        <w:t xml:space="preserve">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Bug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HIGH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"Wheel scroll broken on Termux"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"Pinch-to-zoom intercepts touch before tmux sees wheel events; need explicit binding for Termux's gesture handler"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CommentTok"/>
        </w:rPr>
        <w:t xml:space="preserve"># Close an item with evidence (§11.4.5 + §11.4.69)</w:t>
      </w:r>
      <w:r>
        <w:br/>
      </w:r>
      <w:r>
        <w:rPr>
          <w:rStyle w:val="ExtensionTok"/>
        </w:rPr>
        <w:t xml:space="preserve">./cmd/workable-items/workable-items</w:t>
      </w:r>
      <w:r>
        <w:rPr>
          <w:rStyle w:val="NormalTok"/>
        </w:rPr>
        <w:t xml:space="preserve"> close TMX-042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fixed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--evidence</w:t>
      </w:r>
      <w:r>
        <w:rPr>
          <w:rStyle w:val="NormalTok"/>
        </w:rPr>
        <w:t xml:space="preserve"> qa-results/runs/2026-05-28T17-00-00Z/test_44.log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AI </w:t>
      </w:r>
      <w:r>
        <w:rPr>
          <w:rStyle w:val="AttributeTok"/>
        </w:rPr>
        <w:t xml:space="preserve">--on</w:t>
      </w:r>
      <w:r>
        <w:rPr>
          <w:rStyle w:val="NormalTok"/>
        </w:rPr>
        <w:t xml:space="preserve"> 2026-05-28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workable-items --help</w:t>
      </w:r>
      <w:r>
        <w:t xml:space="preserve"> </w:t>
      </w:r>
      <w:r>
        <w:t xml:space="preserve">for the full subcommand reference.</w:t>
      </w:r>
    </w:p>
    <w:p>
      <w:r>
        <w:pict>
          <v:rect style="width:0;height:1.5pt" o:hralign="center" o:hrstd="t" o:hr="t"/>
        </w:pict>
      </w:r>
    </w:p>
    <w:bookmarkEnd w:id="10"/>
    <w:bookmarkStart w:id="11" w:name="X0318dda5fe596ec39d3a4cef9357c3de8a3b6f6"/>
    <w:p>
      <w:pPr>
        <w:pStyle w:val="Heading2"/>
      </w:pPr>
      <w:r>
        <w:t xml:space="preserve">3. Where things live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</w:t>
            </w:r>
          </w:p>
        </w:tc>
        <w:tc>
          <w:tcPr/>
          <w:p>
            <w:pPr>
              <w:pStyle w:val="Compact"/>
            </w:pPr>
            <w:r>
              <w:t xml:space="preserve">Go source (11 files: model / parser / db / sync_md_to_db / sync_db_to_md / diff / validate / add / close / main +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cmd/workable-items/schema.sql</w:t>
            </w:r>
          </w:p>
        </w:tc>
        <w:tc>
          <w:tcPr/>
          <w:p>
            <w:pPr>
              <w:pStyle w:val="Compact"/>
            </w:pPr>
            <w:r>
              <w:t xml:space="preserve">Embedded schema — drift-checked verbatim copy of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constitution/scripts/workable-items/schema.sql@6828ff2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cmd/workable-items/testdata/</w:t>
            </w:r>
          </w:p>
        </w:tc>
        <w:tc>
          <w:tcPr/>
          <w:p>
            <w:pPr>
              <w:pStyle w:val="Compact"/>
            </w:pPr>
            <w:r>
              <w:t xml:space="preserve">Golden corpus (</w:t>
            </w:r>
            <w:r>
              <w:rPr>
                <w:rStyle w:val="VerbatimChar"/>
              </w:rPr>
              <w:t xml:space="preserve">golden_issues.md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golden_fixed.md</w:t>
            </w:r>
            <w:r>
              <w:t xml:space="preserve"> </w:t>
            </w:r>
            <w:r>
              <w:t xml:space="preserve">+ exports) for round-trip byte-identical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</w:t>
            </w:r>
          </w:p>
        </w:tc>
        <w:tc>
          <w:tcPr/>
          <w:p>
            <w:pPr>
              <w:pStyle w:val="Compact"/>
            </w:pPr>
            <w:r>
              <w:t xml:space="preserve">The canonical DB —</w:t>
            </w:r>
            <w:r>
              <w:t xml:space="preserve"> </w:t>
            </w:r>
            <w:r>
              <w:rPr>
                <w:b/>
                <w:bCs/>
              </w:rPr>
              <w:t xml:space="preserve">TRACKED in git per §11.4.95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docs/workable-items/Status.md</w:t>
            </w:r>
          </w:p>
        </w:tc>
        <w:tc>
          <w:tcPr/>
          <w:p>
            <w:pPr>
              <w:pStyle w:val="Compact"/>
            </w:pPr>
            <w:r>
              <w:t xml:space="preserve">Project-local Status document (§11.4.45)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docs/workable-items/Status_Summary.md</w:t>
            </w:r>
          </w:p>
        </w:tc>
        <w:tc>
          <w:tcPr/>
          <w:p>
            <w:pPr>
              <w:pStyle w:val="Compact"/>
            </w:pPr>
            <w:r>
              <w:t xml:space="preserve">Two-audience companion (§11.4.56)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docs/workable-items/regen/</w:t>
            </w:r>
          </w:p>
        </w:tc>
        <w:tc>
          <w:tcPr/>
          <w:p>
            <w:pPr>
              <w:pStyle w:val="Compact"/>
            </w:pPr>
            <w:r>
              <w:t xml:space="preserve">Output of</w:t>
            </w:r>
            <w:r>
              <w:t xml:space="preserve"> </w:t>
            </w:r>
            <w:r>
              <w:rPr>
                <w:rStyle w:val="VerbatimChar"/>
              </w:rPr>
              <w:t xml:space="preserve">sync db-to-md</w:t>
            </w:r>
            <w:r>
              <w:t xml:space="preserve"> </w:t>
            </w:r>
            <w:r>
              <w:t xml:space="preserve">(gitignored — re-generate on demand)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f080ba3ab26cec64a9dcde8b25847f839dca2e4"/>
    <w:p>
      <w:pPr>
        <w:pStyle w:val="Heading2"/>
      </w:pPr>
      <w:r>
        <w:t xml:space="preserve">4. Subcommands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 md-to-db</w:t>
            </w:r>
          </w:p>
        </w:tc>
        <w:tc>
          <w:tcPr/>
          <w:p>
            <w:pPr>
              <w:pStyle w:val="Compac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, upsert rows in the DB, allocate TMX-NNN IDs for new items. Idempotent: a second invocation with no Markdown changes allocates 0 new IDs.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 db-to-md</w:t>
            </w:r>
          </w:p>
        </w:tc>
        <w:tc>
          <w:tcPr/>
          <w:p>
            <w:pPr>
              <w:pStyle w:val="Compact"/>
            </w:pPr>
            <w:r>
              <w:t xml:space="preserve">Render the DB back to Markdown under</w:t>
            </w:r>
            <w:r>
              <w:t xml:space="preserve"> </w:t>
            </w:r>
            <w:r>
              <w:rPr>
                <w:rStyle w:val="VerbatimChar"/>
              </w:rPr>
              <w:t xml:space="preserve">--out-dir</w:t>
            </w:r>
            <w:r>
              <w:t xml:space="preserve">. Byte-identical to source for the golden testdata corpus; lossy for live free-form bodies (see §6).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Open a temp DB, sync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 </w:t>
            </w:r>
            <w:r>
              <w:t xml:space="preserve">into it, compare against the live DB. Exits 1 on drift unless</w:t>
            </w:r>
            <w:r>
              <w:t xml:space="preserve"> </w:t>
            </w:r>
            <w:r>
              <w:rPr>
                <w:rStyle w:val="VerbatimChar"/>
              </w:rPr>
              <w:t xml:space="preserve">--allow-drift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Walk the DB and report violations: §11.4.33 type-aware closure vocabulary, §11.4.91 description-clarity floor (≥40 chars or ≥6 words), §11.4.5 + §11.4.69 evidence-required for closed items. Exits 1 if any findings.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Append a new item. TMX-NNN allocated monotonically. Required:</w:t>
            </w:r>
            <w:r>
              <w:t xml:space="preserve"> </w:t>
            </w:r>
            <w:r>
              <w:rPr>
                <w:rStyle w:val="VerbatimChar"/>
              </w:rPr>
              <w:t xml:space="preserve">--type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--description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Mark an item closed. Required:</w:t>
            </w:r>
            <w:r>
              <w:t xml:space="preserve"> </w:t>
            </w:r>
            <w:r>
              <w:rPr>
                <w:rStyle w:val="VerbatimChar"/>
              </w:rPr>
              <w:t xml:space="preserve">--status fixed|implemented|completed|obsolete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--evidence PATH</w:t>
            </w:r>
            <w:r>
              <w:t xml:space="preserve">. Per §11.4.90,</w:t>
            </w:r>
            <w:r>
              <w:t xml:space="preserve"> </w:t>
            </w:r>
            <w:r>
              <w:rPr>
                <w:rStyle w:val="VerbatimChar"/>
              </w:rPr>
              <w:t xml:space="preserve">obsolete</w:t>
            </w:r>
            <w:r>
              <w:t xml:space="preserve"> </w:t>
            </w:r>
            <w:r>
              <w:t xml:space="preserve">additionally requires</w:t>
            </w:r>
            <w:r>
              <w:t xml:space="preserve"> </w:t>
            </w:r>
            <w:r>
              <w:rPr>
                <w:rStyle w:val="VerbatimChar"/>
              </w:rPr>
              <w:t xml:space="preserve">--superseding-item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--triple-check-evidence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List items, optionally filtered by</w:t>
            </w:r>
            <w:r>
              <w:t xml:space="preserve"> </w:t>
            </w:r>
            <w:r>
              <w:rPr>
                <w:rStyle w:val="VerbatimChar"/>
              </w:rPr>
              <w:t xml:space="preserve">--type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--status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--obsolete-audit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X2c65a6992a5932fff03136e3ed585d8e06ebcd9"/>
    <w:p>
      <w:pPr>
        <w:pStyle w:val="Heading2"/>
      </w:pPr>
      <w:r>
        <w:t xml:space="preserve">5. Why a Go binary (not a shell script)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CGO.</w:t>
      </w:r>
      <w:r>
        <w:t xml:space="preserve"> </w:t>
      </w:r>
      <w:r>
        <w:t xml:space="preserve">Uses</w:t>
      </w:r>
      <w:r>
        <w:t xml:space="preserve"> </w:t>
      </w:r>
      <w:hyperlink r:id="rId13">
        <w:r>
          <w:rPr>
            <w:rStyle w:val="VerbatimChar"/>
          </w:rPr>
          <w:t xml:space="preserve">modernc.org/sqlite</w:t>
        </w:r>
      </w:hyperlink>
      <w:r>
        <w:t xml:space="preserve"> </w:t>
      </w:r>
      <w:r>
        <w:t xml:space="preserve">— a pure-Go port of SQLite 3.53.1 (v1.51.0 as of 2026-05-28). Cross-compiles on Mistborn (Darwin arm64) and nezha (Linux x86_64) with no build-host SQLite dependency.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Atomic writes via WAL.</w:t>
      </w:r>
      <w:r>
        <w:t xml:space="preserve"> </w:t>
      </w:r>
      <w:r>
        <w:rPr>
          <w:rStyle w:val="VerbatimChar"/>
        </w:rPr>
        <w:t xml:space="preserve">OpenDB</w:t>
      </w:r>
      <w:r>
        <w:t xml:space="preserve"> </w:t>
      </w:r>
      <w:r>
        <w:t xml:space="preserve">enables WAL mode;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PRAGMA wal_checkpoint(TRUNCATE)</w:t>
      </w:r>
      <w:r>
        <w:t xml:space="preserve"> </w:t>
      </w:r>
      <w:r>
        <w:t xml:space="preserve">so the on-disk file is always self-contained. Compatible with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(no -wal / -shm files left behind for git to choke 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Embedded schema.</w:t>
      </w:r>
      <w:r>
        <w:t xml:space="preserve"> </w:t>
      </w:r>
      <w:r>
        <w:rPr>
          <w:rStyle w:val="VerbatimChar"/>
        </w:rPr>
        <w:t xml:space="preserve">cmd/workable-items/schema.sql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//go:embed</w:t>
      </w:r>
      <w:r>
        <w:t xml:space="preserve">-ed into the binary. The DB applies the embedded schema on</w:t>
      </w:r>
      <w:r>
        <w:t xml:space="preserve"> </w:t>
      </w:r>
      <w:r>
        <w:rPr>
          <w:rStyle w:val="VerbatimChar"/>
        </w:rPr>
        <w:t xml:space="preserve">OpenDB</w:t>
      </w:r>
      <w:r>
        <w:t xml:space="preserve"> </w:t>
      </w:r>
      <w:r>
        <w:t xml:space="preserve">if not already applied. A drift-check header on line 1 records the upstream constitution SHA the schema was copied from.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go test ./cmd/workable-items/... -count=3</w:t>
      </w:r>
      <w:r>
        <w:t xml:space="preserve"> </w:t>
      </w:r>
      <w:r>
        <w:t xml:space="preserve">runs deterministically per §11.4.50 — 10 tests × 3 iterations = 30 PASS.</w:t>
      </w:r>
    </w:p>
    <w:p>
      <w:r>
        <w:pict>
          <v:rect style="width:0;height:1.5pt" o:hralign="center" o:hrstd="t" o:hr="t"/>
        </w:pict>
      </w:r>
    </w:p>
    <w:bookmarkEnd w:id="14"/>
    <w:bookmarkStart w:id="15" w:name="Xaed85c870175aaca231ed9adeee716a09c68162"/>
    <w:p>
      <w:pPr>
        <w:pStyle w:val="Heading2"/>
      </w:pPr>
      <w:r>
        <w:t xml:space="preserve">6. Honest gaps (§11.4.6 — no guessing)</w:t>
      </w:r>
    </w:p>
    <w:p>
      <w:pPr>
        <w:pStyle w:val="FirstParagraph"/>
      </w:pPr>
      <w:r>
        <w:t xml:space="preserve">The following are KNOWN gaps, tracked transparently. None of them is a §11.4 PASS-bluff: each is a documented topology / scope limitation with a follow-up plan.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Live-corpus round-trip is NOT byte-identical.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carry free-form bodies (forensic anchors,</w:t>
      </w:r>
      <w:r>
        <w:t xml:space="preserve"> </w:t>
      </w:r>
      <w:r>
        <w:t xml:space="preserve">multi-paragraph "Source-side fix" + "Captured evidence" sections,</w:t>
      </w:r>
      <w:r>
        <w:t xml:space="preserve"> </w:t>
      </w:r>
      <w:r>
        <w:t xml:space="preserve">blockquotes, code fences) that cannot be losslessly reconstructed</w:t>
      </w:r>
      <w:r>
        <w:t xml:space="preserve"> </w:t>
      </w:r>
      <w:r>
        <w:t xml:space="preserve">from the structured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schema's flat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field.</w:t>
      </w:r>
      <w:r>
        <w:t xml:space="preserve"> </w:t>
      </w:r>
      <w:r>
        <w:t xml:space="preserve">The §11.4.93 phase-6 migration plan addresses this; until then,</w:t>
      </w:r>
      <w:r>
        <w:t xml:space="preserve"> </w:t>
      </w:r>
      <w:r>
        <w:t xml:space="preserve">round-trip byte-identical equivalence holds for the</w:t>
      </w:r>
      <w:r>
        <w:t xml:space="preserve"> </w:t>
      </w:r>
      <w:r>
        <w:rPr>
          <w:b/>
          <w:bCs/>
        </w:rPr>
        <w:t xml:space="preserve">golden</w:t>
      </w:r>
      <w:r>
        <w:rPr>
          <w:b/>
          <w:bCs/>
        </w:rPr>
        <w:t xml:space="preserve"> </w:t>
      </w:r>
      <w:r>
        <w:rPr>
          <w:b/>
          <w:bCs/>
        </w:rPr>
        <w:t xml:space="preserve">testdata corpus only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sync db-to-md</w:t>
      </w:r>
      <w:r>
        <w:t xml:space="preserve"> </w:t>
      </w:r>
      <w:r>
        <w:t xml:space="preserve">against live data</w:t>
      </w:r>
      <w:r>
        <w:t xml:space="preserve"> </w:t>
      </w:r>
      <w:r>
        <w:t xml:space="preserve">produces simplified bodies under</w:t>
      </w:r>
      <w:r>
        <w:t xml:space="preserve"> </w:t>
      </w:r>
      <w:r>
        <w:rPr>
          <w:rStyle w:val="VerbatimChar"/>
        </w:rPr>
        <w:t xml:space="preserve">docs/workable-items/regen/</w:t>
      </w:r>
      <w:r>
        <w:t xml:space="preserve"> </w:t>
      </w:r>
      <w:r>
        <w:t xml:space="preserve">that are intentionally not used to overwrite the canonical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45 legacy items default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Type=Task</w:t>
      </w:r>
      <w:r>
        <w:rPr>
          <w:b/>
          <w:bCs/>
        </w:rPr>
        <w:t xml:space="preserve">.</w:t>
      </w:r>
      <w:r>
        <w:t xml:space="preserve"> </w:t>
      </w:r>
      <w:r>
        <w:t xml:space="preserve">The tmux corpus</w:t>
      </w:r>
      <w:r>
        <w:t xml:space="preserve"> </w:t>
      </w:r>
      <w:r>
        <w:t xml:space="preserve">predates §11.4.16 — no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lines exist in the original</w:t>
      </w:r>
      <w:r>
        <w:t xml:space="preserve"> </w:t>
      </w:r>
      <w:r>
        <w:t xml:space="preserve">Issues / Fixed bodies.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therefore</w:t>
      </w:r>
      <w:r>
        <w:t xml:space="preserve"> </w:t>
      </w:r>
      <w:r>
        <w:t xml:space="preserve">reports §11.4.33 violations for every closed item that used the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heading hint (mapped to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, the Bug</w:t>
      </w:r>
      <w:r>
        <w:t xml:space="preserve"> </w:t>
      </w:r>
      <w:r>
        <w:t xml:space="preserve">closure word) while the row's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(which would</w:t>
      </w:r>
      <w:r>
        <w:t xml:space="preserve"> </w:t>
      </w:r>
      <w:r>
        <w:t xml:space="preserve">expect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). This is the</w:t>
      </w:r>
      <w:r>
        <w:t xml:space="preserve"> </w:t>
      </w:r>
      <w:r>
        <w:rPr>
          <w:b/>
          <w:bCs/>
        </w:rPr>
        <w:t xml:space="preserve">expected initial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of the post-population DB, not a bug in the binary.</w:t>
      </w:r>
      <w:r>
        <w:t xml:space="preserve"> </w:t>
      </w:r>
      <w:r>
        <w:t xml:space="preserve">PWU-Q5 (legacy-items Type=Bug cleanup) is the closure path.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3+ implementation is project-local.</w:t>
      </w:r>
      <w:r>
        <w:t xml:space="preserve"> </w:t>
      </w:r>
      <w:r>
        <w:t xml:space="preserve">Per the</w:t>
      </w:r>
      <w:r>
        <w:t xml:space="preserve"> </w:t>
      </w:r>
      <w:r>
        <w:rPr>
          <w:rStyle w:val="VerbatimChar"/>
        </w:rPr>
        <w:t xml:space="preserve">feedback_no_modify_constitution</w:t>
      </w:r>
      <w:r>
        <w:t xml:space="preserve"> </w:t>
      </w:r>
      <w:r>
        <w:t xml:space="preserve">memory rule (no project-local</w:t>
      </w:r>
      <w:r>
        <w:t xml:space="preserve"> </w:t>
      </w:r>
      <w:r>
        <w:t xml:space="preserve">pushes into the constitution submodule), this implementation</w:t>
      </w:r>
      <w:r>
        <w:t xml:space="preserve"> </w:t>
      </w:r>
      <w:r>
        <w:t xml:space="preserve">lives at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. Upstream PR to</w:t>
      </w:r>
      <w:r>
        <w:t xml:space="preserve"> </w:t>
      </w:r>
      <w:r>
        <w:t xml:space="preserve">HelixDevelopment/HelixConstitution is operator-blocked pending</w:t>
      </w:r>
      <w:r>
        <w:t xml:space="preserve"> </w:t>
      </w:r>
      <w:r>
        <w:t xml:space="preserve">explicit authorisation. The constitution's Phase-2 scaffold and</w:t>
      </w:r>
      <w:r>
        <w:t xml:space="preserve"> </w:t>
      </w:r>
      <w:r>
        <w:t xml:space="preserve">the project's Phase-3+ implementation share the schema verbatim</w:t>
      </w:r>
      <w:r>
        <w:t xml:space="preserve"> </w:t>
      </w:r>
      <w:r>
        <w:t xml:space="preserve">(drift-checked on</w:t>
      </w:r>
      <w:r>
        <w:t xml:space="preserve"> </w:t>
      </w:r>
      <w:r>
        <w:rPr>
          <w:rStyle w:val="VerbatimChar"/>
        </w:rPr>
        <w:t xml:space="preserve">OpenDB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commit_all.sh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sync_issues_docs.sh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is owned by</w:t>
      </w:r>
      <w:r>
        <w:rPr>
          <w:b/>
          <w:bCs/>
        </w:rPr>
        <w:t xml:space="preserve"> </w:t>
      </w:r>
      <w:r>
        <w:rPr>
          <w:b/>
          <w:bCs/>
        </w:rPr>
        <w:t xml:space="preserve">PWU-Q4</w:t>
      </w:r>
      <w:r>
        <w:t xml:space="preserve"> </w:t>
      </w:r>
      <w:r>
        <w:t xml:space="preserve">(parallel cycle, 2026-05-28). Until that PWU lands,</w:t>
      </w:r>
      <w:r>
        <w:t xml:space="preserve"> </w:t>
      </w:r>
      <w:r>
        <w:t xml:space="preserve">operators must invoke</w:t>
      </w:r>
      <w:r>
        <w:t xml:space="preserve"> </w:t>
      </w:r>
      <w:r>
        <w:rPr>
          <w:rStyle w:val="VerbatimChar"/>
        </w:rPr>
        <w:t xml:space="preserve">workable-items sync md-to-db</w:t>
      </w:r>
      <w:r>
        <w:t xml:space="preserve"> </w:t>
      </w:r>
      <w:r>
        <w:t xml:space="preserve">manually</w:t>
      </w:r>
      <w:r>
        <w:t xml:space="preserve"> </w:t>
      </w:r>
      <w:r>
        <w:t xml:space="preserve">after editing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and re-commit the updated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92a0decf14a4a8a7a32884d58f74f8898d5aab0"/>
    <w:p>
      <w:pPr>
        <w:pStyle w:val="Heading2"/>
      </w:pPr>
      <w:r>
        <w:t xml:space="preserve">7. Anti-bluff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pre-build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verify.sh</w:t>
            </w:r>
            <w:r>
              <w:t xml:space="preserve"> </w:t>
            </w:r>
            <w:r>
              <w:t xml:space="preserve">greps for</w:t>
            </w:r>
            <w:r>
              <w:t xml:space="preserve"> </w:t>
            </w:r>
            <w:r>
              <w:rPr>
                <w:rStyle w:val="VerbatimChar"/>
              </w:rPr>
              <w:t xml:space="preserve">cmd/workable-items/main.go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scripts/verify.sh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./cmd/workable-items/... -count=3</w:t>
            </w:r>
            <w:r>
              <w:t xml:space="preserve"> </w:t>
            </w:r>
            <w:r>
              <w:t xml:space="preserve">(30 PASS / 0 FAIL)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cmd/workable-items/*_test.go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CME-WORKABLE-ITEMS-001</w:t>
            </w:r>
            <w:r>
              <w:t xml:space="preserve"> </w:t>
            </w:r>
            <w:r>
              <w:t xml:space="preserve">(planned, PWU-Q6)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scripts/challenges/tmux.yaml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paired mutation</w:t>
            </w:r>
          </w:p>
        </w:tc>
        <w:tc>
          <w:tcPr/>
          <w:p>
            <w:pPr>
              <w:pStyle w:val="Compact"/>
            </w:pPr>
            <w:r>
              <w:t xml:space="preserve">M-WORKABLE-ITEMS (planned, PWU-Q6) — strips the §11.4.91 clarity floor and asserts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no longer FAILs on a 1-word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scripts/tests/meta_test_false_positive_proof.sh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X9a0cd872aeea42ccc5de6d222bb92ecb3d8d37e"/>
    <w:p>
      <w:pPr>
        <w:pStyle w:val="Heading2"/>
      </w:pPr>
      <w:r>
        <w:t xml:space="preserve">8. Cross-references</w:t>
      </w:r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§11.4.93 (SQLite-SSoT), §11.4.95 (DB TRACKED in git), §11.4.33 (type-aware closure), §11.4.91 (description clarity), §11.4.50 (deterministic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), §11.4.69 (sink-side evidence applied to</w:t>
      </w:r>
      <w:r>
        <w:t xml:space="preserve"> </w:t>
      </w:r>
      <w:r>
        <w:rPr>
          <w:rStyle w:val="VerbatimChar"/>
        </w:rPr>
        <w:t xml:space="preserve">--evidence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VerbatimChar"/>
          </w:rPr>
          <w:t xml:space="preserve">docs/workable-items/Status.md</w:t>
        </w:r>
      </w:hyperlink>
      <w:r>
        <w:t xml:space="preserve"> </w:t>
      </w:r>
      <w:r>
        <w:t xml:space="preserve">— live status per §11.4.45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VerbatimChar"/>
          </w:rPr>
          <w:t xml:space="preserve">docs/workable-items/Status_Summary.md</w:t>
        </w:r>
      </w:hyperlink>
      <w:r>
        <w:t xml:space="preserve"> </w:t>
      </w:r>
      <w:r>
        <w:t xml:space="preserve">— two-audience companion per §11.4.56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VerbatimChar"/>
          </w:rPr>
          <w:t xml:space="preserve">CHANGELOG.md</w:t>
        </w:r>
      </w:hyperlink>
      <w:r>
        <w:t xml:space="preserve"> </w:t>
      </w:r>
      <w:r>
        <w:t xml:space="preserve">v1.0.15 — A39 release notes</w:t>
      </w:r>
    </w:p>
    <w:p>
      <w:pPr>
        <w:pStyle w:val="Compact"/>
        <w:numPr>
          <w:ilvl w:val="0"/>
          <w:numId w:val="1004"/>
        </w:numPr>
      </w:pPr>
      <w:r>
        <w:t xml:space="preserve">Constitution scaffold (Phase 2):</w:t>
      </w:r>
      <w:r>
        <w:t xml:space="preserve"> </w:t>
      </w:r>
      <w:r>
        <w:rPr>
          <w:rStyle w:val="VerbatimChar"/>
        </w:rPr>
        <w:t xml:space="preserve">constitution/scripts/workable-items/</w:t>
      </w:r>
    </w:p>
    <w:p>
      <w:r>
        <w:pict>
          <v:rect style="width:0;height:1.5pt" o:hralign="center" o:hrstd="t" o:hr="t"/>
        </w:pict>
      </w:r>
    </w:p>
    <w:bookmarkEnd w:id="21"/>
    <w:bookmarkStart w:id="22" w:name="sources-verified-2026-05-28"/>
    <w:p>
      <w:pPr>
        <w:pStyle w:val="Heading2"/>
      </w:pPr>
      <w:r>
        <w:t xml:space="preserve">Sources verified 2026-05-28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Constitution §11.4.93 / §11.4.95 / §11.4.50 / §11.4.33 / §11.4.69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@ submodule pointer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 </w:t>
      </w:r>
      <w:r>
        <w:t xml:space="preserve">(pulled 2026-05-28 per §11.4.37 fetch-before-edit).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modernc.org/sqlite</w:t>
      </w:r>
      <w:r>
        <w:t xml:space="preserve"> </w:t>
      </w:r>
      <w:r>
        <w:t xml:space="preserve">—</w:t>
      </w:r>
      <w:r>
        <w:t xml:space="preserve"> </w:t>
      </w:r>
      <w:hyperlink r:id="rId13">
        <w:r>
          <w:rPr>
            <w:rStyle w:val="Hyperlink"/>
          </w:rPr>
          <w:t xml:space="preserve">https://pkg.go.dev/modernc.org/sqlite</w:t>
        </w:r>
      </w:hyperlink>
      <w:r>
        <w:t xml:space="preserve"> </w:t>
      </w:r>
      <w:r>
        <w:t xml:space="preserve">(verified 2026-05-28). Latest published version v1.51.0 (2026-05-28), ships SQLite 3.53.1. Confirmed: pure-Go (CGo-free) driver, import path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, driver name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sql.Open</w:t>
      </w:r>
      <w:r>
        <w:t xml:space="preserve">, WAL +</w:t>
      </w:r>
      <w:r>
        <w:t xml:space="preserve"> </w:t>
      </w:r>
      <w:r>
        <w:rPr>
          <w:rStyle w:val="VerbatimChar"/>
        </w:rPr>
        <w:t xml:space="preserve">PRAGMA wal_checkpoint</w:t>
      </w:r>
      <w:r>
        <w:t xml:space="preserve"> </w:t>
      </w:r>
      <w:r>
        <w:t xml:space="preserve">supported via</w:t>
      </w:r>
      <w:r>
        <w:t xml:space="preserve"> </w:t>
      </w:r>
      <w:r>
        <w:rPr>
          <w:rStyle w:val="VerbatimChar"/>
        </w:rPr>
        <w:t xml:space="preserve">_pragma</w:t>
      </w:r>
      <w:r>
        <w:t xml:space="preserve"> </w:t>
      </w:r>
      <w:r>
        <w:t xml:space="preserve">query param or via direct</w:t>
      </w:r>
      <w:r>
        <w:t xml:space="preserve"> </w:t>
      </w:r>
      <w:r>
        <w:rPr>
          <w:rStyle w:val="VerbatimChar"/>
        </w:rPr>
        <w:t xml:space="preserve">PRAGMA</w:t>
      </w:r>
      <w:r>
        <w:t xml:space="preserve"> </w:t>
      </w:r>
      <w:r>
        <w:t xml:space="preserve">statements.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Constitution Phase-2 scaffold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constitution/scripts/workable-items/schema.sql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; verbatim drift-checked copy at</w:t>
      </w:r>
      <w:r>
        <w:t xml:space="preserve"> </w:t>
      </w:r>
      <w:r>
        <w:rPr>
          <w:rStyle w:val="VerbatimChar"/>
        </w:rPr>
        <w:t xml:space="preserve">cmd/workable-items/schema.sql</w:t>
      </w:r>
      <w:r>
        <w:t xml:space="preserve"> </w:t>
      </w:r>
      <w:r>
        <w:t xml:space="preserve">header line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§11.4.99 sources-verification mandate</w:t>
      </w:r>
      <w:r>
        <w:t xml:space="preserve"> </w:t>
      </w:r>
      <w:r>
        <w:t xml:space="preserve">— new clause landed in constitution</w:t>
      </w:r>
      <w:r>
        <w:t xml:space="preserve"> </w:t>
      </w:r>
      <w:r>
        <w:rPr>
          <w:rStyle w:val="VerbatimChar"/>
        </w:rPr>
        <w:t xml:space="preserve">9e3bcc5</w:t>
      </w:r>
      <w:r>
        <w:t xml:space="preserve"> </w:t>
      </w:r>
      <w:r>
        <w:t xml:space="preserve">(2026-05-28), short-form mirror in this project's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(PWU-Q5 owns the propagation row).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../CHANGELOG.md" TargetMode="External" /><Relationship Type="http://schemas.openxmlformats.org/officeDocument/2006/relationships/hyperlink" Id="rId17" Target="../../Constitution.md" TargetMode="External" /><Relationship Type="http://schemas.openxmlformats.org/officeDocument/2006/relationships/hyperlink" Id="rId18" Target="Status.md" TargetMode="External" /><Relationship Type="http://schemas.openxmlformats.org/officeDocument/2006/relationships/hyperlink" Id="rId19" Target="Status_Summary.md" TargetMode="External" /><Relationship Type="http://schemas.openxmlformats.org/officeDocument/2006/relationships/hyperlink" Id="rId13" Target="https://pkg.go.dev/modernc.org/sql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CHANGELOG.md" TargetMode="External" /><Relationship Type="http://schemas.openxmlformats.org/officeDocument/2006/relationships/hyperlink" Id="rId17" Target="../../Constitution.md" TargetMode="External" /><Relationship Type="http://schemas.openxmlformats.org/officeDocument/2006/relationships/hyperlink" Id="rId18" Target="Status.md" TargetMode="External" /><Relationship Type="http://schemas.openxmlformats.org/officeDocument/2006/relationships/hyperlink" Id="rId19" Target="Status_Summary.md" TargetMode="External" /><Relationship Type="http://schemas.openxmlformats.org/officeDocument/2006/relationships/hyperlink" Id="rId13" Target="https://pkg.go.dev/modernc.org/sql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2026-09-01T16:13:02Z</dcterms:created>
  <dcterms:modified xsi:type="dcterms:W3CDTF">2026-09-01T16:13:02Z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