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</w:t>
      </w:r>
    </w:p>
    <w:bookmarkStart w:id="13" w:name="workable-items-sqlite-ssot--status"/>
    <w:p>
      <w:pPr>
        <w:pStyle w:val="Heading1"/>
      </w:pPr>
      <w:r>
        <w:t xml:space="preserve">Workable-items SQLite-SSoT —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2026-05-28T15:30:00Z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Project-local Go binary at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 </w:t>
      </w:r>
      <w:r>
        <w:t xml:space="preserve">implementing the</w:t>
      </w:r>
      <w:r>
        <w:t xml:space="preserve"> </w:t>
      </w:r>
      <w:r>
        <w:t xml:space="preserve">§11.4.93 SQLite-SSoT for workable items in the tmux project. The</w:t>
      </w:r>
      <w:r>
        <w:t xml:space="preserve"> </w:t>
      </w:r>
      <w:r>
        <w:t xml:space="preserve">constitution submodule (</w:t>
      </w:r>
      <w:r>
        <w:rPr>
          <w:rStyle w:val="VerbatimChar"/>
        </w:rPr>
        <w:t xml:space="preserve">constitution/scripts/workable-items/</w:t>
      </w:r>
      <w:r>
        <w:t xml:space="preserve">) ships a</w:t>
      </w:r>
      <w:r>
        <w:t xml:space="preserve"> </w:t>
      </w:r>
      <w:r>
        <w:t xml:space="preserve">Phase-2 scaffold (stubs + canonical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); per the</w:t>
      </w:r>
      <w:r>
        <w:t xml:space="preserve"> </w:t>
      </w:r>
      <w:r>
        <w:rPr>
          <w:rStyle w:val="VerbatimChar"/>
        </w:rPr>
        <w:t xml:space="preserve">feedback_no_modify_constitution</w:t>
      </w:r>
      <w:r>
        <w:t xml:space="preserve"> </w:t>
      </w:r>
      <w:r>
        <w:t xml:space="preserve">memory rule this project cannot push</w:t>
      </w:r>
      <w:r>
        <w:t xml:space="preserve"> </w:t>
      </w:r>
      <w:r>
        <w:t xml:space="preserve">Phase-3+ code into the submodule and instead carries a drift-checked</w:t>
      </w:r>
      <w:r>
        <w:t xml:space="preserve"> </w:t>
      </w:r>
      <w:r>
        <w:t xml:space="preserve">local implementation. Upstream PR to HelixDevelopment/HelixConstitution</w:t>
      </w:r>
      <w:r>
        <w:t xml:space="preserve"> </w:t>
      </w:r>
      <w:r>
        <w:t xml:space="preserve">is tracked as a follow-up cycle.</w:t>
      </w:r>
    </w:p>
    <w:bookmarkEnd w:id="9"/>
    <w:bookmarkStart w:id="10" w:name="current-state--pwu-c-cycle-2026-05-28"/>
    <w:p>
      <w:pPr>
        <w:pStyle w:val="Heading2"/>
      </w:pPr>
      <w:r>
        <w:t xml:space="preserve">Current state — PWU-C cycle (2026-05-28)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go.mod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go.sum</w:t>
            </w:r>
            <w:r>
              <w:t xml:space="preserve"> </w:t>
            </w:r>
            <w:r>
              <w:t xml:space="preserve">(modernc.org/sqlite, pure-Go, no CGO)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build ./cmd/workable-items</w:t>
            </w:r>
            <w:r>
              <w:t xml:space="preserve"> </w:t>
            </w:r>
            <w:r>
              <w:t xml:space="preserve">succeeds on darwin/arm64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t xml:space="preserve">(drift-checked vs constitution</w:t>
            </w:r>
            <w:r>
              <w:t xml:space="preserve"> </w:t>
            </w:r>
            <w:r>
              <w:rPr>
                <w:rStyle w:val="VerbatimChar"/>
              </w:rPr>
              <w:t xml:space="preserve">6828ff2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cmd/workable-items/schema.sql</w:t>
            </w:r>
            <w:r>
              <w:t xml:space="preserve"> </w:t>
            </w:r>
            <w:r>
              <w:t xml:space="preserve">header line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OpenDB</w:t>
            </w:r>
            <w:r>
              <w:t xml:space="preserve"> </w:t>
            </w:r>
            <w:r>
              <w:t xml:space="preserve">+ WAL mode +</w:t>
            </w:r>
            <w:r>
              <w:t xml:space="preserve"> </w:t>
            </w:r>
            <w:r>
              <w:rPr>
                <w:rStyle w:val="VerbatimChar"/>
              </w:rPr>
              <w:t xml:space="preserve">PRAGMA wal_checkpoint(TRUNCATE)</w:t>
            </w:r>
            <w:r>
              <w:t xml:space="preserve"> </w:t>
            </w:r>
            <w:r>
              <w:t xml:space="preserve">on Close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TestOpenDB_AppliesSchema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Subcommand router (</w:t>
            </w:r>
            <w:r>
              <w:rPr>
                <w:rStyle w:val="VerbatimChar"/>
              </w:rPr>
              <w:t xml:space="preserve">sync md-to-db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 db-to-md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workable-items --help</w:t>
            </w:r>
            <w:r>
              <w:t xml:space="preserve"> </w:t>
            </w:r>
            <w:r>
              <w:t xml:space="preserve">lists every subcommand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parser — recognises</w:t>
            </w:r>
            <w:r>
              <w:t xml:space="preserve"> </w:t>
            </w:r>
            <w:r>
              <w:rPr>
                <w:rStyle w:val="VerbatimChar"/>
              </w:rPr>
              <w:t xml:space="preserve">### &lt;CAT&gt;&lt;N&gt;. &lt;title&gt; — \</w:t>
            </w:r>
            <w:r>
              <w:t xml:space="preserve">`` headings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TestRoundTrip_Issues_GoldenCorpus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**Status:**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**Type:**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**Severity:**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**TMX-ID:**</w:t>
            </w:r>
            <w:r>
              <w:t xml:space="preserve"> </w:t>
            </w:r>
            <w:r>
              <w:t xml:space="preserve">body-field extraction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TestRoundTrip_Idempotent</w:t>
            </w:r>
            <w:r>
              <w:t xml:space="preserve"> </w:t>
            </w:r>
            <w:r>
              <w:t xml:space="preserve">(second sync allocates 0 new TMX-NNN)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Generator — re-emits</w:t>
            </w:r>
            <w:r>
              <w:t xml:space="preserve"> </w:t>
            </w:r>
            <w:r>
              <w:rPr>
                <w:rStyle w:val="VerbatimChar"/>
              </w:rPr>
              <w:t xml:space="preserve">### &lt;CAT&gt;&lt;N&gt;. &lt;title&gt; — \</w:t>
            </w:r>
            <w:r>
              <w:t xml:space="preserve">`` byte-stable for golden corpus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TestRoundTrip_Issues_GoldenCorpus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TestRoundTrip_Fixed_GoldenCorpus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Idempotent re-sync (second</w:t>
            </w:r>
            <w:r>
              <w:t xml:space="preserve"> </w:t>
            </w:r>
            <w:r>
              <w:rPr>
                <w:rStyle w:val="VerbatimChar"/>
              </w:rPr>
              <w:t xml:space="preserve">md-to-db</w:t>
            </w:r>
            <w:r>
              <w:t xml:space="preserve"> </w:t>
            </w:r>
            <w:r>
              <w:t xml:space="preserve">allocates 0 new IDs)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TestRoundTrip_Idempotent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§11.4.91 description clarity floor enforced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TestValidate_DetectsShortDescription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§11.4.33 type-aware closure vocabulary enforced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TestValidate_DetectsTypeAwareClosureMismatch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 + §11.4.69 evidence-required for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TestCloseItem_RequiresEvidence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real-corpus population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(45 items: 1 from Issues.md, 44 from Fixed.md)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-count=3</w:t>
            </w:r>
            <w:r>
              <w:t xml:space="preserve"> </w:t>
            </w:r>
            <w:r>
              <w:t xml:space="preserve">deterministic re-run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./cmd/workable-items/... -count=3</w:t>
            </w:r>
          </w:p>
        </w:tc>
      </w:tr>
    </w:tbl>
    <w:bookmarkEnd w:id="10"/>
    <w:bookmarkStart w:id="11" w:name="known-1146-honest-gaps"/>
    <w:p>
      <w:pPr>
        <w:pStyle w:val="Heading2"/>
      </w:pPr>
      <w:r>
        <w:t xml:space="preserve">Known §11.4.6 honest gaps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45 legacy items default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Type=Task</w:t>
      </w:r>
      <w:r>
        <w:t xml:space="preserve"> </w:t>
      </w:r>
      <w:r>
        <w:t xml:space="preserve">because the tmux corpus</w:t>
      </w:r>
      <w:r>
        <w:t xml:space="preserve"> </w:t>
      </w:r>
      <w:r>
        <w:t xml:space="preserve">predates §11.4.16 — no</w:t>
      </w:r>
      <w:r>
        <w:t xml:space="preserve"> </w:t>
      </w:r>
      <w:r>
        <w:rPr>
          <w:rStyle w:val="VerbatimChar"/>
        </w:rPr>
        <w:t xml:space="preserve">**Type:**</w:t>
      </w:r>
      <w:r>
        <w:t xml:space="preserve"> </w:t>
      </w:r>
      <w:r>
        <w:t xml:space="preserve">lines exist in Issues.md / Fixed.md.</w:t>
      </w:r>
      <w:r>
        <w:t xml:space="preserve"> </w:t>
      </w:r>
      <w:r>
        <w:t xml:space="preserve">Result: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reports §11.4.33 violations for</w:t>
      </w:r>
      <w:r>
        <w:t xml:space="preserve"> </w:t>
      </w:r>
      <w:r>
        <w:t xml:space="preserve">every closed item that used the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heading hint (mapped to</w:t>
      </w:r>
      <w:r>
        <w:t xml:space="preserve"> </w:t>
      </w:r>
      <w:r>
        <w:rPr>
          <w:rStyle w:val="VerbatimChar"/>
        </w:rPr>
        <w:t xml:space="preserve">Fixed (→ Fixed.md)</w:t>
      </w:r>
      <w:r>
        <w:t xml:space="preserve">, the Bug closure word) while the row's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(which would expect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). This is</w:t>
      </w:r>
      <w:r>
        <w:t xml:space="preserve"> </w:t>
      </w:r>
      <w:r>
        <w:t xml:space="preserve">expected initial state, not a bug in the binary. Closure migration</w:t>
      </w:r>
      <w:r>
        <w:t xml:space="preserve"> </w:t>
      </w:r>
      <w:r>
        <w:t xml:space="preserve">per §11.4.33 is a separate one-time data-cleanup PWU.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corpus round-trip is NOT byte-identical.</w:t>
      </w:r>
      <w:r>
        <w:t xml:space="preserve"> </w:t>
      </w:r>
      <w:r>
        <w:t xml:space="preserve">The tmux</w:t>
      </w:r>
      <w:r>
        <w:t xml:space="preserve"> </w:t>
      </w:r>
      <w:r>
        <w:t xml:space="preserve">Issues.md / Fixed.md carries free-form bodies (forensic anchors,</w:t>
      </w:r>
      <w:r>
        <w:t xml:space="preserve"> </w:t>
      </w:r>
      <w:r>
        <w:t xml:space="preserve">multi-paragraph "Source-side fix" + "Captured evidence" sections,</w:t>
      </w:r>
      <w:r>
        <w:t xml:space="preserve"> </w:t>
      </w:r>
      <w:r>
        <w:t xml:space="preserve">blockquotes, code fences) that cannot be losslessly reconstructed</w:t>
      </w:r>
      <w:r>
        <w:t xml:space="preserve"> </w:t>
      </w:r>
      <w:r>
        <w:t xml:space="preserve">from the structured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schema's flat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field.</w:t>
      </w:r>
      <w:r>
        <w:t xml:space="preserve"> </w:t>
      </w:r>
      <w:r>
        <w:t xml:space="preserve">Round-trip byte-identical equivalence is met for the GOLDEN</w:t>
      </w:r>
      <w:r>
        <w:t xml:space="preserve"> </w:t>
      </w:r>
      <w:r>
        <w:t xml:space="preserve">TESTDATA corpus only; live-corpus drift is expected and</w:t>
      </w:r>
      <w:r>
        <w:t xml:space="preserve"> </w:t>
      </w:r>
      <w:r>
        <w:t xml:space="preserve">authorised by the §11.4.93 phase-6 migration plan.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commit_all.sh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verify.sh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sync_issues_docs.sh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is</w:t>
      </w:r>
      <w:r>
        <w:rPr>
          <w:b/>
          <w:bCs/>
        </w:rP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to PWU-E (main context owns scripts/* edits).</w:t>
      </w:r>
    </w:p>
    <w:bookmarkEnd w:id="11"/>
    <w:bookmarkStart w:id="12" w:name="composition"/>
    <w:p>
      <w:pPr>
        <w:pStyle w:val="Heading2"/>
      </w:pPr>
      <w:r>
        <w:t xml:space="preserve">Composition</w:t>
      </w:r>
    </w:p>
    <w:p>
      <w:pPr>
        <w:pStyle w:val="FirstParagraph"/>
      </w:pPr>
      <w:r>
        <w:t xml:space="preserve">§11.4.93 (SQLite-SSoT mandate) · §11.4.95 (DB tracked in git) ·</w:t>
      </w:r>
      <w:r>
        <w:t xml:space="preserve"> </w:t>
      </w:r>
      <w:r>
        <w:t xml:space="preserve">§11.4.54 (TMX-NNN identifier) · §11.4.33 (type-aware closure) ·</w:t>
      </w:r>
      <w:r>
        <w:t xml:space="preserve"> </w:t>
      </w:r>
      <w:r>
        <w:t xml:space="preserve">§11.4.91 (clarity floor) · §11.4.50 (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deterministic</w:t>
      </w:r>
      <w:r>
        <w:t xml:space="preserve"> </w:t>
      </w:r>
      <w:r>
        <w:t xml:space="preserve">re-run) · §11.4.69 (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semantics applied to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evidence-path) · §11.4.74 (project-local extension because</w:t>
      </w:r>
      <w:r>
        <w:t xml:space="preserve"> </w:t>
      </w:r>
      <w:r>
        <w:t xml:space="preserve">no-modify-constitution memory rule blocks upstream PR this cycle).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</dc:title>
  <dc:creator/>
  <cp:keywords/>
  <dcterms:created xsi:type="dcterms:W3CDTF">2026-09-01T16:13:02Z</dcterms:created>
  <dcterms:modified xsi:type="dcterms:W3CDTF">2026-09-01T16:13:02Z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