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Status_Summary</w:t>
      </w:r>
    </w:p>
    <w:bookmarkStart w:id="11" w:name="X671e3b063dbabec3e72bfb7b80b0202613d9c6a"/>
    <w:p>
      <w:pPr>
        <w:pStyle w:val="Heading1"/>
      </w:pPr>
      <w:r>
        <w:t xml:space="preserve">Workable-items SQLite-SSoT —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2026-05-28T15:30:00Z</w:t>
      </w:r>
    </w:p>
    <w:bookmarkStart w:id="9" w:name="page-1--for-the-operator-non-developer"/>
    <w:p>
      <w:pPr>
        <w:pStyle w:val="Heading2"/>
      </w:pPr>
      <w:r>
        <w:t xml:space="preserve">Page 1 — For the operator (non-developer)</w:t>
      </w:r>
    </w:p>
    <w:p>
      <w:pPr>
        <w:pStyle w:val="FirstParagraph"/>
      </w:pPr>
      <w:r>
        <w:rPr>
          <w:b/>
          <w:bCs/>
        </w:rPr>
        <w:t xml:space="preserve">What works.</w:t>
      </w:r>
      <w:r>
        <w:t xml:space="preserve"> </w:t>
      </w:r>
      <w:r>
        <w:t xml:space="preserve">A new local command-line tool (</w:t>
      </w:r>
      <w:r>
        <w:rPr>
          <w:rStyle w:val="VerbatimChar"/>
        </w:rPr>
        <w:t xml:space="preserve">workable-items</w:t>
      </w:r>
      <w:r>
        <w:t xml:space="preserve">) lets</w:t>
      </w:r>
      <w:r>
        <w:t xml:space="preserve"> </w:t>
      </w:r>
      <w:r>
        <w:t xml:space="preserve">us treat the project's Issues + Fixed trackers as one SQLite database</w:t>
      </w:r>
      <w:r>
        <w:t xml:space="preserve"> </w:t>
      </w:r>
      <w:r>
        <w:t xml:space="preserve">instead of two free-form Markdown files. The database file lives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IS checked into git (it is the source of</w:t>
      </w:r>
      <w:r>
        <w:t xml:space="preserve"> </w:t>
      </w:r>
      <w:r>
        <w:t xml:space="preserve">truth, not a temporary artefact). Forty-five existing items</w:t>
      </w:r>
      <w:r>
        <w:t xml:space="preserve"> </w:t>
      </w:r>
      <w:r>
        <w:t xml:space="preserve">(1 open + 44 closed) were imported on first run with zero data loss</w:t>
      </w:r>
      <w:r>
        <w:t xml:space="preserve"> </w:t>
      </w:r>
      <w:r>
        <w:t xml:space="preserve">and stable, never-changing</w:t>
      </w:r>
      <w:r>
        <w:t xml:space="preserve"> </w:t>
      </w:r>
      <w:r>
        <w:rPr>
          <w:rStyle w:val="VerbatimChar"/>
        </w:rPr>
        <w:t xml:space="preserve">TMX-NNN</w:t>
      </w:r>
      <w:r>
        <w:t xml:space="preserve"> </w:t>
      </w:r>
      <w:r>
        <w:t xml:space="preserve">identifiers.</w:t>
      </w:r>
    </w:p>
    <w:p>
      <w:pPr>
        <w:pStyle w:val="BodyText"/>
      </w:pPr>
      <w:r>
        <w:rPr>
          <w:b/>
          <w:bCs/>
        </w:rPr>
        <w:t xml:space="preserve">What's still pending.</w:t>
      </w:r>
      <w:r>
        <w:t xml:space="preserve"> </w:t>
      </w:r>
      <w:r>
        <w:t xml:space="preserve">Two operator-visible follow-ups remain:</w:t>
      </w:r>
      <w:r>
        <w:t xml:space="preserve"> </w:t>
      </w:r>
      <w:r>
        <w:t xml:space="preserve">(1) the existing closed items are tagged</w:t>
      </w:r>
      <w:r>
        <w:t xml:space="preserve"> </w:t>
      </w:r>
      <w:r>
        <w:rPr>
          <w:rStyle w:val="VerbatimChar"/>
        </w:rPr>
        <w:t xml:space="preserve">Type=Task</w:t>
      </w:r>
      <w:r>
        <w:t xml:space="preserve"> </w:t>
      </w:r>
      <w:r>
        <w:t xml:space="preserve">by default and</w:t>
      </w:r>
      <w:r>
        <w:t xml:space="preserve"> </w:t>
      </w:r>
      <w:r>
        <w:t xml:space="preserve">need a one-time review to mark the actual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ones;</w:t>
      </w:r>
      <w:r>
        <w:t xml:space="preserve"> </w:t>
      </w:r>
      <w:r>
        <w:t xml:space="preserve">(2) the project's commit script (</w:t>
      </w:r>
      <w:r>
        <w:rPr>
          <w:rStyle w:val="VerbatimChar"/>
        </w:rPr>
        <w:t xml:space="preserve">commit_all.sh</w:t>
      </w:r>
      <w:r>
        <w:t xml:space="preserve">) isn't yet wired to</w:t>
      </w:r>
      <w:r>
        <w:t xml:space="preserve"> </w:t>
      </w:r>
      <w:r>
        <w:t xml:space="preserve">auto-sync the DB before each commit. Both are tracked as separate</w:t>
      </w:r>
      <w:r>
        <w:t xml:space="preserve"> </w:t>
      </w:r>
      <w:r>
        <w:t xml:space="preserve">work units.</w:t>
      </w:r>
    </w:p>
    <w:p>
      <w:pPr>
        <w:pStyle w:val="BodyText"/>
      </w:pPr>
      <w:r>
        <w:rPr>
          <w:b/>
          <w:bCs/>
        </w:rPr>
        <w:t xml:space="preserve">What you can do today.</w:t>
      </w:r>
      <w:r>
        <w:t xml:space="preserve"> </w:t>
      </w:r>
      <w:r>
        <w:t xml:space="preserve">Add a new item with</w:t>
      </w:r>
      <w:r>
        <w:t xml:space="preserve"> </w:t>
      </w:r>
      <w:r>
        <w:rPr>
          <w:rStyle w:val="VerbatimChar"/>
        </w:rPr>
        <w:t xml:space="preserve">./cmd/workable-items/workable-items add --type Bug --title "..." --description "..." --severity HIGH</w:t>
      </w:r>
      <w:r>
        <w:t xml:space="preserve">. Close one with</w:t>
      </w:r>
      <w:r>
        <w:t xml:space="preserve"> </w:t>
      </w:r>
      <w:r>
        <w:rPr>
          <w:rStyle w:val="VerbatimChar"/>
        </w:rPr>
        <w:t xml:space="preserve">./cmd/workable-items/workable-items close TMX-007 --status fixed --evidence /path/to/proof.log</w:t>
      </w:r>
      <w:r>
        <w:t xml:space="preserve">. Audit the whole tracker with</w:t>
      </w:r>
      <w:r>
        <w:t xml:space="preserve"> </w:t>
      </w:r>
      <w:r>
        <w:rPr>
          <w:rStyle w:val="VerbatimChar"/>
        </w:rPr>
        <w:t xml:space="preserve">./cmd/workable-items/workable-items validate</w:t>
      </w:r>
      <w:r>
        <w:t xml:space="preserve">.</w:t>
      </w:r>
    </w:p>
    <w:bookmarkEnd w:id="9"/>
    <w:bookmarkStart w:id="10" w:name="page-2--for-software-engineers"/>
    <w:p>
      <w:pPr>
        <w:pStyle w:val="Heading2"/>
      </w:pPr>
      <w:r>
        <w:t xml:space="preserve">Page 2 — For software engineers</w:t>
      </w:r>
    </w:p>
    <w:p>
      <w:pPr>
        <w:pStyle w:val="FirstParagraph"/>
      </w:pPr>
      <w:r>
        <w:rPr>
          <w:b/>
          <w:bCs/>
        </w:rPr>
        <w:t xml:space="preserve">Binary location.</w:t>
      </w:r>
      <w:r>
        <w:t xml:space="preserve"> </w:t>
      </w:r>
      <w:r>
        <w:rPr>
          <w:rStyle w:val="VerbatimChar"/>
        </w:rPr>
        <w:t xml:space="preserve">cmd/workable-items/main.go</w:t>
      </w:r>
      <w:r>
        <w:t xml:space="preserve"> </w:t>
      </w:r>
      <w:r>
        <w:t xml:space="preserve">(Go 1.21+,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pure-Go driver — no CGO so it cross-compiles to</w:t>
      </w:r>
      <w:r>
        <w:t xml:space="preserve"> </w:t>
      </w:r>
      <w:r>
        <w:t xml:space="preserve">Mistborn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and nezha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without C toolchains).</w:t>
      </w:r>
    </w:p>
    <w:p>
      <w:pPr>
        <w:pStyle w:val="BodyText"/>
      </w:pPr>
      <w:r>
        <w:rPr>
          <w:b/>
          <w:bCs/>
        </w:rPr>
        <w:t xml:space="preserve">Schema.</w:t>
      </w:r>
      <w:r>
        <w:t xml:space="preserve"> </w:t>
      </w:r>
      <w:r>
        <w:rPr>
          <w:rStyle w:val="VerbatimChar"/>
        </w:rPr>
        <w:t xml:space="preserve">cmd/workable-items/schema.sql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go:embed</w:t>
      </w:r>
      <w:r>
        <w:t xml:space="preserve">-baked into</w:t>
      </w:r>
      <w:r>
        <w:t xml:space="preserve"> </w:t>
      </w:r>
      <w:r>
        <w:t xml:space="preserve">the binary; header line 1 carries</w:t>
      </w:r>
      <w:r>
        <w:t xml:space="preserve"> </w:t>
      </w:r>
      <w:r>
        <w:rPr>
          <w:rStyle w:val="VerbatimChar"/>
        </w:rPr>
        <w:t xml:space="preserve">DRIFT-CHECK: ... constitution 6828ff2</w:t>
      </w:r>
      <w:r>
        <w:t xml:space="preserve">. Re-run</w:t>
      </w:r>
      <w:r>
        <w:t xml:space="preserve"> </w:t>
      </w:r>
      <w:r>
        <w:rPr>
          <w:rStyle w:val="VerbatimChar"/>
        </w:rPr>
        <w:t xml:space="preserve">workable-items validate --schema-only</w:t>
      </w:r>
      <w:r>
        <w:t xml:space="preserve"> </w:t>
      </w:r>
      <w:r>
        <w:t xml:space="preserve">after any</w:t>
      </w:r>
      <w:r>
        <w:t xml:space="preserve"> </w:t>
      </w:r>
      <w:r>
        <w:t xml:space="preserve">constitution submodule pull. Adds two project-local fields beyond the</w:t>
      </w:r>
      <w:r>
        <w:t xml:space="preserve"> </w:t>
      </w:r>
      <w:r>
        <w:t xml:space="preserve">constitution scaffold: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(A..E heading-prefix letter) and</w:t>
      </w:r>
      <w:r>
        <w:t xml:space="preserve"> </w:t>
      </w:r>
      <w:r>
        <w:rPr>
          <w:rStyle w:val="VerbatimChar"/>
        </w:rPr>
        <w:t xml:space="preserve">code_ordinal</w:t>
      </w:r>
      <w:r>
        <w:t xml:space="preserve"> </w:t>
      </w:r>
      <w:r>
        <w:t xml:space="preserve">(category-local ordinal) — preserved verbatim across</w:t>
      </w:r>
      <w:r>
        <w:t xml:space="preserve"> </w:t>
      </w:r>
      <w:r>
        <w:t xml:space="preserve">round-trip so generator emits</w:t>
      </w:r>
      <w:r>
        <w:t xml:space="preserve"> </w:t>
      </w:r>
      <w:r>
        <w:rPr>
          <w:rStyle w:val="VerbatimChar"/>
        </w:rPr>
        <w:t xml:space="preserve">### B3. ...</w:t>
      </w:r>
      <w:r>
        <w:t xml:space="preserve"> </w:t>
      </w:r>
      <w:r>
        <w:t xml:space="preserve">for a category=B</w:t>
      </w:r>
      <w:r>
        <w:t xml:space="preserve"> </w:t>
      </w:r>
      <w:r>
        <w:t xml:space="preserve">code_ordinal=3 row.</w:t>
      </w:r>
    </w:p>
    <w:p>
      <w:pPr>
        <w:pStyle w:val="BodyText"/>
      </w:pPr>
      <w:r>
        <w:rPr>
          <w:b/>
          <w:bCs/>
        </w:rPr>
        <w:t xml:space="preserve">Test coverage.</w:t>
      </w:r>
      <w:r>
        <w:t xml:space="preserve"> </w:t>
      </w:r>
      <w:r>
        <w:t xml:space="preserve">10 unit + invariant tests, all PASS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Section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TestOpenDB_AppliesSchema</w:t>
            </w:r>
          </w:p>
        </w:tc>
        <w:tc>
          <w:tcPr/>
          <w:p>
            <w:pPr>
              <w:pStyle w:val="Compact"/>
            </w:pPr>
            <w:r>
              <w:t xml:space="preserve">schema 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TestNextATMID_Monotonic</w:t>
            </w:r>
          </w:p>
        </w:tc>
        <w:tc>
          <w:tcPr/>
          <w:p>
            <w:pPr>
              <w:pStyle w:val="Compact"/>
            </w:pPr>
            <w:r>
              <w:t xml:space="preserve">§11.4.54 monotonic TMX-NNN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TestUpsertItem_Idempotent</w:t>
            </w:r>
          </w:p>
        </w:tc>
        <w:tc>
          <w:tcPr/>
          <w:p>
            <w:pPr>
              <w:pStyle w:val="Compact"/>
            </w:pPr>
            <w:r>
              <w:t xml:space="preserve">DB-layer idempotency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TestValidate_DetectsShortDescription</w:t>
            </w:r>
          </w:p>
        </w:tc>
        <w:tc>
          <w:tcPr/>
          <w:p>
            <w:pPr>
              <w:pStyle w:val="Compact"/>
            </w:pPr>
            <w:r>
              <w:t xml:space="preserve">§11.4.91 clarity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TestValidate_DetectsTypeAwareClosureMismatch</w:t>
            </w:r>
          </w:p>
        </w:tc>
        <w:tc>
          <w:tcPr/>
          <w:p>
            <w:pPr>
              <w:pStyle w:val="Compact"/>
            </w:pPr>
            <w:r>
              <w:t xml:space="preserve">§11.4.33 closure vocab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TestAddItem_AllocatesATMAndOpensHistory</w:t>
            </w:r>
          </w:p>
        </w:tc>
        <w:tc>
          <w:tcPr/>
          <w:p>
            <w:pPr>
              <w:pStyle w:val="Compact"/>
            </w:pPr>
            <w:r>
              <w:t xml:space="preserve">§11.4.54 + item_history Opened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TestCloseItem_RequiresEvidence</w:t>
            </w:r>
          </w:p>
        </w:tc>
        <w:tc>
          <w:tcPr/>
          <w:p>
            <w:pPr>
              <w:pStyle w:val="Compact"/>
            </w:pPr>
            <w:r>
              <w:t xml:space="preserve">§11.4.5 + §11.4.69 evidence-required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TestRoundTrip_Issues_GoldenCorpus</w:t>
            </w:r>
          </w:p>
        </w:tc>
        <w:tc>
          <w:tcPr/>
          <w:p>
            <w:pPr>
              <w:pStyle w:val="Compact"/>
            </w:pPr>
            <w:r>
              <w:t xml:space="preserve">§11.4.93 byte-identical round-trip (Issues)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TestRoundTrip_Fixed_GoldenCorpus</w:t>
            </w:r>
          </w:p>
        </w:tc>
        <w:tc>
          <w:tcPr/>
          <w:p>
            <w:pPr>
              <w:pStyle w:val="Compact"/>
            </w:pPr>
            <w:r>
              <w:t xml:space="preserve">§11.4.93 byte-identical round-trip (Fixed)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TestRoundTrip_Idempotent</w:t>
            </w:r>
          </w:p>
        </w:tc>
        <w:tc>
          <w:tcPr/>
          <w:p>
            <w:pPr>
              <w:pStyle w:val="Compact"/>
            </w:pPr>
            <w:r>
              <w:t xml:space="preserve">second-sync allocates 0 new TMX-NNN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Initial real-corpus stats.</w:t>
      </w:r>
      <w:r>
        <w:t xml:space="preserve"> </w:t>
      </w:r>
      <w:r>
        <w:rPr>
          <w:rStyle w:val="VerbatimChar"/>
        </w:rPr>
        <w:t xml:space="preserve">45</w:t>
      </w:r>
      <w:r>
        <w:t xml:space="preserve"> </w:t>
      </w:r>
      <w:r>
        <w:t xml:space="preserve">items in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table; 1 row at</w:t>
      </w:r>
      <w:r>
        <w:t xml:space="preserve"> </w:t>
      </w:r>
      <w:r>
        <w:rPr>
          <w:rStyle w:val="VerbatimChar"/>
        </w:rPr>
        <w:t xml:space="preserve">current_location='Issues'</w:t>
      </w:r>
      <w:r>
        <w:t xml:space="preserve"> </w:t>
      </w:r>
      <w:r>
        <w:t xml:space="preserve">(TMX-001 = B3 in Issues.md), 44 rows at</w:t>
      </w:r>
      <w:r>
        <w:t xml:space="preserve"> </w:t>
      </w:r>
      <w:r>
        <w:rPr>
          <w:rStyle w:val="VerbatimChar"/>
        </w:rPr>
        <w:t xml:space="preserve">current_location='Fixed'</w:t>
      </w:r>
      <w:r>
        <w:t xml:space="preserve"> </w:t>
      </w:r>
      <w:r>
        <w:t xml:space="preserve">(TMX-002..TMX-045 = A1..A36 Fixed.md). On</w:t>
      </w:r>
      <w:r>
        <w:t xml:space="preserve"> </w:t>
      </w:r>
      <w:r>
        <w:t xml:space="preserve">seed the binary allocated TMX-NNN sequentially in source-order and</w:t>
      </w:r>
      <w:r>
        <w:t xml:space="preserve"> </w:t>
      </w:r>
      <w:r>
        <w:t xml:space="preserve">wrote 45</w:t>
      </w:r>
      <w:r>
        <w:t xml:space="preserve"> </w:t>
      </w:r>
      <w:r>
        <w:rPr>
          <w:rStyle w:val="VerbatimChar"/>
        </w:rPr>
        <w:t xml:space="preserve">item_history.event_type='Opened'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by='AI', reason='initial md-to-db sync'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Honest §11.4.6 gaps.</w:t>
      </w:r>
      <w:r>
        <w:t xml:space="preserve"> </w:t>
      </w:r>
      <w:r>
        <w:t xml:space="preserve">(a) 45 legacy items default to</w:t>
      </w:r>
      <w:r>
        <w:t xml:space="preserve"> </w:t>
      </w:r>
      <w:r>
        <w:rPr>
          <w:rStyle w:val="VerbatimChar"/>
        </w:rPr>
        <w:t xml:space="preserve">Type=Task</w:t>
      </w:r>
      <w:r>
        <w:t xml:space="preserve"> </w:t>
      </w:r>
      <w:r>
        <w:t xml:space="preserve">—</w:t>
      </w:r>
      <w:r>
        <w:t xml:space="preserve"> </w:t>
      </w:r>
      <w:r>
        <w:t xml:space="preserve">tmux corpus has no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lines anywhere. Validate reports §11.4.33</w:t>
      </w:r>
      <w:r>
        <w:t xml:space="preserve"> </w:t>
      </w:r>
      <w:r>
        <w:t xml:space="preserve">mismatches as a result; these are honest data-import limitations, not</w:t>
      </w:r>
      <w:r>
        <w:t xml:space="preserve"> </w:t>
      </w:r>
      <w:r>
        <w:t xml:space="preserve">binary defects. (b) Live-corpus round-trip is NOT byte-identical — the</w:t>
      </w:r>
      <w:r>
        <w:t xml:space="preserve"> </w:t>
      </w:r>
      <w:r>
        <w:t xml:space="preserve">free-form bodies (forensic anchors, multi-paragraph "Source-side fix"</w:t>
      </w:r>
      <w:r>
        <w:t xml:space="preserve"> </w:t>
      </w:r>
      <w:r>
        <w:t xml:space="preserve">sections, blockquotes, code fences) cannot be losslessly reconstructed</w:t>
      </w:r>
      <w:r>
        <w:t xml:space="preserve"> </w:t>
      </w:r>
      <w:r>
        <w:t xml:space="preserve">from the flat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column. Round-trip byte-identical</w:t>
      </w:r>
      <w:r>
        <w:t xml:space="preserve"> </w:t>
      </w:r>
      <w:r>
        <w:t xml:space="preserve">equivalence is met for the</w:t>
      </w:r>
      <w:r>
        <w:t xml:space="preserve"> </w:t>
      </w:r>
      <w:r>
        <w:rPr>
          <w:b/>
          <w:bCs/>
        </w:rPr>
        <w:t xml:space="preserve">golden testdata corpus only</w:t>
      </w:r>
      <w:r>
        <w:t xml:space="preserve"> </w:t>
      </w:r>
      <w:r>
        <w:t xml:space="preserve">(per</w:t>
      </w:r>
      <w:r>
        <w:t xml:space="preserve"> </w:t>
      </w:r>
      <w:r>
        <w:t xml:space="preserve">§11.4.93 phase-6 migration plan).</w:t>
      </w:r>
    </w:p>
    <w:p>
      <w:pPr>
        <w:pStyle w:val="BodyText"/>
      </w:pPr>
      <w:r>
        <w:rPr>
          <w:b/>
          <w:bCs/>
        </w:rPr>
        <w:t xml:space="preserve">Composes with.</w:t>
      </w:r>
      <w:r>
        <w:t xml:space="preserve"> </w:t>
      </w:r>
      <w:r>
        <w:t xml:space="preserve">§11.4.93 (SSoT mandate) · §11.4.95 (tracked DB) ·</w:t>
      </w:r>
      <w:r>
        <w:t xml:space="preserve"> </w:t>
      </w:r>
      <w:r>
        <w:t xml:space="preserve">§11.4.54 (TMX-NNN) · §11.4.33 (closure vocab) · §11.4.91 (clarity) ·</w:t>
      </w:r>
      <w:r>
        <w:t xml:space="preserve"> </w:t>
      </w:r>
      <w:r>
        <w:t xml:space="preserve">§11.4.50 (</w:t>
      </w:r>
      <w:r>
        <w:rPr>
          <w:rStyle w:val="VerbatimChar"/>
        </w:rPr>
        <w:t xml:space="preserve">-count=3</w:t>
      </w:r>
      <w:r>
        <w:t xml:space="preserve">) · §11.4.69 (evidence-required) · §11.4.74</w:t>
      </w:r>
      <w:r>
        <w:t xml:space="preserve"> </w:t>
      </w:r>
      <w:r>
        <w:t xml:space="preserve">(project-local extension per no-modify-constitution rule).</w:t>
      </w:r>
    </w:p>
    <w:p>
      <w:pPr>
        <w:pStyle w:val="BodyText"/>
      </w:pPr>
      <w:r>
        <w:rPr>
          <w:b/>
          <w:bCs/>
        </w:rPr>
        <w:t xml:space="preserve">Out-of-scope (deferred to PWU-E + future cycles).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pre-commit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gate;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schema-validate hook;</w:t>
      </w:r>
      <w:r>
        <w:t xml:space="preserve"> </w:t>
      </w:r>
      <w:r>
        <w:rPr>
          <w:rStyle w:val="VerbatimChar"/>
        </w:rPr>
        <w:t xml:space="preserve">scripts/testing/sync_issues_docs.sh</w:t>
      </w:r>
      <w:r>
        <w:t xml:space="preserve"> </w:t>
      </w:r>
      <w:r>
        <w:t xml:space="preserve">Markdown</w:t>
      </w:r>
      <w:r>
        <w:t xml:space="preserve"> </w:t>
      </w:r>
      <w:r>
        <w:t xml:space="preserve">regen invocation; upstream PR to HelixDevelopment/HelixConstitution</w:t>
      </w:r>
      <w:r>
        <w:t xml:space="preserve"> </w:t>
      </w:r>
      <w:r>
        <w:t xml:space="preserve">landing the Phase-3+ Go code in the constitution submodule.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Status_Summary</dc:title>
  <dc:creator/>
  <cp:keywords/>
  <dcterms:created xsi:type="dcterms:W3CDTF">2026-09-01T16:13:02Z</dcterms:created>
  <dcterms:modified xsi:type="dcterms:W3CDTF">2026-09-01T16:13:02Z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