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42" w:name="Xedc584d850759d955e0003f40922477068c9cd5"/>
    <w:p>
      <w:pPr>
        <w:pStyle w:val="Heading1"/>
      </w:pPr>
      <w:r>
        <w:t xml:space="preserve">vasic-digital tmux — optimized + verified containerized build</w:t>
      </w:r>
    </w:p>
    <w:p>
      <w:pPr>
        <w:pStyle w:val="FirstParagraph"/>
      </w:pPr>
      <w:r>
        <w:t xml:space="preserve">A reproducible, hardened build of</w:t>
      </w:r>
      <w:r>
        <w:t xml:space="preserve"> </w:t>
      </w:r>
      <w:hyperlink r:id="rId9">
        <w:r>
          <w:rPr>
            <w:rStyle w:val="VerbatimChar"/>
          </w:rPr>
          <w:t xml:space="preserve">tmux</w:t>
        </w:r>
      </w:hyperlink>
      <w:r>
        <w:t xml:space="preserve"> </w:t>
      </w:r>
      <w:r>
        <w:t xml:space="preserve">with built-in jemalloc support, OOM-protection helper, and a comprehensive verification gate.</w:t>
      </w:r>
      <w:r>
        <w:t xml:space="preserve"> </w:t>
      </w:r>
      <w:r>
        <w:rPr>
          <w:b/>
          <w:bCs/>
        </w:rPr>
        <w:t xml:space="preserve">Runs natively on any Linux host</w:t>
      </w:r>
      <w:r>
        <w:t xml:space="preserve"> </w:t>
      </w:r>
      <w:r>
        <w:t xml:space="preserve">(Ubuntu, ALT, Fedora, Arch, openSUSE, Alpine) where podman or docker is available.</w:t>
      </w:r>
      <w:r>
        <w:t xml:space="preserve"> </w:t>
      </w:r>
      <w:r>
        <w:rPr>
          <w:b/>
          <w:bCs/>
        </w:rPr>
        <w:t xml:space="preserve">macOS hosts</w:t>
      </w:r>
      <w:r>
        <w:t xml:space="preserve"> </w:t>
      </w:r>
      <w:r>
        <w:t xml:space="preserve">(Apple Silicon + Intel) are supported via a transparent bridge into the podman machine VM — the operator gets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on the macOS shell with no manual SSH-juggling.</w:t>
      </w:r>
    </w:p>
    <w:p>
      <w:pPr>
        <w:pStyle w:val="BodyText"/>
      </w:pPr>
      <w:r>
        <w:rPr>
          <w:b/>
          <w:bCs/>
        </w:rPr>
        <w:t xml:space="preserve">The 18 verification tests are why this matters</w:t>
      </w:r>
      <w:r>
        <w:t xml:space="preserve">: a typical "build tmux from source" guide assumes the build worked. This project ships a hard wall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will refuse to PATH-export the binary unless functional tests pass with positive runtime evidence (cgroup interface readbacks,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files, real session output), backed by a §11.4.4 layer-4 paired-mutation harness that proves the gates aren't themselves bluffs. SKIPs document precondition gates (CAP_SYS_RESOURCE, libjemalloc presence, destructive-test opt-in) explicitly. No PASS-bluffs.</w:t>
      </w:r>
    </w:p>
    <w:bookmarkStart w:id="10" w:name="quick-install-one-command"/>
    <w:p>
      <w:pPr>
        <w:pStyle w:val="Heading2"/>
      </w:pPr>
      <w:r>
        <w:t xml:space="preserve">Quick install (one command)</w:t>
      </w:r>
    </w:p>
    <w:p>
      <w:pPr>
        <w:pStyle w:val="FirstParagraph"/>
      </w:pPr>
      <w:r>
        <w:rPr>
          <w:b/>
          <w:bCs/>
        </w:rPr>
        <w:t xml:space="preserve">Linux host: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    </w:t>
      </w:r>
      <w:r>
        <w:rPr>
          <w:rStyle w:val="CommentTok"/>
        </w:rPr>
        <w:t xml:space="preserve"># one-time host build deps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verify + install (no sudo)</w:t>
      </w:r>
    </w:p>
    <w:p>
      <w:pPr>
        <w:pStyle w:val="FirstParagraph"/>
      </w:pPr>
      <w:r>
        <w:rPr>
          <w:b/>
          <w:bCs/>
        </w:rPr>
        <w:t xml:space="preserve">macOS host (Apple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                 </w:t>
      </w:r>
      <w:r>
        <w:rPr>
          <w:rStyle w:val="CommentTok"/>
        </w:rPr>
        <w:t xml:space="preserve"># one-time: container runtime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init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start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VM-verify + install bridge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shell, or source the rc for your shell (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build;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stays untouched and reachable side-by-side.</w:t>
      </w:r>
    </w:p>
    <w:bookmarkEnd w:id="10"/>
    <w:bookmarkStart w:id="11" w:name="Xf33adf0da9f018f252c6c7e83a88e7335205f69"/>
    <w:p>
      <w:pPr>
        <w:pStyle w:val="Heading2"/>
      </w:pPr>
      <w:r>
        <w:t xml:space="preserve">Architecture (native dual-OS per-session isolation)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for each `tmx new -s NAME`:                         │ for each `tmx new -s NAME`:</w:t>
      </w:r>
      <w:r>
        <w:br/>
      </w:r>
      <w:r>
        <w:rPr>
          <w:rStyle w:val="VerbatimChar"/>
        </w:rPr>
        <w:t xml:space="preserve">            │   systemd-run --user --scope                        │   tmux -L tmx-NAME new-session -d -s NAME \</w:t>
      </w:r>
      <w:r>
        <w:br/>
      </w:r>
      <w:r>
        <w:rPr>
          <w:rStyle w:val="VerbatimChar"/>
        </w:rPr>
        <w:t xml:space="preserve">            │     --unit=tmx-NAME.scope                           │     "tmx-rlimit-wrapper.sh \</w:t>
      </w:r>
      <w:r>
        <w:br/>
      </w:r>
      <w:r>
        <w:rPr>
          <w:rStyle w:val="VerbatimChar"/>
        </w:rPr>
        <w:t xml:space="preserve">            │     -p MemoryMax=&lt;host-adaptive&gt;                    │       &lt;mem-kb&gt; &lt;cpu-sec&gt; &lt;nproc&gt; \</w:t>
      </w:r>
      <w:r>
        <w:br/>
      </w:r>
      <w:r>
        <w:rPr>
          <w:rStyle w:val="VerbatimChar"/>
        </w:rPr>
        <w:t xml:space="preserve">            │     -p CPUQuota=200% -p TasksMax=4096               │       $SHELL -l"</w:t>
      </w:r>
      <w:r>
        <w:br/>
      </w:r>
      <w:r>
        <w:rPr>
          <w:rStyle w:val="VerbatimChar"/>
        </w:rPr>
        <w:t xml:space="preserve">            │     -p Delegate=yes                                 │   set -g default-command "rlimit-wrapper …"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cgroup-v2 transient scope      │         │  POSIX rlimit wrapper                    │</w:t>
      </w:r>
      <w:r>
        <w:br/>
      </w:r>
      <w:r>
        <w:rPr>
          <w:rStyle w:val="VerbatimChar"/>
        </w:rPr>
        <w:t xml:space="preserve">   │  tmx-NAME.scope                 │         │  scripts/tmx-rlimit-wrapper.sh           │</w:t>
      </w:r>
      <w:r>
        <w:br/>
      </w:r>
      <w:r>
        <w:rPr>
          <w:rStyle w:val="VerbatimChar"/>
        </w:rPr>
        <w:t xml:space="preserve">   │  ├ MemoryMax = host-adaptive    │         │  ├ ulimit -t  ← RLIMIT_CPU   (enforced)  │</w:t>
      </w:r>
      <w:r>
        <w:br/>
      </w:r>
      <w:r>
        <w:rPr>
          <w:rStyle w:val="VerbatimChar"/>
        </w:rPr>
        <w:t xml:space="preserve">   │  ├ CPUQuota  = 200%             │         │  ├ ulimit -u  ← RLIMIT_NPROC (enforced)  │</w:t>
      </w:r>
      <w:r>
        <w:br/>
      </w:r>
      <w:r>
        <w:rPr>
          <w:rStyle w:val="VerbatimChar"/>
        </w:rPr>
        <w:t xml:space="preserve">   │  ├ TasksMax  = 4096             │         │  └ ulimit -v  ← RLIMIT_AS NOT enforced   │</w:t>
      </w:r>
      <w:r>
        <w:br/>
      </w:r>
      <w:r>
        <w:rPr>
          <w:rStyle w:val="VerbatimChar"/>
        </w:rPr>
        <w:t xml:space="preserve">   │  ├ Delegate  = yes              │         │                  by XNU (documented gap) │</w:t>
      </w:r>
      <w:r>
        <w:br/>
      </w:r>
      <w:r>
        <w:rPr>
          <w:rStyle w:val="VerbatimChar"/>
        </w:rPr>
        <w:t xml:space="preserve">   │  └ tmux 3.6a (Linux ELF)        │         │  tmux 3.6a (Mach-O)                      │</w:t>
      </w:r>
      <w:r>
        <w:br/>
      </w:r>
      <w:r>
        <w:rPr>
          <w:rStyle w:val="VerbatimChar"/>
        </w:rPr>
        <w:t xml:space="preserve">   │  status-bar = DJB2(host)        │         │  status-bar = DJB2(host)                 │</w:t>
      </w:r>
      <w:r>
        <w:br/>
      </w:r>
      <w:r>
        <w:rPr>
          <w:rStyle w:val="VerbatimChar"/>
        </w:rPr>
        <w:t xml:space="preserve">   │  oom_score_adj = -500           │         │  (oom_score_adj N/A on Darwin)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└─────────────────────────────────┘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Shell sees the operator's              Shell sees the operator's macOS host:</w:t>
      </w:r>
      <w:r>
        <w:br/>
      </w:r>
      <w:r>
        <w:rPr>
          <w:rStyle w:val="VerbatimChar"/>
        </w:rPr>
        <w:t xml:space="preserve">       Linux host: full FS, full PATH,        full FS, full PATH (Homebrew, system tools,</w:t>
      </w:r>
      <w:r>
        <w:br/>
      </w:r>
      <w:r>
        <w:rPr>
          <w:rStyle w:val="VerbatimChar"/>
        </w:rPr>
        <w:t xml:space="preserve">       all system binaries reachable.         all Mach-O binaries), `id` = operator's user.</w:t>
      </w:r>
    </w:p>
    <w:p>
      <w:pPr>
        <w:pStyle w:val="FirstParagraph"/>
      </w:pPr>
      <w:r>
        <w:rPr>
          <w:b/>
          <w:bCs/>
        </w:rPr>
        <w:t xml:space="preserve">Native dual-OS per-session isolation</w:t>
      </w:r>
      <w:r>
        <w:t xml:space="preserve"> </w:t>
      </w:r>
      <w:r>
        <w:t xml:space="preserve">(architecture since 2026-05-13).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invocation creates its own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with OS-native isolation: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 enforces MemoryMax, CPUQuota, TasksMax per-group. OOM in one session is contained to that scope — every other session AND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 (Constitution §1 invariant).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sets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 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 before exec'ing the operator's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. The Darwin XNU kernel enforces these per-process. Children inherit.</w:t>
      </w:r>
      <w:r>
        <w:t xml:space="preserve"> </w:t>
      </w:r>
      <w:r>
        <w:rPr>
          <w:rStyle w:val="VerbatimChar"/>
          <w:b/>
          <w:bCs/>
        </w:rPr>
        <w:t xml:space="preserve">RLIMIT_AS</w:t>
      </w:r>
      <w:r>
        <w:rPr>
          <w:b/>
          <w:bCs/>
        </w:rPr>
        <w:t xml:space="preserve"> </w:t>
      </w:r>
      <w:r>
        <w:rPr>
          <w:b/>
          <w:bCs/>
        </w:rPr>
        <w:t xml:space="preserve">(virtual memory) is NOT enforced</w:t>
      </w:r>
      <w:r>
        <w:t xml:space="preserve"> </w:t>
      </w:r>
      <w:r>
        <w:t xml:space="preserve">by XNU for unprivileged processes — this is a documented gap; full memory 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(root).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strength comparison.</w:t>
      </w:r>
    </w:p>
    <w:p>
      <w:pPr>
        <w:pStyle w:val="FirstParagraph"/>
      </w:pPr>
      <w:r>
        <w:t xml:space="preserve">Both OS paths deliver the</w:t>
      </w:r>
      <w:r>
        <w:t xml:space="preserve"> </w:t>
      </w:r>
      <w:r>
        <w:rPr>
          <w:b/>
          <w:bCs/>
        </w:rPr>
        <w:t xml:space="preserve">same operator UX</w:t>
      </w:r>
      <w:r>
        <w:t xml:space="preserve">: plain-vanilla tmux behaviour, the operator's shell with full host PATH (Homebrew on macOS, /usr/local/bin on Linux, all system tools), per-session resource ceilings applied transparently. No VM. No bridge.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No bluff.</w:t>
      </w:r>
    </w:p>
    <w:bookmarkEnd w:id="11"/>
    <w:bookmarkStart w:id="12" w:name="what-you-get"/>
    <w:p>
      <w:pPr>
        <w:pStyle w:val="Heading2"/>
      </w:pPr>
      <w:r>
        <w:t xml:space="preserve">What you 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tmux 3.6a</w:t>
            </w:r>
            <w:r>
              <w:t xml:space="preserve"> </w:t>
            </w:r>
            <w:r>
              <w:t xml:space="preserve">(latest stable)</w:t>
            </w:r>
          </w:p>
        </w:tc>
        <w:tc>
          <w:tcPr/>
          <w:p>
            <w:pPr>
              <w:pStyle w:val="Compact"/>
            </w:pPr>
            <w:r>
              <w:t xml:space="preserve">Pinned to a known-good upstream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Hardened compile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-O2 -DNDEBUG -fstack-protector-strong -D_FORTIFY_SOURCE=2</w:t>
            </w:r>
            <w:r>
              <w:t xml:space="preserve">, RELRO + immediate-binding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Build-time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-ljemalloc</w:t>
            </w:r>
          </w:p>
        </w:tc>
        <w:tc>
          <w:tcPr/>
          <w:p>
            <w:pPr>
              <w:pStyle w:val="Compact"/>
            </w:pPr>
            <w:r>
              <w:t xml:space="preserve">jemalloc linked at the binary level (more aggressive RAM return than glibc malloc)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LD_PRELOAD=libjemalloc.so</w:t>
            </w:r>
          </w:p>
        </w:tc>
        <w:tc>
          <w:tcPr/>
          <w:p>
            <w:pPr>
              <w:pStyle w:val="Compact"/>
            </w:pPr>
            <w:r>
              <w:t xml:space="preserve">Wrapper preloads jemalloc even on hosts where the linker resolved a different malloc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OOM-score protection</w:t>
            </w:r>
          </w:p>
        </w:tc>
        <w:tc>
          <w:tcPr/>
          <w:p>
            <w:pPr>
              <w:pStyle w:val="Compact"/>
            </w:pPr>
            <w:r>
              <w:t xml:space="preserve">Optional setcap-enabled helper (</w:t>
            </w:r>
            <w:r>
              <w:rPr>
                <w:rStyle w:val="VerbatimChar"/>
              </w:rPr>
              <w:t xml:space="preserve">tmx-oom-set</w:t>
            </w:r>
            <w:r>
              <w:t xml:space="preserve">) sets</w:t>
            </w:r>
            <w:r>
              <w:t xml:space="preserve"> </w:t>
            </w:r>
            <w:r>
              <w:rPr>
                <w:rStyle w:val="VerbatimChar"/>
              </w:rPr>
              <w:t xml:space="preserve">oom_score_adj=-500</w:t>
            </w:r>
            <w:r>
              <w:t xml:space="preserve"> </w:t>
            </w:r>
            <w:r>
              <w:t xml:space="preserve">on the spawned server, making tmux survive most OOM cascades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Bounded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history-limit</w:t>
            </w:r>
          </w:p>
        </w:tc>
        <w:tc>
          <w:tcPr/>
          <w:p>
            <w:pPr>
              <w:pStyle w:val="Compac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2000</w:t>
            </w:r>
            <w:r>
              <w:t xml:space="preserve"> </w:t>
            </w:r>
            <w:r>
              <w:t xml:space="preserve">(the default — explicit so future bumps are intentional)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Per-session cwd memory (v1.0.13+)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installs a</w:t>
            </w:r>
            <w:r>
              <w:t xml:space="preserve"> </w:t>
            </w:r>
            <w:r>
              <w:rPr>
                <w:rStyle w:val="VerbatimChar"/>
              </w:rPr>
              <w:t xml:space="preserve">PROMPT_COMMAND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precmd</w:t>
            </w:r>
            <w:r>
              <w:t xml:space="preserve"> </w:t>
            </w:r>
            <w:r>
              <w:t xml:space="preserve">hook inside every pane; every command's cwd is recorded to</w:t>
            </w:r>
            <w:r>
              <w:t xml:space="preserve"> </w:t>
            </w:r>
            <w:r>
              <w:rPr>
                <w:rStyle w:val="VerbatimChar"/>
              </w:rPr>
              <w:t xml:space="preserve">~/.tmx/state.json</w:t>
            </w:r>
            <w:r>
              <w:t xml:space="preserve">. Reopen the same session name → wrapper passes</w:t>
            </w:r>
            <w:r>
              <w:t xml:space="preserve"> </w:t>
            </w:r>
            <w:r>
              <w:rPr>
                <w:rStyle w:val="VerbatimChar"/>
              </w:rPr>
              <w:t xml:space="preserve">-c &lt;last-pwd&gt;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tmux new-session</w:t>
            </w:r>
            <w:r>
              <w:t xml:space="preserve">; the pane materialises where you left off. End-to-end guarantee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scripts/tests/43_e2e_cwd_persist_real_shell.sh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Hermetic install</w:t>
            </w:r>
          </w:p>
        </w:tc>
        <w:tc>
          <w:tcPr/>
          <w:p>
            <w:pPr>
              <w:pStyle w:val="Compact"/>
            </w:pPr>
            <w:r>
              <w:t xml:space="preserve">Built artifact lives in</w:t>
            </w:r>
            <w:r>
              <w:t xml:space="preserve"> </w:t>
            </w:r>
            <w:r>
              <w:rPr>
                <w:rStyle w:val="VerbatimChar"/>
              </w:rPr>
              <w:t xml:space="preserve">tmux/build/</w:t>
            </w:r>
            <w:r>
              <w:t xml:space="preserve">. PATH export points there; system tmux untouched. Removable via</w:t>
            </w:r>
            <w:r>
              <w:t xml:space="preserve"> </w:t>
            </w:r>
            <w:r>
              <w:rPr>
                <w:rStyle w:val="VerbatimChar"/>
              </w:rPr>
              <w:t xml:space="preserve">bash scripts/uninstall.sh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--uninstall</w:t>
            </w:r>
            <w:r>
              <w:t xml:space="preserve"> </w:t>
            </w:r>
            <w:r>
              <w:t xml:space="preserve">— both delegate to the same single source of truth).</w:t>
            </w:r>
          </w:p>
        </w:tc>
      </w:tr>
    </w:tbl>
    <w:bookmarkEnd w:id="12"/>
    <w:bookmarkStart w:id="13" w:name="verification-gate"/>
    <w:p>
      <w:pPr>
        <w:pStyle w:val="Heading2"/>
      </w:pPr>
      <w:r>
        <w:t xml:space="preserve">Verification gate</w:t>
      </w:r>
    </w:p>
    <w:p>
      <w:pPr>
        <w:pStyle w:val="SourceCode"/>
      </w:pPr>
      <w:r>
        <w:rPr>
          <w:rStyle w:val="VerbatimChar"/>
        </w:rPr>
        <w:t xml:space="preserve">SUMMARY: PASS=41  FAIL=0  SKIP=3</w:t>
      </w:r>
      <w:r>
        <w:br/>
      </w:r>
      <w:r>
        <w:rPr>
          <w:rStyle w:val="VerbatimChar"/>
        </w:rPr>
        <w:t xml:space="preserve">GREEN: tmux binary verified — safe to PATH-export.</w:t>
      </w:r>
    </w:p>
    <w:p>
      <w:pPr>
        <w:pStyle w:val="FirstParagraph"/>
      </w:pPr>
      <w:r>
        <w:t xml:space="preserve">The 44 numbered tests cover (among others): smoke + binary version, session lifecycle, jemalloc loaded, history-limit honored, clear-history releases memory, 10 concurrent panes, sustained session no-leak, OOM-score wrapper, crash isolation scope (cgroup-v2 transient), hostname-derived status-bar colour (algorithm + integration), memory pressure under cap, TasksMax stress, concurrent OOM independence, per-session cgroup distinctness, window-name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strip,</w:t>
      </w:r>
      <w:r>
        <w:t xml:space="preserve"> </w:t>
      </w:r>
      <w:r>
        <w:rPr>
          <w:b/>
          <w:bCs/>
        </w:rPr>
        <w:t xml:space="preserve">scrollback + copy-mode scrolling</w:t>
      </w:r>
      <w:r>
        <w:t xml:space="preserve"> </w:t>
      </w:r>
      <w:r>
        <w:t xml:space="preserve">(operator-path: 3000 lines generated, proven scrolled off-screen, reachable via copy-mode), HelixConstitution inheritance (submodule + every governance doc's pointer), CodeGraph index materialisation, cross-platform parity branches (macOS ↔ Linux), tmx-shell-init non-TTY guard, tmx-state cwd persistence end-to-end across exit + reopen, SSH dispatch to remote nezha, dispatcher session-name validation, setup install/uninstall E2E, and — new in</w:t>
      </w:r>
      <w:r>
        <w:t xml:space="preserve"> </w:t>
      </w:r>
      <w:r>
        <w:rPr>
          <w:b/>
          <w:bCs/>
        </w:rPr>
        <w:t xml:space="preserve">v1.0.14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clipboard copy-OUT physically proven</w:t>
      </w:r>
      <w:r>
        <w:t xml:space="preserve"> </w:t>
      </w:r>
      <w:r>
        <w:t xml:space="preserve">end-to-end (test 44: marker round-trip through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→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shell-pipe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returns the marker).</w:t>
      </w:r>
    </w:p>
    <w:p>
      <w:pPr>
        <w:pStyle w:val="BodyText"/>
      </w:pPr>
      <w:r>
        <w:t xml:space="preserve">Four honest SKIPs document precondition gates: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03_jemalloc_loaded</w:t>
      </w:r>
      <w:r>
        <w:t xml:space="preserve"> </w:t>
      </w:r>
      <w:r>
        <w:t xml:space="preserve">SKIPs if host doesn't have libjemalloc —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provides it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08_oom_score_adj</w:t>
      </w:r>
      <w:r>
        <w:t xml:space="preserve"> </w:t>
      </w:r>
      <w:r>
        <w:t xml:space="preserve">SKIPs unless running as root OR the setcap helper is installed —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enables it</w:t>
      </w:r>
    </w:p>
    <w:p>
      <w:pPr>
        <w:pStyle w:val="Compact"/>
        <w:numPr>
          <w:ilvl w:val="0"/>
          <w:numId w:val="1002"/>
        </w:numPr>
      </w:pPr>
      <w:r>
        <w:t xml:space="preserve">Tests 12 / 13 / 14 (memory-pressure / TasksMax / concurrent-OOM)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run only on dedicated test hosts</w:t>
      </w:r>
    </w:p>
    <w:p>
      <w:pPr>
        <w:pStyle w:val="FirstParagraph"/>
      </w:pPr>
      <w:r>
        <w:t xml:space="preserve">A layer-4 paired-mutation harness (Constitution §103) lives at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 registered mutations M1–M14 plus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each break a feature, assert the matching test then FAILs, revert, and assert it PASSes again. On macOS the harness reports</w:t>
      </w:r>
      <w:r>
        <w:t xml:space="preserve"> </w:t>
      </w:r>
      <w:r>
        <w:rPr>
          <w:b/>
          <w:bCs/>
        </w:rPr>
        <w:t xml:space="preserve">18 caught / 0 escaped / 6 skipped</w:t>
      </w:r>
      <w:r>
        <w:t xml:space="preserve"> </w:t>
      </w:r>
      <w:r>
        <w:t xml:space="preserve">(the 6 SKIPs are Linux-only isolation mutations); the remainder run on Linux via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. The gate is not considered self-validating until every runnable mutation is caught.</w:t>
      </w:r>
    </w:p>
    <w:bookmarkEnd w:id="13"/>
    <w:bookmarkStart w:id="15" w:name="roadmap"/>
    <w:p>
      <w:pPr>
        <w:pStyle w:val="Heading2"/>
      </w:pPr>
      <w:r>
        <w:t xml:space="preserve">Roadmap</w:t>
      </w:r>
    </w:p>
    <w:p>
      <w:pPr>
        <w:pStyle w:val="FirstParagraph"/>
      </w:pPr>
      <w:r>
        <w:t xml:space="preserve">See</w:t>
      </w:r>
      <w:r>
        <w:t xml:space="preserve"> </w:t>
      </w:r>
      <w:hyperlink r:id="rId14">
        <w:r>
          <w:rPr>
            <w:rStyle w:val="VerbatimChar"/>
          </w:rPr>
          <w:t xml:space="preserve">docs/plans/containerization.md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per-session containerization plan</w:t>
      </w:r>
      <w:r>
        <w:t xml:space="preserve"> </w:t>
      </w:r>
      <w:r>
        <w:t xml:space="preserve">— each tmux session running in its own cgroup-bounded container so that:</w:t>
      </w:r>
    </w:p>
    <w:p>
      <w:pPr>
        <w:pStyle w:val="Compact"/>
        <w:numPr>
          <w:ilvl w:val="0"/>
          <w:numId w:val="1003"/>
        </w:numPr>
      </w:pPr>
      <w:r>
        <w:t xml:space="preserve">2 CPU + reasonable RAM cap per session</w:t>
      </w:r>
    </w:p>
    <w:p>
      <w:pPr>
        <w:pStyle w:val="Compact"/>
        <w:numPr>
          <w:ilvl w:val="0"/>
          <w:numId w:val="1003"/>
        </w:numPr>
      </w:pPr>
      <w:r>
        <w:t xml:space="preserve">Crash isolation: if one session OOMs/crashes, only that session dies; other sessions and their processes survive</w:t>
      </w:r>
    </w:p>
    <w:p>
      <w:pPr>
        <w:pStyle w:val="Compact"/>
        <w:numPr>
          <w:ilvl w:val="0"/>
          <w:numId w:val="1003"/>
        </w:numPr>
      </w:pPr>
      <w:r>
        <w:t xml:space="preserve">One-command bootstrap:</w:t>
      </w:r>
      <w:r>
        <w:t xml:space="preserve"> </w:t>
      </w:r>
      <w:r>
        <w:rPr>
          <w:rStyle w:val="VerbatimChar"/>
        </w:rPr>
        <w:t xml:space="preserve">tmx new &lt;session&gt;</w:t>
      </w:r>
      <w:r>
        <w:t xml:space="preserve"> </w:t>
      </w:r>
      <w:r>
        <w:t xml:space="preserve">transparently creates the container</w:t>
      </w:r>
    </w:p>
    <w:bookmarkEnd w:id="15"/>
    <w:bookmarkStart w:id="36" w:name="documentation-map"/>
    <w:p>
      <w:pPr>
        <w:pStyle w:val="Heading2"/>
      </w:pPr>
      <w:r>
        <w:t xml:space="preserve">Documentation map</w:t>
      </w:r>
    </w:p>
    <w:p>
      <w:pPr>
        <w:pStyle w:val="FirstParagraph"/>
      </w:pPr>
      <w:r>
        <w:t xml:space="preserve">Every project doc lives under a context-named subdirectory of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's file-layout rule. Every Markdown</w:t>
      </w:r>
      <w:r>
        <w:t xml:space="preserve"> </w:t>
      </w:r>
      <w:r>
        <w:t xml:space="preserve">has a synced HTML + PDF sibling generated by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per §11.4.65 universal-Markdown-export.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guide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docs/guide/README.md</w:t>
              </w:r>
            </w:hyperlink>
            <w:r>
              <w:t xml:space="preserve"> </w:t>
            </w:r>
            <w:r>
              <w:t xml:space="preserve">— install, OS-by-OS notes, isolation comparison,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shell-session resume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docs/manual/tmx-shell-integration.md</w:t>
              </w:r>
            </w:hyperlink>
            <w:r>
              <w:t xml:space="preserve"> </w:t>
            </w:r>
            <w:r>
              <w:t xml:space="preserve">— end-user master manual with copy-paste worked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 integration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docs/guides/tmx-shell-integration.md</w:t>
              </w:r>
            </w:hyperlink>
            <w:r>
              <w:t xml:space="preserve"> </w:t>
            </w:r>
            <w:r>
              <w:t xml:space="preserve">— operator install/uninstall guide for</w:t>
            </w:r>
            <w:r>
              <w:t xml:space="preserve"> </w:t>
            </w:r>
            <w:r>
              <w:rPr>
                <w:rStyle w:val="VerbatimChar"/>
              </w:rPr>
              <w:t xml:space="preserve">tmx-shell-init.sh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state daemon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docs/guides/tmx-state.md</w:t>
              </w:r>
            </w:hyperlink>
            <w:r>
              <w:t xml:space="preserve"> </w:t>
            </w:r>
            <w:r>
              <w:t xml:space="preserve">— operator CLI reference + state-file schema for</w:t>
            </w:r>
            <w:r>
              <w:t xml:space="preserve"> </w:t>
            </w:r>
            <w:r>
              <w:rPr>
                <w:rStyle w:val="VerbatimChar"/>
              </w:rPr>
              <w:t xml:space="preserve">tmx-state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SSH dispatch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docs/guides/tmx-ssh-dispatch.md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ssh &lt;host&gt;-tmx &lt;session&gt;</w:t>
            </w:r>
            <w:r>
              <w:t xml:space="preserve"> </w:t>
            </w:r>
            <w:r>
              <w:t xml:space="preserve">install, security,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Scrolling (Claude Code TUI + mobile)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docs/scrolling/README.md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 (§11.4.78)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docs/codegraph/README.md</w:t>
              </w:r>
            </w:hyperlink>
            <w:r>
              <w:t xml:space="preserve"> </w:t>
            </w:r>
            <w:r>
              <w:t xml:space="preserve">— install, per-agent MCP wiring, anti-bluff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plans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docs/plans/native-dual-os.md</w:t>
              </w:r>
            </w:hyperlink>
            <w:r>
              <w:t xml:space="preserve"> </w:t>
            </w:r>
            <w:r>
              <w:t xml:space="preserve">— current native-host design (no VM)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docs/plans/per-session-isolation.md</w:t>
              </w:r>
            </w:hyperlink>
            <w:r>
              <w:t xml:space="preserve"> </w:t>
            </w:r>
            <w:r>
              <w:t xml:space="preserve">— per-session OOM containment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docs/plans/containerization.md</w:t>
              </w:r>
            </w:hyperlink>
            <w:r>
              <w:t xml:space="preserve"> </w:t>
            </w:r>
            <w:r>
              <w:t xml:space="preserve">— original (now superseded) containerization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plans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docs/plans/v1.0.4.md</w:t>
              </w:r>
            </w:hyperlink>
            <w:r>
              <w:t xml:space="preserve"> </w:t>
            </w:r>
            <w:r>
              <w:t xml:space="preserve">— this cycle's plan (CodeGraph + covenant propagation + AUDIT fixes)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notes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docs/research/customization/colors.md</w:t>
              </w:r>
            </w:hyperlink>
            <w:r>
              <w:t xml:space="preserve"> </w:t>
            </w:r>
            <w:r>
              <w:t xml:space="preserve">— hostname-derived status 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Constitution.md</w:t>
              </w:r>
            </w:hyperlink>
            <w:r>
              <w:t xml:space="preserve"> </w:t>
            </w:r>
            <w:r>
              <w:t xml:space="preserve">— Project Articles §101–§109 (extends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);</w:t>
            </w:r>
            <w:r>
              <w:t xml:space="preserve"> </w:t>
            </w:r>
            <w:hyperlink r:id="rId28">
              <w:r>
                <w:rPr>
                  <w:rStyle w:val="VerbatimChar"/>
                </w:rPr>
                <w:t xml:space="preserve">CLAUDE.md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VerbatimChar"/>
                </w:rPr>
                <w:t xml:space="preserve">AGENTS.md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QWEN.md</w:t>
              </w:r>
            </w:hyperlink>
            <w:r>
              <w:t xml:space="preserve"> </w:t>
            </w:r>
            <w:r>
              <w:t xml:space="preserve">— per-agent inheritance pointers + project-specific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governance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constitution/</w:t>
              </w:r>
            </w:hyperlink>
            <w:r>
              <w:t xml:space="preserve"> </w:t>
            </w:r>
            <w:r>
              <w:t xml:space="preserve">submodule (</w:t>
            </w:r>
            <w:r>
              <w:rPr>
                <w:rStyle w:val="VerbatimChar"/>
              </w:rPr>
              <w:t xml:space="preserve">HelixDevelopment/HelixConstitution</w:t>
            </w:r>
            <w:r>
              <w:t xml:space="preserve">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state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CONTINUATION.md</w:t>
              </w:r>
            </w:hyperlink>
            <w:r>
              <w:t xml:space="preserve"> </w:t>
            </w:r>
            <w:r>
              <w:t xml:space="preserve">— read first on a fresh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Issues.md</w:t>
              </w:r>
            </w:hyperlink>
            <w:r>
              <w:t xml:space="preserve"> </w:t>
            </w:r>
            <w:r>
              <w:t xml:space="preserve">(open) /</w:t>
            </w:r>
            <w:r>
              <w:t xml:space="preserve"> </w:t>
            </w:r>
            <w:hyperlink r:id="rId34">
              <w:r>
                <w:rPr>
                  <w:rStyle w:val="VerbatimChar"/>
                </w:rPr>
                <w:t xml:space="preserve">Fixed.md</w:t>
              </w:r>
            </w:hyperlink>
            <w:r>
              <w:t xml:space="preserve"> </w:t>
            </w:r>
            <w:r>
              <w:t xml:space="preserve">(closed with closure SHA +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Changelog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CHANGELOG.md</w:t>
              </w:r>
            </w:hyperlink>
            <w:r>
              <w:t xml:space="preserve"> </w:t>
            </w:r>
            <w:r>
              <w:t xml:space="preserve">— per-release positive-evidence verification record</w:t>
            </w:r>
          </w:p>
        </w:tc>
      </w:tr>
    </w:tbl>
    <w:bookmarkEnd w:id="36"/>
    <w:bookmarkStart w:id="38" w:name="repository-conventions"/>
    <w:p>
      <w:pPr>
        <w:pStyle w:val="Heading2"/>
      </w:pPr>
      <w:r>
        <w:t xml:space="preserve">Repository conventions</w:t>
      </w:r>
    </w:p>
    <w:p>
      <w:pPr>
        <w:pStyle w:val="FirstParagraph"/>
      </w:pPr>
      <w:r>
        <w:t xml:space="preserve">This repo follows the</w:t>
      </w:r>
      <w:r>
        <w:t xml:space="preserve"> </w:t>
      </w:r>
      <w:r>
        <w:rPr>
          <w:b/>
          <w:bCs/>
        </w:rPr>
        <w:t xml:space="preserve">vasic-digital anti-bluff covenant</w:t>
      </w:r>
      <w:r>
        <w:t xml:space="preserve">: every</w:t>
      </w:r>
      <w:r>
        <w:t xml:space="preserve"> </w:t>
      </w:r>
      <w:r>
        <w:t xml:space="preserve">test that PASSes carries positive evidence of the feature working;</w:t>
      </w:r>
      <w:r>
        <w:t xml:space="preserve"> </w:t>
      </w:r>
      <w:r>
        <w:t xml:space="preserve">every SKIP documents its precondition; every gate has a paired</w:t>
      </w:r>
      <w:r>
        <w:t xml:space="preserve"> </w:t>
      </w:r>
      <w:r>
        <w:t xml:space="preserve">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proving the gate isn't itself a bluff.</w:t>
      </w:r>
      <w:r>
        <w:t xml:space="preserve"> </w:t>
      </w:r>
      <w:r>
        <w:t xml:space="preserve">The covenant is restated verbatim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(per the 2026-05-21 operator mandate) so</w:t>
      </w:r>
      <w:r>
        <w:t xml:space="preserve"> </w:t>
      </w:r>
      <w:r>
        <w:t xml:space="preserve">that any tool which doesn't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still reads it. The</w:t>
      </w:r>
      <w:r>
        <w:t xml:space="preserve"> </w:t>
      </w:r>
      <w:r>
        <w:t xml:space="preserve">upstream source lives in</w:t>
      </w:r>
      <w:r>
        <w:t xml:space="preserve"> </w:t>
      </w:r>
      <w:hyperlink r:id="rId37">
        <w:r>
          <w:rPr>
            <w:rStyle w:val="VerbatimChar"/>
          </w:rPr>
          <w:t xml:space="preserve">constitution/Constitution.md</w:t>
        </w:r>
      </w:hyperlink>
      <w:r>
        <w:t xml:space="preserve"> </w:t>
      </w:r>
      <w:r>
        <w:t xml:space="preserve">§11.4.</w:t>
      </w:r>
    </w:p>
    <w:bookmarkEnd w:id="38"/>
    <w:bookmarkStart w:id="40" w:name="codegraph-code-intelligence"/>
    <w:p>
      <w:pPr>
        <w:pStyle w:val="Heading2"/>
      </w:pPr>
      <w:r>
        <w:t xml:space="preserve">CodeGraph (code-intelligence)</w:t>
      </w:r>
    </w:p>
    <w:p>
      <w:pPr>
        <w:pStyle w:val="FirstParagraph"/>
      </w:pPr>
      <w:r>
        <w:t xml:space="preserve">This project is wired with</w:t>
      </w:r>
      <w:r>
        <w:t xml:space="preserve"> </w:t>
      </w:r>
      <w:hyperlink r:id="rId39">
        <w:r>
          <w:rPr>
            <w:rStyle w:val="Hyperlink"/>
          </w:rPr>
          <w:t xml:space="preserve">CodeGraph</w:t>
        </w:r>
      </w:hyperlink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§11.4.78. The MCP server is</w:t>
      </w:r>
      <w:r>
        <w:t xml:space="preserve"> </w:t>
      </w:r>
      <w:r>
        <w:t xml:space="preserve">configured for Claude Code, OpenCode, Kimi CLI, Crush, and Qwen</w:t>
      </w:r>
      <w:r>
        <w:t xml:space="preserve"> </w:t>
      </w:r>
      <w:r>
        <w:t xml:space="preserve">Code — see</w:t>
      </w:r>
      <w:r>
        <w:t xml:space="preserve"> </w:t>
      </w:r>
      <w:hyperlink r:id="rId22">
        <w:r>
          <w:rPr>
            <w:rStyle w:val="VerbatimChar"/>
          </w:rPr>
          <w:t xml:space="preserve">docs/codegraph/README.md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install + per-agent wiring contract.</w:t>
      </w:r>
    </w:p>
    <w:bookmarkEnd w:id="40"/>
    <w:bookmarkStart w:id="4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GENTS.md" TargetMode="External" /><Relationship Type="http://schemas.openxmlformats.org/officeDocument/2006/relationships/hyperlink" Id="rId35" Target="CHANGELOG.md" TargetMode="External" /><Relationship Type="http://schemas.openxmlformats.org/officeDocument/2006/relationships/hyperlink" Id="rId28" Target="CLAUDE.md" TargetMode="External" /><Relationship Type="http://schemas.openxmlformats.org/officeDocument/2006/relationships/hyperlink" Id="rId32" Target="CONTINUATION.md" TargetMode="External" /><Relationship Type="http://schemas.openxmlformats.org/officeDocument/2006/relationships/hyperlink" Id="rId27" Target="Constitution.md" TargetMode="External" /><Relationship Type="http://schemas.openxmlformats.org/officeDocument/2006/relationships/hyperlink" Id="rId34" Target="Fixed.md" TargetMode="External" /><Relationship Type="http://schemas.openxmlformats.org/officeDocument/2006/relationships/hyperlink" Id="rId33" Target="Issues.md" TargetMode="External" /><Relationship Type="http://schemas.openxmlformats.org/officeDocument/2006/relationships/hyperlink" Id="rId30" Target="QWEN.md" TargetMode="External" /><Relationship Type="http://schemas.openxmlformats.org/officeDocument/2006/relationships/hyperlink" Id="rId31" Target="constitution/" TargetMode="External" /><Relationship Type="http://schemas.openxmlformats.org/officeDocument/2006/relationships/hyperlink" Id="rId37" Target="constitution/Constitution.md" TargetMode="External" /><Relationship Type="http://schemas.openxmlformats.org/officeDocument/2006/relationships/hyperlink" Id="rId22" Target="docs/codegraph/README.md" TargetMode="External" /><Relationship Type="http://schemas.openxmlformats.org/officeDocument/2006/relationships/hyperlink" Id="rId16" Target="docs/guide/README.md" TargetMode="External" /><Relationship Type="http://schemas.openxmlformats.org/officeDocument/2006/relationships/hyperlink" Id="rId18" Target="docs/guides/tmx-shell-integration.md" TargetMode="External" /><Relationship Type="http://schemas.openxmlformats.org/officeDocument/2006/relationships/hyperlink" Id="rId20" Target="docs/guides/tmx-ssh-dispatch.md" TargetMode="External" /><Relationship Type="http://schemas.openxmlformats.org/officeDocument/2006/relationships/hyperlink" Id="rId19" Target="docs/guides/tmx-state.md" TargetMode="External" /><Relationship Type="http://schemas.openxmlformats.org/officeDocument/2006/relationships/hyperlink" Id="rId17" Target="docs/manual/tmx-shell-integration.md" TargetMode="External" /><Relationship Type="http://schemas.openxmlformats.org/officeDocument/2006/relationships/hyperlink" Id="rId14" Target="docs/plans/containerization.md" TargetMode="External" /><Relationship Type="http://schemas.openxmlformats.org/officeDocument/2006/relationships/hyperlink" Id="rId23" Target="docs/plans/native-dual-os.md" TargetMode="External" /><Relationship Type="http://schemas.openxmlformats.org/officeDocument/2006/relationships/hyperlink" Id="rId24" Target="docs/plans/per-session-isolation.md" TargetMode="External" /><Relationship Type="http://schemas.openxmlformats.org/officeDocument/2006/relationships/hyperlink" Id="rId25" Target="docs/plans/v1.0.4.md" TargetMode="External" /><Relationship Type="http://schemas.openxmlformats.org/officeDocument/2006/relationships/hyperlink" Id="rId26" Target="docs/research/customization/colors.md" TargetMode="External" /><Relationship Type="http://schemas.openxmlformats.org/officeDocument/2006/relationships/hyperlink" Id="rId21" Target="docs/scrolling/README.md" TargetMode="External" /><Relationship Type="http://schemas.openxmlformats.org/officeDocument/2006/relationships/hyperlink" Id="rId39" Target="https://github.com/colbymchenry/codegraph" TargetMode="External" /><Relationship Type="http://schemas.openxmlformats.org/officeDocument/2006/relationships/hyperlink" Id="rId9" Target="https://github.com/tmux/tm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GENTS.md" TargetMode="External" /><Relationship Type="http://schemas.openxmlformats.org/officeDocument/2006/relationships/hyperlink" Id="rId35" Target="CHANGELOG.md" TargetMode="External" /><Relationship Type="http://schemas.openxmlformats.org/officeDocument/2006/relationships/hyperlink" Id="rId28" Target="CLAUDE.md" TargetMode="External" /><Relationship Type="http://schemas.openxmlformats.org/officeDocument/2006/relationships/hyperlink" Id="rId32" Target="CONTINUATION.md" TargetMode="External" /><Relationship Type="http://schemas.openxmlformats.org/officeDocument/2006/relationships/hyperlink" Id="rId27" Target="Constitution.md" TargetMode="External" /><Relationship Type="http://schemas.openxmlformats.org/officeDocument/2006/relationships/hyperlink" Id="rId34" Target="Fixed.md" TargetMode="External" /><Relationship Type="http://schemas.openxmlformats.org/officeDocument/2006/relationships/hyperlink" Id="rId33" Target="Issues.md" TargetMode="External" /><Relationship Type="http://schemas.openxmlformats.org/officeDocument/2006/relationships/hyperlink" Id="rId30" Target="QWEN.md" TargetMode="External" /><Relationship Type="http://schemas.openxmlformats.org/officeDocument/2006/relationships/hyperlink" Id="rId31" Target="constitution/" TargetMode="External" /><Relationship Type="http://schemas.openxmlformats.org/officeDocument/2006/relationships/hyperlink" Id="rId37" Target="constitution/Constitution.md" TargetMode="External" /><Relationship Type="http://schemas.openxmlformats.org/officeDocument/2006/relationships/hyperlink" Id="rId22" Target="docs/codegraph/README.md" TargetMode="External" /><Relationship Type="http://schemas.openxmlformats.org/officeDocument/2006/relationships/hyperlink" Id="rId16" Target="docs/guide/README.md" TargetMode="External" /><Relationship Type="http://schemas.openxmlformats.org/officeDocument/2006/relationships/hyperlink" Id="rId18" Target="docs/guides/tmx-shell-integration.md" TargetMode="External" /><Relationship Type="http://schemas.openxmlformats.org/officeDocument/2006/relationships/hyperlink" Id="rId20" Target="docs/guides/tmx-ssh-dispatch.md" TargetMode="External" /><Relationship Type="http://schemas.openxmlformats.org/officeDocument/2006/relationships/hyperlink" Id="rId19" Target="docs/guides/tmx-state.md" TargetMode="External" /><Relationship Type="http://schemas.openxmlformats.org/officeDocument/2006/relationships/hyperlink" Id="rId17" Target="docs/manual/tmx-shell-integration.md" TargetMode="External" /><Relationship Type="http://schemas.openxmlformats.org/officeDocument/2006/relationships/hyperlink" Id="rId14" Target="docs/plans/containerization.md" TargetMode="External" /><Relationship Type="http://schemas.openxmlformats.org/officeDocument/2006/relationships/hyperlink" Id="rId23" Target="docs/plans/native-dual-os.md" TargetMode="External" /><Relationship Type="http://schemas.openxmlformats.org/officeDocument/2006/relationships/hyperlink" Id="rId24" Target="docs/plans/per-session-isolation.md" TargetMode="External" /><Relationship Type="http://schemas.openxmlformats.org/officeDocument/2006/relationships/hyperlink" Id="rId25" Target="docs/plans/v1.0.4.md" TargetMode="External" /><Relationship Type="http://schemas.openxmlformats.org/officeDocument/2006/relationships/hyperlink" Id="rId26" Target="docs/research/customization/colors.md" TargetMode="External" /><Relationship Type="http://schemas.openxmlformats.org/officeDocument/2006/relationships/hyperlink" Id="rId21" Target="docs/scrolling/README.md" TargetMode="External" /><Relationship Type="http://schemas.openxmlformats.org/officeDocument/2006/relationships/hyperlink" Id="rId39" Target="https://github.com/colbymchenry/codegraph" TargetMode="External" /><Relationship Type="http://schemas.openxmlformats.org/officeDocument/2006/relationships/hyperlink" Id="rId9" Target="https://github.com/tmux/tm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2026-05-28T10:26:44Z</dcterms:created>
  <dcterms:modified xsi:type="dcterms:W3CDTF">2026-05-28T10:26:44Z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