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golden_issues</w:t>
      </w:r>
    </w:p>
    <w:bookmarkStart w:id="14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t xml:space="preserve">§11.4.93 SQLite-SSoT generated. Edit the DB via</w:t>
      </w:r>
      <w:r>
        <w:t xml:space="preserve"> </w:t>
      </w:r>
      <w:r>
        <w:rPr>
          <w:rStyle w:val="VerbatimChar"/>
        </w:rPr>
        <w:t xml:space="preserve">workable-items add|close|...</w:t>
      </w:r>
      <w:r>
        <w:t xml:space="preserve"> </w:t>
      </w:r>
      <w:r>
        <w:t xml:space="preserve">— direct MD edits are obliterated</w:t>
      </w:r>
      <w:r>
        <w:t xml:space="preserve"> </w:t>
      </w:r>
      <w:r>
        <w:t xml:space="preserve">by the next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invocation.</w:t>
      </w:r>
    </w:p>
    <w:bookmarkStart w:id="13" w:name="items"/>
    <w:p>
      <w:pPr>
        <w:pStyle w:val="Heading2"/>
      </w:pPr>
      <w:r>
        <w:t xml:space="preserve">Items</w:t>
      </w:r>
    </w:p>
    <w:bookmarkStart w:id="9" w:name="category-a"/>
    <w:p>
      <w:pPr>
        <w:pStyle w:val="Heading3"/>
      </w:pPr>
      <w:r>
        <w:t xml:space="preserve">Category A</w:t>
      </w:r>
    </w:p>
    <w:bookmarkEnd w:id="9"/>
    <w:bookmarkStart w:id="10" w:name="X54f4e2bc2237188e30ae8def5920903eaefd30b"/>
    <w:p>
      <w:pPr>
        <w:pStyle w:val="Heading3"/>
      </w:pPr>
      <w:r>
        <w:t xml:space="preserve">A1. Tooling harness for round-trip testing needs golden corpus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ATM-ID:</w:t>
      </w:r>
      <w:r>
        <w:t xml:space="preserve"> </w:t>
      </w:r>
      <w:r>
        <w:t xml:space="preserve">ATM-001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Establish a deterministic golden fixture corpus that exercises the md-to-db and db-to-md round-trip with byte-identical equivalence per §11.4.93.</w:t>
      </w:r>
    </w:p>
    <w:bookmarkEnd w:id="10"/>
    <w:bookmarkStart w:id="11" w:name="category-b"/>
    <w:p>
      <w:pPr>
        <w:pStyle w:val="Heading3"/>
      </w:pPr>
      <w:r>
        <w:t xml:space="preserve">Category B</w:t>
      </w:r>
    </w:p>
    <w:bookmarkEnd w:id="11"/>
    <w:bookmarkStart w:id="12" w:name="X3676c8dbbc53aca02d8a30628ffb8253bf24ad4"/>
    <w:p>
      <w:pPr>
        <w:pStyle w:val="Heading3"/>
      </w:pPr>
      <w:r>
        <w:t xml:space="preserve">B1. Parser must handle backticks inside titles without confusion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ATM-ID:</w:t>
      </w:r>
      <w:r>
        <w:t xml:space="preserve"> </w:t>
      </w:r>
      <w:r>
        <w:t xml:space="preserve">ATM-002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Titles containing backticked code references (e.g.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) must parse intact and not be truncated by the heading status-hint extractor.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golden_issues</dc:title>
  <dc:creator/>
  <cp:keywords/>
  <dcterms:created xsi:type="dcterms:W3CDTF">2026-05-28T10:56:32Z</dcterms:created>
  <dcterms:modified xsi:type="dcterms:W3CDTF">2026-05-28T10:56:32Z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