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golden_issues</w:t>
      </w:r>
    </w:p>
    <w:bookmarkStart w:id="14" w:name="vasic-digital-tmux--open-issues-tracker"/>
    <w:p>
      <w:pPr>
        <w:pStyle w:val="Heading1"/>
      </w:pPr>
      <w:r>
        <w:t xml:space="preserve">vasic-digital tmux — Open Issues Tracker</w:t>
      </w:r>
    </w:p>
    <w:p>
      <w:pPr>
        <w:pStyle w:val="BlockText"/>
      </w:pPr>
      <w:r>
        <w:t xml:space="preserve">§11.4.93 SQLite-SSoT generated. Edit the DB via</w:t>
      </w:r>
      <w:r>
        <w:t xml:space="preserve"> </w:t>
      </w:r>
      <w:r>
        <w:rPr>
          <w:rStyle w:val="VerbatimChar"/>
        </w:rPr>
        <w:t xml:space="preserve">workable-items add|close|...</w:t>
      </w:r>
      <w:r>
        <w:t xml:space="preserve"> </w:t>
      </w:r>
      <w:r>
        <w:t xml:space="preserve">— direct MD edits are obliterated</w:t>
      </w:r>
      <w:r>
        <w:t xml:space="preserve"> </w:t>
      </w:r>
      <w:r>
        <w:t xml:space="preserve">by the next</w:t>
      </w:r>
      <w:r>
        <w:t xml:space="preserve"> </w:t>
      </w:r>
      <w:r>
        <w:rPr>
          <w:rStyle w:val="VerbatimChar"/>
        </w:rPr>
        <w:t xml:space="preserve">workable-items sync db-to-md</w:t>
      </w:r>
      <w:r>
        <w:t xml:space="preserve"> </w:t>
      </w:r>
      <w:r>
        <w:t xml:space="preserve">invocation.</w:t>
      </w:r>
    </w:p>
    <w:bookmarkStart w:id="13" w:name="items"/>
    <w:p>
      <w:pPr>
        <w:pStyle w:val="Heading2"/>
      </w:pPr>
      <w:r>
        <w:t xml:space="preserve">Items</w:t>
      </w:r>
    </w:p>
    <w:bookmarkStart w:id="9" w:name="category-a"/>
    <w:p>
      <w:pPr>
        <w:pStyle w:val="Heading3"/>
      </w:pPr>
      <w:r>
        <w:t xml:space="preserve">Category A</w:t>
      </w:r>
    </w:p>
    <w:bookmarkEnd w:id="9"/>
    <w:bookmarkStart w:id="10" w:name="X54f4e2bc2237188e30ae8def5920903eaefd30b"/>
    <w:p>
      <w:pPr>
        <w:pStyle w:val="Heading3"/>
      </w:pPr>
      <w:r>
        <w:t xml:space="preserve">A1. Tooling harness for round-trip testing needs golden corpus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TMX-001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Establish a deterministic golden fixture corpus that exercises the md-to-db and db-to-md round-trip with byte-identical equivalence per §11.4.93.</w:t>
      </w:r>
    </w:p>
    <w:bookmarkEnd w:id="10"/>
    <w:bookmarkStart w:id="11" w:name="category-b"/>
    <w:p>
      <w:pPr>
        <w:pStyle w:val="Heading3"/>
      </w:pPr>
      <w:r>
        <w:t xml:space="preserve">Category B</w:t>
      </w:r>
    </w:p>
    <w:bookmarkEnd w:id="11"/>
    <w:bookmarkStart w:id="12" w:name="X3676c8dbbc53aca02d8a30628ffb8253bf24ad4"/>
    <w:p>
      <w:pPr>
        <w:pStyle w:val="Heading3"/>
      </w:pPr>
      <w:r>
        <w:t xml:space="preserve">B1. Parser must handle backticks inside titles without confusion —</w:t>
      </w:r>
      <w:r>
        <w:t xml:space="preserve"> </w:t>
      </w:r>
      <w:r>
        <w:rPr>
          <w:rStyle w:val="VerbatimChar"/>
        </w:rPr>
        <w:t xml:space="preserve">OPEN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TMX-002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Titles containing backticked code references (e.g.</w:t>
      </w:r>
      <w:r>
        <w:t xml:space="preserve"> </w:t>
      </w:r>
      <w:r>
        <w:rPr>
          <w:rStyle w:val="VerbatimChar"/>
        </w:rPr>
        <w:t xml:space="preserve">scripts/test_e2e.sh</w:t>
      </w:r>
      <w:r>
        <w:t xml:space="preserve">) must parse intact and not be truncated by the heading status-hint extractor.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golden_issues</dc:title>
  <dc:creator/>
  <cp:keywords/>
  <dcterms:created xsi:type="dcterms:W3CDTF">2026-06-29T09:34:29Z</dcterms:created>
  <dcterms:modified xsi:type="dcterms:W3CDTF">2026-06-29T09:34:29Z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