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7" w:name="token_optimizer"/>
    <w:p>
      <w:pPr>
        <w:pStyle w:val="Heading1"/>
      </w:pPr>
      <w:r>
        <w:t xml:space="preserve">token_optimizer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2026-07-08T07:18:45Z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Project-agnostic Go engine that minimizes the token / cost / byte</w:t>
      </w:r>
      <w:r>
        <w:t xml:space="preserve"> </w:t>
      </w:r>
      <w:r>
        <w:t xml:space="preserve">footprint of LLM request pipelines — tier routing with a never-downgrade floor,</w:t>
      </w:r>
      <w:r>
        <w:t xml:space="preserve"> </w:t>
      </w:r>
      <w:r>
        <w:t xml:space="preserve">a multi-layer cache, shape-routed wire encoding, and telemetry — fully decoupled</w:t>
      </w:r>
      <w:r>
        <w:t xml:space="preserve"> </w:t>
      </w:r>
      <w:r>
        <w:t xml:space="preserve">from any consuming project.</w:t>
      </w:r>
    </w:p>
    <w:p>
      <w:r>
        <w:pict>
          <v:rect style="width:0;height:1.5pt" o:hralign="center" o:hrstd="t" o:hr="t"/>
        </w:pict>
      </w:r>
    </w:p>
    <w:bookmarkStart w:id="9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rPr>
          <w:rStyle w:val="VerbatimChar"/>
        </w:rPr>
        <w:t xml:space="preserve">token_optimizer</w:t>
      </w:r>
      <w:r>
        <w:t xml:space="preserve"> </w:t>
      </w:r>
      <w:r>
        <w:t xml:space="preserve">is a standalone, reusable Go module (</w:t>
      </w:r>
      <w:r>
        <w:rPr>
          <w:rStyle w:val="VerbatimChar"/>
        </w:rPr>
        <w:t xml:space="preserve">module github.com/vasic-digital/token_optimizer</w:t>
      </w:r>
      <w:r>
        <w:t xml:space="preserve">) that sits in front of an LLM request</w:t>
      </w:r>
      <w:r>
        <w:t xml:space="preserve"> </w:t>
      </w:r>
      <w:r>
        <w:t xml:space="preserve">path and reduces its token, dollar, and byte cost. It is the engine behind the</w:t>
      </w:r>
      <w:r>
        <w:t xml:space="preserve"> </w:t>
      </w:r>
      <w:r>
        <w:t xml:space="preserve">ATM-659 token-reduction research (workstreams WS1–WS11); this repository is the</w:t>
      </w:r>
      <w:r>
        <w:t xml:space="preserve"> </w:t>
      </w:r>
      <w:r>
        <w:t xml:space="preserve">production cut of that design.</w:t>
      </w:r>
    </w:p>
    <w:p>
      <w:pPr>
        <w:pStyle w:val="BodyText"/>
      </w:pPr>
      <w:r>
        <w:t xml:space="preserve">The request path is one binary, fast, and single-flight-safe across a large</w:t>
      </w:r>
      <w:r>
        <w:t xml:space="preserve"> </w:t>
      </w:r>
      <w:r>
        <w:t xml:space="preserve">context fleet. Planned packages (this repo scaffolds them incrementally):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Decoupling surface</w:t>
            </w:r>
            <w:r>
              <w:t xml:space="preserve"> </w:t>
            </w:r>
            <w:r>
              <w:t xml:space="preserve">— runtime registry of tiers, pricing, thresholds, alternatives, and the never-downgrade predicate.</w:t>
            </w:r>
            <w:r>
              <w:t xml:space="preserve"> </w:t>
            </w:r>
            <w:r>
              <w:rPr>
                <w:b/>
                <w:bCs/>
              </w:rPr>
              <w:t xml:space="preserve">Implemented.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Optimize(ctx, Request)</w:t>
            </w:r>
            <w:r>
              <w:t xml:space="preserve"> </w:t>
            </w:r>
            <w:r>
              <w:t xml:space="preserve">orchestrator binding cache → router → wire → tier → telemetry.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pkg/router</w:t>
            </w:r>
          </w:p>
        </w:tc>
        <w:tc>
          <w:tcPr/>
          <w:p>
            <w:pPr>
              <w:pStyle w:val="Compact"/>
            </w:pPr>
            <w:r>
              <w:t xml:space="preserve">Tier decision + never-downgrade HARD floor + failover.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pkg/cache</w:t>
            </w:r>
          </w:p>
        </w:tc>
        <w:tc>
          <w:tcPr/>
          <w:p>
            <w:pPr>
              <w:pStyle w:val="Compact"/>
            </w:pPr>
            <w:r>
              <w:t xml:space="preserve">Exact / semantic / artifact cache layers + invalidation.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</w:t>
            </w:r>
          </w:p>
        </w:tc>
        <w:tc>
          <w:tcPr/>
          <w:p>
            <w:pPr>
              <w:pStyle w:val="Compact"/>
            </w:pPr>
            <w:r>
              <w:t xml:space="preserve">Shape-routed encoder —</w:t>
            </w:r>
            <w:r>
              <w:t xml:space="preserve"> </w:t>
            </w:r>
            <w:r>
              <w:rPr>
                <w:rStyle w:val="VerbatimChar"/>
              </w:rPr>
              <w:t xml:space="preserve">min(TOON, compactJSON)</w:t>
            </w:r>
            <w:r>
              <w:t xml:space="preserve">, never-worse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pkg/transport</w:t>
            </w:r>
          </w:p>
        </w:tc>
        <w:tc>
          <w:tcPr/>
          <w:p>
            <w:pPr>
              <w:pStyle w:val="Compact"/>
            </w:pPr>
            <w:r>
              <w:t xml:space="preserve">HTTP/3 + brotli seam (binary never on the model-token channel).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pkg/tier</w:t>
            </w:r>
          </w:p>
        </w:tc>
        <w:tc>
          <w:tcPr/>
          <w:p>
            <w:pPr>
              <w:pStyle w:val="Compact"/>
            </w:pPr>
            <w:r>
              <w:t xml:space="preserve">Tier endpoint adapters (deterministic / local / alias / native), runtime-registered.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pkg/telemetry</w:t>
            </w:r>
          </w:p>
        </w:tc>
        <w:tc>
          <w:tcPr/>
          <w:p>
            <w:pPr>
              <w:pStyle w:val="Compact"/>
            </w:pPr>
            <w:r>
              <w:t xml:space="preserve">JSONL decision spine + price-table load + p95 reporting.</w:t>
            </w:r>
          </w:p>
        </w:tc>
      </w:tr>
    </w:tbl>
    <w:p>
      <w:pPr>
        <w:pStyle w:val="BodyText"/>
      </w:pPr>
      <w:r>
        <w:t xml:space="preserve">Full architecture: the consuming project's</w:t>
      </w:r>
      <w:r>
        <w:t xml:space="preserve"> </w:t>
      </w:r>
      <w:r>
        <w:rPr>
          <w:rStyle w:val="VerbatimChar"/>
        </w:rPr>
        <w:t xml:space="preserve">docs/research/tokens/IMPLEMENTATION_ARCHITECTURE.md</w:t>
      </w:r>
      <w:r>
        <w:t xml:space="preserve">.</w:t>
      </w:r>
    </w:p>
    <w:bookmarkEnd w:id="9"/>
    <w:bookmarkStart w:id="10" w:name="decoupling-contract"/>
    <w:p>
      <w:pPr>
        <w:pStyle w:val="Heading2"/>
      </w:pPr>
      <w:r>
        <w:t xml:space="preserve">Decoupling contract</w:t>
      </w:r>
    </w:p>
    <w:p>
      <w:pPr>
        <w:pStyle w:val="FirstParagraph"/>
      </w:pPr>
      <w:r>
        <w:t xml:space="preserve">The engine ships</w:t>
      </w:r>
      <w:r>
        <w:t xml:space="preserve"> </w:t>
      </w:r>
      <w:r>
        <w:rPr>
          <w:b/>
          <w:bCs/>
        </w:rPr>
        <w:t xml:space="preserve">zero project constants</w:t>
      </w:r>
      <w:r>
        <w:t xml:space="preserve">. It never hardcodes a tier name, an</w:t>
      </w:r>
      <w:r>
        <w:t xml:space="preserve"> </w:t>
      </w:r>
      <w:r>
        <w:t xml:space="preserve">endpoint, a price, a threshold, or a task-taxonomy value. Every project-specific</w:t>
      </w:r>
      <w:r>
        <w:t xml:space="preserve"> </w:t>
      </w:r>
      <w:r>
        <w:t xml:space="preserve">datum is registered</w:t>
      </w:r>
      <w:r>
        <w:t xml:space="preserve"> </w:t>
      </w:r>
      <w:r>
        <w:rPr>
          <w:b/>
          <w:bCs/>
        </w:rPr>
        <w:t xml:space="preserve">at runtime</w:t>
      </w:r>
      <w:r>
        <w:t xml:space="preserve"> </w:t>
      </w:r>
      <w:r>
        <w:t xml:space="preserve">by the consumer through a</w:t>
      </w:r>
      <w:r>
        <w:t xml:space="preserve"> </w:t>
      </w:r>
      <w:r>
        <w:rPr>
          <w:rStyle w:val="VerbatimChar"/>
        </w:rPr>
        <w:t xml:space="preserve">*config.Config</w:t>
      </w:r>
      <w:r>
        <w:t xml:space="preserve">.</w:t>
      </w:r>
      <w:r>
        <w:t xml:space="preserve"> </w:t>
      </w:r>
      <w:r>
        <w:t xml:space="preserve">Consequently the request path is byte-identical whether the module is vendored,</w:t>
      </w:r>
      <w:r>
        <w:t xml:space="preserve"> </w:t>
      </w:r>
      <w:r>
        <w:t xml:space="preserve">referenced in-tree, or reused — only the startup registration differs.</w:t>
      </w:r>
    </w:p>
    <w:p>
      <w:pPr>
        <w:pStyle w:val="BodyText"/>
      </w:pPr>
      <w:r>
        <w:t xml:space="preserve">There is exactly one coupling seam:</w:t>
      </w:r>
      <w:r>
        <w:t xml:space="preserve"> </w:t>
      </w:r>
      <w:r>
        <w:rPr>
          <w:rStyle w:val="VerbatimChar"/>
        </w:rPr>
        <w:t xml:space="preserve">pkg/config</w:t>
      </w:r>
      <w:r>
        <w:t xml:space="preserve">. If you find a project-specific</w:t>
      </w:r>
      <w:r>
        <w:t xml:space="preserve"> </w:t>
      </w:r>
      <w:r>
        <w:t xml:space="preserve">string anywhere else in this repository, it is a bug.</w:t>
      </w:r>
    </w:p>
    <w:bookmarkEnd w:id="10"/>
    <w:bookmarkStart w:id="11" w:name="how-a-consumer-registers-its-data"/>
    <w:p>
      <w:pPr>
        <w:pStyle w:val="Heading2"/>
      </w:pPr>
      <w:r>
        <w:t xml:space="preserve">How a consumer registers its data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"github.com/vasic-digital/token_optimizer/pkg/config"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buildConfig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seeded with config.DefaultNeverDowngrade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Register the completion tiers this project uses (cheapest / most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deterministic first via Priority).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RegisterTier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"T-DET"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Deterministic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free, shells to a util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RegisterTier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"T-LOCAL-8B"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"http://127.0.0.1:18434/v1/chat/completions"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price stays 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RegisterTier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"T-NATIVE"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PricePerMTokIn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PricePerMTokOut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Register failover alternatives (used when a primary endpoint is down).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RegisterAlternative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"T-LOCAL-8B"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"T-NATIVE"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Register routing thresholds (consumer-defined keys).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SetThreshold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"semantic_cosine_floor"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Optionally replace the load-bearing never-downgrade floor.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The default forbids routing a load-bearing request to a cheaper tier.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SetNeverDowngrade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loadBearing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loadBearing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CombinedPrice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CombinedPrice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engine reads tiers, alternatives, thresholds, and the predicate from this</w:t>
      </w:r>
      <w:r>
        <w:t xml:space="preserve"> </w:t>
      </w:r>
      <w:r>
        <w:rPr>
          <w:rStyle w:val="VerbatimChar"/>
        </w:rPr>
        <w:t xml:space="preserve">*config.Config</w:t>
      </w:r>
      <w:r>
        <w:t xml:space="preserve"> </w:t>
      </w:r>
      <w:r>
        <w:t xml:space="preserve">— it never assumes any specific value is present.</w:t>
      </w:r>
    </w:p>
    <w:bookmarkEnd w:id="11"/>
    <w:bookmarkStart w:id="12" w:name="building--testing"/>
    <w:p>
      <w:pPr>
        <w:pStyle w:val="Heading2"/>
      </w:pPr>
      <w:r>
        <w:t xml:space="preserve">Building &amp; testing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</w:p>
    <w:bookmarkEnd w:id="12"/>
    <w:bookmarkStart w:id="14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Own-org dependencies are declared in</w:t>
      </w:r>
      <w:r>
        <w:t xml:space="preserve"> </w:t>
      </w:r>
      <w:hyperlink r:id="rId13">
        <w:r>
          <w:rPr>
            <w:rStyle w:val="VerbatimChar"/>
          </w:rPr>
          <w:t xml:space="preserve">helix-deps.yaml</w:t>
        </w:r>
      </w:hyperlink>
      <w:r>
        <w:t xml:space="preserve"> </w:t>
      </w:r>
      <w:r>
        <w:t xml:space="preserve">and are</w:t>
      </w:r>
      <w:r>
        <w:t xml:space="preserve"> </w:t>
      </w:r>
      <w:r>
        <w:t xml:space="preserve">resolved from the parent project root (never as nested own-org submodules).</w:t>
      </w:r>
    </w:p>
    <w:bookmarkEnd w:id="14"/>
    <w:bookmarkStart w:id="16" w:name="license"/>
    <w:p>
      <w:pPr>
        <w:pStyle w:val="Heading2"/>
      </w:pPr>
      <w:r>
        <w:t xml:space="preserve">License</w:t>
      </w:r>
    </w:p>
    <w:p>
      <w:pPr>
        <w:pStyle w:val="FirstParagraph"/>
      </w:pPr>
      <w:hyperlink r:id="rId15">
        <w:r>
          <w:rPr>
            <w:rStyle w:val="Hyperlink"/>
          </w:rPr>
          <w:t xml:space="preserve">MIT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LICENSE" TargetMode="External" /><Relationship Type="http://schemas.openxmlformats.org/officeDocument/2006/relationships/hyperlink" Id="rId13" Target="helix-deps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LICENSE" TargetMode="External" /><Relationship Type="http://schemas.openxmlformats.org/officeDocument/2006/relationships/hyperlink" Id="rId13" Target="helix-deps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dc:language>en</dc:language>
  <cp:keywords/>
  <dcterms:created xsi:type="dcterms:W3CDTF">2026-07-08T07:19:41Z</dcterms:created>
  <dcterms:modified xsi:type="dcterms:W3CDTF">2026-07-08T07:19:41Z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