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F497D"/>
          <w:sz w:val="52"/>
        </w:rPr>
        <w:t>Global AI Adoption in Education</w:t>
      </w:r>
    </w:p>
    <w:p>
      <w:pPr>
        <w:spacing w:after="360"/>
      </w:pPr>
      <w:r>
        <w:rPr>
          <w:rFonts w:ascii="Calibri" w:hAnsi="Calibri"/>
          <w:i/>
          <w:color w:val="595959"/>
          <w:sz w:val="28"/>
        </w:rPr>
        <w:t>A Comprehensive Global Performance Intelligence &amp; Analytical Report</w:t>
      </w:r>
    </w:p>
    <w:p>
      <w:pPr>
        <w:spacing w:after="360"/>
      </w:pPr>
      <w:r>
        <w:rPr>
          <w:rFonts w:ascii="Calibri" w:hAnsi="Calibri"/>
          <w:b/>
          <w:color w:val="787878"/>
          <w:sz w:val="20"/>
        </w:rPr>
        <w:t>Author: Vasiha Jahagirdar | Domain: Educational Analytics &amp; Data Visualization | Timeframe: 2015–2026</w:t>
      </w:r>
    </w:p>
    <w:p>
      <w:pPr>
        <w:keepNext/>
        <w:spacing w:before="320" w:after="120"/>
      </w:pPr>
      <w:r>
        <w:rPr>
          <w:rFonts w:ascii="Calibri" w:hAnsi="Calibri"/>
          <w:b/>
          <w:color w:val="1F497D"/>
          <w:sz w:val="32"/>
        </w:rPr>
        <w:t>1. Executive Summary</w:t>
      </w:r>
    </w:p>
    <w:p>
      <w:pPr>
        <w:spacing w:after="120" w:line="276" w:lineRule="auto"/>
      </w:pPr>
      <w:r>
        <w:rPr>
          <w:rFonts w:ascii="Calibri" w:hAnsi="Calibri"/>
          <w:color w:val="333333"/>
          <w:sz w:val="22"/>
        </w:rPr>
        <w:t>Artificial Intelligence (AI) is fundamentally transforming global educational delivery, institutional administration, and pedagogical methodologies. This report provides an in-depth empirical analysis of AI integration across primary, secondary, and higher education systems across six major continents (Africa, Asia, Europe, North America, Oceania, and South America).</w:t>
      </w:r>
    </w:p>
    <w:p>
      <w:pPr>
        <w:spacing w:after="120" w:line="276" w:lineRule="auto"/>
      </w:pPr>
      <w:r>
        <w:rPr>
          <w:rFonts w:ascii="Calibri" w:hAnsi="Calibri"/>
          <w:color w:val="333333"/>
          <w:sz w:val="22"/>
        </w:rPr>
        <w:t>Utilizing multi-year longitudinal metrics from 2015 with projections extending to 2026, this study examines student vs. teacher engagement patterns, institutional adoption rates, the influence of national government policies, rural-urban disparities, and tool platform dominance (e.g., ChatGPT, Google Gemini, and Microsoft Copilot).</w:t>
      </w:r>
    </w:p>
    <w:tbl>
      <w:tblPr>
        <w:tblW w:type="auto" w:w="0"/>
        <w:jc w:val="center"/>
        <w:tblLayout w:type="fixed"/>
        <w:tblLook w:firstColumn="1" w:firstRow="1" w:lastColumn="0" w:lastRow="0" w:noHBand="0" w:noVBand="1" w:val="04A0"/>
      </w:tblPr>
      <w:tblGrid>
        <w:gridCol w:w="4680"/>
        <w:gridCol w:w="4680"/>
      </w:tblGrid>
      <w:tr>
        <w:tc>
          <w:tcPr>
            <w:tcW w:type="dxa" w:w="3600"/>
            <w:shd w:fill="1F497D"/>
            <w:tcMar>
              <w:top w:w="120" w:type="dxa"/>
              <w:bottom w:w="120" w:type="dxa"/>
              <w:left w:w="150" w:type="dxa"/>
              <w:right w:w="150" w:type="dxa"/>
            </w:tcMar>
          </w:tcPr>
          <w:p>
            <w:pPr>
              <w:jc w:val="left"/>
            </w:pPr>
            <w:r>
              <w:rPr>
                <w:rFonts w:ascii="Calibri" w:hAnsi="Calibri"/>
                <w:b/>
                <w:color w:val="FFFFFF"/>
                <w:sz w:val="21"/>
              </w:rPr>
              <w:t>Metric</w:t>
            </w:r>
          </w:p>
        </w:tc>
        <w:tc>
          <w:tcPr>
            <w:tcW w:type="dxa" w:w="5760"/>
            <w:shd w:fill="1F497D"/>
            <w:tcMar>
              <w:top w:w="120" w:type="dxa"/>
              <w:bottom w:w="120" w:type="dxa"/>
              <w:left w:w="150" w:type="dxa"/>
              <w:right w:w="150" w:type="dxa"/>
            </w:tcMar>
          </w:tcPr>
          <w:p>
            <w:pPr>
              <w:jc w:val="left"/>
            </w:pPr>
            <w:r>
              <w:rPr>
                <w:rFonts w:ascii="Calibri" w:hAnsi="Calibri"/>
                <w:b/>
                <w:color w:val="FFFFFF"/>
                <w:sz w:val="21"/>
              </w:rPr>
              <w:t>Value / Trend Summary</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School Adoption Rate</w:t>
            </w:r>
          </w:p>
        </w:tc>
        <w:tc>
          <w:tcPr>
            <w:tcW w:type="dxa" w:w="5760"/>
            <w:shd w:fill="FFFFFF"/>
            <w:tcMar>
              <w:top w:w="100" w:type="dxa"/>
              <w:bottom w:w="100" w:type="dxa"/>
              <w:left w:w="150" w:type="dxa"/>
              <w:right w:w="150" w:type="dxa"/>
            </w:tcMar>
          </w:tcPr>
          <w:p>
            <w:pPr>
              <w:jc w:val="left"/>
            </w:pPr>
            <w:r>
              <w:rPr>
                <w:rFonts w:ascii="Calibri" w:hAnsi="Calibri"/>
                <w:color w:val="333333"/>
                <w:sz w:val="20"/>
              </w:rPr>
              <w:t>28.95% - 29.83%</w:t>
            </w:r>
          </w:p>
        </w:tc>
      </w:tr>
      <w:tr>
        <w:tc>
          <w:tcPr>
            <w:tcW w:type="dxa" w:w="3600"/>
            <w:shd w:fill="F2F5F8"/>
            <w:tcMar>
              <w:top w:w="100" w:type="dxa"/>
              <w:bottom w:w="100" w:type="dxa"/>
              <w:left w:w="150" w:type="dxa"/>
              <w:right w:w="150" w:type="dxa"/>
            </w:tcMar>
          </w:tcPr>
          <w:p>
            <w:pPr>
              <w:jc w:val="left"/>
            </w:pPr>
            <w:r>
              <w:rPr>
                <w:rFonts w:ascii="Calibri" w:hAnsi="Calibri"/>
                <w:color w:val="333333"/>
                <w:sz w:val="20"/>
              </w:rPr>
              <w:t>Student Daily AI Usage Volume</w:t>
            </w:r>
          </w:p>
        </w:tc>
        <w:tc>
          <w:tcPr>
            <w:tcW w:type="dxa" w:w="5760"/>
            <w:shd w:fill="F2F5F8"/>
            <w:tcMar>
              <w:top w:w="100" w:type="dxa"/>
              <w:bottom w:w="100" w:type="dxa"/>
              <w:left w:w="150" w:type="dxa"/>
              <w:right w:w="150" w:type="dxa"/>
            </w:tcMar>
          </w:tcPr>
          <w:p>
            <w:pPr>
              <w:jc w:val="left"/>
            </w:pPr>
            <w:r>
              <w:rPr>
                <w:rFonts w:ascii="Calibri" w:hAnsi="Calibri"/>
                <w:color w:val="333333"/>
                <w:sz w:val="20"/>
              </w:rPr>
              <w:t>9,793 - 11,556 Minutes (Aggregated Telemetry)</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Dominant AI Platform</w:t>
            </w:r>
          </w:p>
        </w:tc>
        <w:tc>
          <w:tcPr>
            <w:tcW w:type="dxa" w:w="5760"/>
            <w:shd w:fill="FFFFFF"/>
            <w:tcMar>
              <w:top w:w="100" w:type="dxa"/>
              <w:bottom w:w="100" w:type="dxa"/>
              <w:left w:w="150" w:type="dxa"/>
              <w:right w:w="150" w:type="dxa"/>
            </w:tcMar>
          </w:tcPr>
          <w:p>
            <w:pPr>
              <w:jc w:val="left"/>
            </w:pPr>
            <w:r>
              <w:rPr>
                <w:rFonts w:ascii="Calibri" w:hAnsi="Calibri"/>
                <w:color w:val="333333"/>
                <w:sz w:val="20"/>
              </w:rPr>
              <w:t>ChatGPT (48.2% Market Share Leadership)</w:t>
            </w:r>
          </w:p>
        </w:tc>
      </w:tr>
      <w:tr>
        <w:tc>
          <w:tcPr>
            <w:tcW w:type="dxa" w:w="3600"/>
            <w:shd w:fill="F2F5F8"/>
            <w:tcMar>
              <w:top w:w="100" w:type="dxa"/>
              <w:bottom w:w="100" w:type="dxa"/>
              <w:left w:w="150" w:type="dxa"/>
              <w:right w:w="150" w:type="dxa"/>
            </w:tcMar>
          </w:tcPr>
          <w:p>
            <w:pPr>
              <w:jc w:val="left"/>
            </w:pPr>
            <w:r>
              <w:rPr>
                <w:rFonts w:ascii="Calibri" w:hAnsi="Calibri"/>
                <w:color w:val="333333"/>
                <w:sz w:val="20"/>
              </w:rPr>
              <w:t>Policy Active Impact Peak</w:t>
            </w:r>
          </w:p>
        </w:tc>
        <w:tc>
          <w:tcPr>
            <w:tcW w:type="dxa" w:w="5760"/>
            <w:shd w:fill="F2F5F8"/>
            <w:tcMar>
              <w:top w:w="100" w:type="dxa"/>
              <w:bottom w:w="100" w:type="dxa"/>
              <w:left w:w="150" w:type="dxa"/>
              <w:right w:w="150" w:type="dxa"/>
            </w:tcMar>
          </w:tcPr>
          <w:p>
            <w:pPr>
              <w:jc w:val="left"/>
            </w:pPr>
            <w:r>
              <w:rPr>
                <w:rFonts w:ascii="Calibri" w:hAnsi="Calibri"/>
                <w:color w:val="333333"/>
                <w:sz w:val="20"/>
              </w:rPr>
              <w:t>31.8% Peak Usage in Active Policy Jurisdictions</w:t>
            </w:r>
          </w:p>
        </w:tc>
      </w:tr>
    </w:tbl>
    <w:p/>
    <w:p>
      <w:pPr>
        <w:keepNext/>
        <w:spacing w:before="320" w:after="120"/>
      </w:pPr>
      <w:r>
        <w:rPr>
          <w:rFonts w:ascii="Calibri" w:hAnsi="Calibri"/>
          <w:b/>
          <w:color w:val="1F497D"/>
          <w:sz w:val="32"/>
        </w:rPr>
        <w:t>2. Scope of the Study</w:t>
      </w:r>
    </w:p>
    <w:p>
      <w:pPr>
        <w:spacing w:after="120" w:line="276" w:lineRule="auto"/>
      </w:pPr>
      <w:r>
        <w:rPr>
          <w:rFonts w:ascii="Calibri" w:hAnsi="Calibri"/>
          <w:color w:val="333333"/>
          <w:sz w:val="22"/>
        </w:rPr>
        <w:t>The scope of this project spans across global data dimensions to capture a holistic picture of educational transformation:</w:t>
      </w:r>
    </w:p>
    <w:p>
      <w:pPr>
        <w:pStyle w:val="ListBullet"/>
        <w:spacing w:after="80" w:line="276" w:lineRule="auto"/>
      </w:pPr>
      <w:r>
        <w:rPr>
          <w:rFonts w:ascii="Calibri" w:hAnsi="Calibri"/>
          <w:b/>
          <w:color w:val="1F497D"/>
          <w:sz w:val="22"/>
        </w:rPr>
        <w:t xml:space="preserve">Geographic Scope: </w:t>
      </w:r>
      <w:r>
        <w:rPr>
          <w:rFonts w:ascii="Calibri" w:hAnsi="Calibri"/>
          <w:color w:val="333333"/>
          <w:sz w:val="22"/>
        </w:rPr>
        <w:t>Analysis across major countries including Canada, Australia, Nigeria, Pakistan, China, India, United Kingdom, Germany, Brazil, and the United States.</w:t>
      </w:r>
    </w:p>
    <w:p>
      <w:pPr>
        <w:pStyle w:val="ListBullet"/>
        <w:spacing w:after="80" w:line="276" w:lineRule="auto"/>
      </w:pPr>
      <w:r>
        <w:rPr>
          <w:rFonts w:ascii="Calibri" w:hAnsi="Calibri"/>
          <w:b/>
          <w:color w:val="1F497D"/>
          <w:sz w:val="22"/>
        </w:rPr>
        <w:t xml:space="preserve">Temporal Scope: </w:t>
      </w:r>
      <w:r>
        <w:rPr>
          <w:rFonts w:ascii="Calibri" w:hAnsi="Calibri"/>
          <w:color w:val="333333"/>
          <w:sz w:val="22"/>
        </w:rPr>
        <w:t>Historical trajectory evaluation from 2015 to present, alongside forecast modeling through 2026.</w:t>
      </w:r>
    </w:p>
    <w:p>
      <w:pPr>
        <w:pStyle w:val="ListBullet"/>
        <w:spacing w:after="80" w:line="276" w:lineRule="auto"/>
      </w:pPr>
      <w:r>
        <w:rPr>
          <w:rFonts w:ascii="Calibri" w:hAnsi="Calibri"/>
          <w:b/>
          <w:color w:val="1F497D"/>
          <w:sz w:val="22"/>
        </w:rPr>
        <w:t xml:space="preserve">Demographic Scope: </w:t>
      </w:r>
      <w:r>
        <w:rPr>
          <w:rFonts w:ascii="Calibri" w:hAnsi="Calibri"/>
          <w:color w:val="333333"/>
          <w:sz w:val="22"/>
        </w:rPr>
        <w:t>Comparative breakdown between students and educators, alongside structural divides in urban vs. rural institutional setups.</w:t>
      </w:r>
    </w:p>
    <w:p>
      <w:pPr>
        <w:keepNext/>
        <w:spacing w:before="320" w:after="120"/>
      </w:pPr>
      <w:r>
        <w:rPr>
          <w:rFonts w:ascii="Calibri" w:hAnsi="Calibri"/>
          <w:b/>
          <w:color w:val="1F497D"/>
          <w:sz w:val="32"/>
        </w:rPr>
        <w:t>3. Detailed Problem Statement</w:t>
      </w:r>
    </w:p>
    <w:p>
      <w:pPr>
        <w:spacing w:after="120" w:line="276" w:lineRule="auto"/>
      </w:pPr>
      <w:r>
        <w:rPr>
          <w:rFonts w:ascii="Calibri" w:hAnsi="Calibri"/>
          <w:color w:val="333333"/>
          <w:sz w:val="22"/>
        </w:rPr>
        <w:t>The rapid influx of artificial intelligence tools into the academic sphere has outpaced traditional educational policy formulation, infrastructure readiness, and teacher preparation. While AI offers unprecedented opportunities for personalized adaptive learning and administrative automation, severe systemic challenges hinder its equitable and effective implementation:</w:t>
      </w:r>
    </w:p>
    <w:p>
      <w:pPr>
        <w:pStyle w:val="ListBullet"/>
        <w:spacing w:after="80" w:line="276" w:lineRule="auto"/>
      </w:pPr>
      <w:r>
        <w:rPr>
          <w:rFonts w:ascii="Calibri" w:hAnsi="Calibri"/>
          <w:b/>
          <w:color w:val="1F497D"/>
          <w:sz w:val="22"/>
        </w:rPr>
        <w:t xml:space="preserve">Disparity in Global Access: </w:t>
      </w:r>
      <w:r>
        <w:rPr>
          <w:rFonts w:ascii="Calibri" w:hAnsi="Calibri"/>
          <w:color w:val="333333"/>
          <w:sz w:val="22"/>
        </w:rPr>
        <w:t>Significant regional and socio-economic divides exist between high-income and low-to-middle-income nations regarding high-speed internet, digital devices, and specialized AI infrastructure.</w:t>
      </w:r>
    </w:p>
    <w:p>
      <w:pPr>
        <w:pStyle w:val="ListBullet"/>
        <w:spacing w:after="80" w:line="276" w:lineRule="auto"/>
      </w:pPr>
      <w:r>
        <w:rPr>
          <w:rFonts w:ascii="Calibri" w:hAnsi="Calibri"/>
          <w:b/>
          <w:color w:val="1F497D"/>
          <w:sz w:val="22"/>
        </w:rPr>
        <w:t xml:space="preserve">Urban vs. Rural Institutional Divide: </w:t>
      </w:r>
      <w:r>
        <w:rPr>
          <w:rFonts w:ascii="Calibri" w:hAnsi="Calibri"/>
          <w:color w:val="333333"/>
          <w:sz w:val="22"/>
        </w:rPr>
        <w:t>Rural educational setups consistently suffer from lower network bandwidth and lack of hardware, restricting AI integration compared to urban technology hubs.</w:t>
      </w:r>
    </w:p>
    <w:p>
      <w:pPr>
        <w:pStyle w:val="ListBullet"/>
        <w:spacing w:after="80" w:line="276" w:lineRule="auto"/>
      </w:pPr>
      <w:r>
        <w:rPr>
          <w:rFonts w:ascii="Calibri" w:hAnsi="Calibri"/>
          <w:b/>
          <w:color w:val="1F497D"/>
          <w:sz w:val="22"/>
        </w:rPr>
        <w:t xml:space="preserve">Lack of Regulatory Governance: </w:t>
      </w:r>
      <w:r>
        <w:rPr>
          <w:rFonts w:ascii="Calibri" w:hAnsi="Calibri"/>
          <w:color w:val="333333"/>
          <w:sz w:val="22"/>
        </w:rPr>
        <w:t>Many national governments have yet to establish formal AI policy guidelines for educational environments, leaving institutions vulnerable to ethical, privacy, and data security risks.</w:t>
      </w:r>
    </w:p>
    <w:p>
      <w:pPr>
        <w:pStyle w:val="ListBullet"/>
        <w:spacing w:after="80" w:line="276" w:lineRule="auto"/>
      </w:pPr>
      <w:r>
        <w:rPr>
          <w:rFonts w:ascii="Calibri" w:hAnsi="Calibri"/>
          <w:b/>
          <w:color w:val="1F497D"/>
          <w:sz w:val="22"/>
        </w:rPr>
        <w:t xml:space="preserve">Student vs. Teacher Utilization Gap: </w:t>
      </w:r>
      <w:r>
        <w:rPr>
          <w:rFonts w:ascii="Calibri" w:hAnsi="Calibri"/>
          <w:color w:val="333333"/>
          <w:sz w:val="22"/>
        </w:rPr>
        <w:t>Students adopt consumer-facing AI platforms at a significantly faster rate than educators, leading to instructional friction and assessment integrity concerns.</w:t>
      </w:r>
    </w:p>
    <w:p>
      <w:pPr>
        <w:keepNext/>
        <w:spacing w:before="320" w:after="120"/>
      </w:pPr>
      <w:r>
        <w:rPr>
          <w:rFonts w:ascii="Calibri" w:hAnsi="Calibri"/>
          <w:b/>
          <w:color w:val="1F497D"/>
          <w:sz w:val="32"/>
        </w:rPr>
        <w:t>4. Key Research Questions</w:t>
      </w:r>
    </w:p>
    <w:p>
      <w:pPr>
        <w:spacing w:after="120" w:line="276" w:lineRule="auto"/>
      </w:pPr>
      <w:r>
        <w:rPr>
          <w:rFonts w:ascii="Calibri" w:hAnsi="Calibri"/>
          <w:color w:val="333333"/>
          <w:sz w:val="22"/>
        </w:rPr>
        <w:t>To systematically address these challenges, this study formulates four central research inquiries: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F497D"/>
            <w:tcMar>
              <w:top w:w="120" w:type="dxa"/>
              <w:bottom w:w="120" w:type="dxa"/>
              <w:left w:w="150" w:type="dxa"/>
              <w:right w:w="150" w:type="dxa"/>
            </w:tcMar>
          </w:tcPr>
          <w:p>
            <w:pPr>
              <w:jc w:val="left"/>
            </w:pPr>
            <w:r>
              <w:rPr>
                <w:rFonts w:ascii="Calibri" w:hAnsi="Calibri"/>
                <w:b/>
                <w:color w:val="FFFFFF"/>
                <w:sz w:val="21"/>
              </w:rPr>
              <w:t>#</w:t>
            </w:r>
          </w:p>
        </w:tc>
        <w:tc>
          <w:tcPr>
            <w:tcW w:type="dxa" w:w="4896"/>
            <w:shd w:fill="1F497D"/>
            <w:tcMar>
              <w:top w:w="120" w:type="dxa"/>
              <w:bottom w:w="120" w:type="dxa"/>
              <w:left w:w="150" w:type="dxa"/>
              <w:right w:w="150" w:type="dxa"/>
            </w:tcMar>
          </w:tcPr>
          <w:p>
            <w:pPr>
              <w:jc w:val="left"/>
            </w:pPr>
            <w:r>
              <w:rPr>
                <w:rFonts w:ascii="Calibri" w:hAnsi="Calibri"/>
                <w:b/>
                <w:color w:val="FFFFFF"/>
                <w:sz w:val="21"/>
              </w:rPr>
              <w:t>Research Question</w:t>
            </w:r>
          </w:p>
        </w:tc>
        <w:tc>
          <w:tcPr>
            <w:tcW w:type="dxa" w:w="3600"/>
            <w:shd w:fill="1F497D"/>
            <w:tcMar>
              <w:top w:w="120" w:type="dxa"/>
              <w:bottom w:w="120" w:type="dxa"/>
              <w:left w:w="150" w:type="dxa"/>
              <w:right w:w="150" w:type="dxa"/>
            </w:tcMar>
          </w:tcPr>
          <w:p>
            <w:pPr>
              <w:jc w:val="left"/>
            </w:pPr>
            <w:r>
              <w:rPr>
                <w:rFonts w:ascii="Calibri" w:hAnsi="Calibri"/>
                <w:b/>
                <w:color w:val="FFFFFF"/>
                <w:sz w:val="21"/>
              </w:rPr>
              <w:t>Primary Target Variable</w:t>
            </w:r>
          </w:p>
        </w:tc>
      </w:tr>
      <w:tr>
        <w:tc>
          <w:tcPr>
            <w:tcW w:type="dxa" w:w="864"/>
            <w:shd w:fill="FFFFFF"/>
            <w:tcMar>
              <w:top w:w="100" w:type="dxa"/>
              <w:bottom w:w="100" w:type="dxa"/>
              <w:left w:w="150" w:type="dxa"/>
              <w:right w:w="150" w:type="dxa"/>
            </w:tcMar>
          </w:tcPr>
          <w:p>
            <w:pPr>
              <w:jc w:val="left"/>
            </w:pPr>
            <w:r>
              <w:rPr>
                <w:rFonts w:ascii="Calibri" w:hAnsi="Calibri"/>
                <w:color w:val="333333"/>
                <w:sz w:val="20"/>
              </w:rPr>
              <w:t>RQ1</w:t>
            </w:r>
          </w:p>
        </w:tc>
        <w:tc>
          <w:tcPr>
            <w:tcW w:type="dxa" w:w="4896"/>
            <w:shd w:fill="FFFFFF"/>
            <w:tcMar>
              <w:top w:w="100" w:type="dxa"/>
              <w:bottom w:w="100" w:type="dxa"/>
              <w:left w:w="150" w:type="dxa"/>
              <w:right w:w="150" w:type="dxa"/>
            </w:tcMar>
          </w:tcPr>
          <w:p>
            <w:pPr>
              <w:jc w:val="left"/>
            </w:pPr>
            <w:r>
              <w:rPr>
                <w:rFonts w:ascii="Calibri" w:hAnsi="Calibri"/>
                <w:color w:val="333333"/>
                <w:sz w:val="20"/>
              </w:rPr>
              <w:t>How has AI adoption evolved globally from 2015 to 2026 for students and teachers?</w:t>
            </w:r>
          </w:p>
        </w:tc>
        <w:tc>
          <w:tcPr>
            <w:tcW w:type="dxa" w:w="3600"/>
            <w:shd w:fill="FFFFFF"/>
            <w:tcMar>
              <w:top w:w="100" w:type="dxa"/>
              <w:bottom w:w="100" w:type="dxa"/>
              <w:left w:w="150" w:type="dxa"/>
              <w:right w:w="150" w:type="dxa"/>
            </w:tcMar>
          </w:tcPr>
          <w:p>
            <w:pPr>
              <w:jc w:val="left"/>
            </w:pPr>
            <w:r>
              <w:rPr>
                <w:rFonts w:ascii="Calibri" w:hAnsi="Calibri"/>
                <w:color w:val="333333"/>
                <w:sz w:val="20"/>
              </w:rPr>
              <w:t>Avg Student AI Usage Pct, Avg Teacher AI Usage Pct</w:t>
            </w:r>
          </w:p>
        </w:tc>
      </w:tr>
      <w:tr>
        <w:tc>
          <w:tcPr>
            <w:tcW w:type="dxa" w:w="864"/>
            <w:shd w:fill="F2F5F8"/>
            <w:tcMar>
              <w:top w:w="100" w:type="dxa"/>
              <w:bottom w:w="100" w:type="dxa"/>
              <w:left w:w="150" w:type="dxa"/>
              <w:right w:w="150" w:type="dxa"/>
            </w:tcMar>
          </w:tcPr>
          <w:p>
            <w:pPr>
              <w:jc w:val="left"/>
            </w:pPr>
            <w:r>
              <w:rPr>
                <w:rFonts w:ascii="Calibri" w:hAnsi="Calibri"/>
                <w:color w:val="333333"/>
                <w:sz w:val="20"/>
              </w:rPr>
              <w:t>RQ2</w:t>
            </w:r>
          </w:p>
        </w:tc>
        <w:tc>
          <w:tcPr>
            <w:tcW w:type="dxa" w:w="4896"/>
            <w:shd w:fill="F2F5F8"/>
            <w:tcMar>
              <w:top w:w="100" w:type="dxa"/>
              <w:bottom w:w="100" w:type="dxa"/>
              <w:left w:w="150" w:type="dxa"/>
              <w:right w:w="150" w:type="dxa"/>
            </w:tcMar>
          </w:tcPr>
          <w:p>
            <w:pPr>
              <w:jc w:val="left"/>
            </w:pPr>
            <w:r>
              <w:rPr>
                <w:rFonts w:ascii="Calibri" w:hAnsi="Calibri"/>
                <w:color w:val="333333"/>
                <w:sz w:val="20"/>
              </w:rPr>
              <w:t>What is the direct correlation between active government AI policies and school adoption rates?</w:t>
            </w:r>
          </w:p>
        </w:tc>
        <w:tc>
          <w:tcPr>
            <w:tcW w:type="dxa" w:w="3600"/>
            <w:shd w:fill="F2F5F8"/>
            <w:tcMar>
              <w:top w:w="100" w:type="dxa"/>
              <w:bottom w:w="100" w:type="dxa"/>
              <w:left w:w="150" w:type="dxa"/>
              <w:right w:w="150" w:type="dxa"/>
            </w:tcMar>
          </w:tcPr>
          <w:p>
            <w:pPr>
              <w:jc w:val="left"/>
            </w:pPr>
            <w:r>
              <w:rPr>
                <w:rFonts w:ascii="Calibri" w:hAnsi="Calibri"/>
                <w:color w:val="333333"/>
                <w:sz w:val="20"/>
              </w:rPr>
              <w:t>Government AI Policy (Active/Draft/None), Adoption Pct</w:t>
            </w:r>
          </w:p>
        </w:tc>
      </w:tr>
      <w:tr>
        <w:tc>
          <w:tcPr>
            <w:tcW w:type="dxa" w:w="864"/>
            <w:shd w:fill="FFFFFF"/>
            <w:tcMar>
              <w:top w:w="100" w:type="dxa"/>
              <w:bottom w:w="100" w:type="dxa"/>
              <w:left w:w="150" w:type="dxa"/>
              <w:right w:w="150" w:type="dxa"/>
            </w:tcMar>
          </w:tcPr>
          <w:p>
            <w:pPr>
              <w:jc w:val="left"/>
            </w:pPr>
            <w:r>
              <w:rPr>
                <w:rFonts w:ascii="Calibri" w:hAnsi="Calibri"/>
                <w:color w:val="333333"/>
                <w:sz w:val="20"/>
              </w:rPr>
              <w:t>RQ3</w:t>
            </w:r>
          </w:p>
        </w:tc>
        <w:tc>
          <w:tcPr>
            <w:tcW w:type="dxa" w:w="4896"/>
            <w:shd w:fill="FFFFFF"/>
            <w:tcMar>
              <w:top w:w="100" w:type="dxa"/>
              <w:bottom w:w="100" w:type="dxa"/>
              <w:left w:w="150" w:type="dxa"/>
              <w:right w:w="150" w:type="dxa"/>
            </w:tcMar>
          </w:tcPr>
          <w:p>
            <w:pPr>
              <w:jc w:val="left"/>
            </w:pPr>
            <w:r>
              <w:rPr>
                <w:rFonts w:ascii="Calibri" w:hAnsi="Calibri"/>
                <w:color w:val="333333"/>
                <w:sz w:val="20"/>
              </w:rPr>
              <w:t>How prominent is the urban-rural divide in AI adoption across different global continents?</w:t>
            </w:r>
          </w:p>
        </w:tc>
        <w:tc>
          <w:tcPr>
            <w:tcW w:type="dxa" w:w="3600"/>
            <w:shd w:fill="FFFFFF"/>
            <w:tcMar>
              <w:top w:w="100" w:type="dxa"/>
              <w:bottom w:w="100" w:type="dxa"/>
              <w:left w:w="150" w:type="dxa"/>
              <w:right w:w="150" w:type="dxa"/>
            </w:tcMar>
          </w:tcPr>
          <w:p>
            <w:pPr>
              <w:jc w:val="left"/>
            </w:pPr>
            <w:r>
              <w:rPr>
                <w:rFonts w:ascii="Calibri" w:hAnsi="Calibri"/>
                <w:color w:val="333333"/>
                <w:sz w:val="20"/>
              </w:rPr>
              <w:t>Urban vs Rural Adoption Metrics by Region</w:t>
            </w:r>
          </w:p>
        </w:tc>
      </w:tr>
      <w:tr>
        <w:tc>
          <w:tcPr>
            <w:tcW w:type="dxa" w:w="864"/>
            <w:shd w:fill="F2F5F8"/>
            <w:tcMar>
              <w:top w:w="100" w:type="dxa"/>
              <w:bottom w:w="100" w:type="dxa"/>
              <w:left w:w="150" w:type="dxa"/>
              <w:right w:w="150" w:type="dxa"/>
            </w:tcMar>
          </w:tcPr>
          <w:p>
            <w:pPr>
              <w:jc w:val="left"/>
            </w:pPr>
            <w:r>
              <w:rPr>
                <w:rFonts w:ascii="Calibri" w:hAnsi="Calibri"/>
                <w:color w:val="333333"/>
                <w:sz w:val="20"/>
              </w:rPr>
              <w:t>RQ4</w:t>
            </w:r>
          </w:p>
        </w:tc>
        <w:tc>
          <w:tcPr>
            <w:tcW w:type="dxa" w:w="4896"/>
            <w:shd w:fill="F2F5F8"/>
            <w:tcMar>
              <w:top w:w="100" w:type="dxa"/>
              <w:bottom w:w="100" w:type="dxa"/>
              <w:left w:w="150" w:type="dxa"/>
              <w:right w:w="150" w:type="dxa"/>
            </w:tcMar>
          </w:tcPr>
          <w:p>
            <w:pPr>
              <w:jc w:val="left"/>
            </w:pPr>
            <w:r>
              <w:rPr>
                <w:rFonts w:ascii="Calibri" w:hAnsi="Calibri"/>
                <w:color w:val="333333"/>
                <w:sz w:val="20"/>
              </w:rPr>
              <w:t>Which generative AI tools maintain market leadership in academic environments?</w:t>
            </w:r>
          </w:p>
        </w:tc>
        <w:tc>
          <w:tcPr>
            <w:tcW w:type="dxa" w:w="3600"/>
            <w:shd w:fill="F2F5F8"/>
            <w:tcMar>
              <w:top w:w="100" w:type="dxa"/>
              <w:bottom w:w="100" w:type="dxa"/>
              <w:left w:w="150" w:type="dxa"/>
              <w:right w:w="150" w:type="dxa"/>
            </w:tcMar>
          </w:tcPr>
          <w:p>
            <w:pPr>
              <w:jc w:val="left"/>
            </w:pPr>
            <w:r>
              <w:rPr>
                <w:rFonts w:ascii="Calibri" w:hAnsi="Calibri"/>
                <w:color w:val="333333"/>
                <w:sz w:val="20"/>
              </w:rPr>
              <w:t>Top AI Tool Market Share (ChatGPT, Gemini, Copilot)</w:t>
            </w:r>
          </w:p>
        </w:tc>
      </w:tr>
    </w:tbl>
    <w:p/>
    <w:p>
      <w:pPr>
        <w:keepNext/>
        <w:spacing w:before="320" w:after="120"/>
      </w:pPr>
      <w:r>
        <w:rPr>
          <w:rFonts w:ascii="Calibri" w:hAnsi="Calibri"/>
          <w:b/>
          <w:color w:val="1F497D"/>
          <w:sz w:val="32"/>
        </w:rPr>
        <w:t>5. Data Architecture &amp; Dataset Overview</w:t>
      </w:r>
    </w:p>
    <w:p>
      <w:pPr>
        <w:spacing w:after="120" w:line="276" w:lineRule="auto"/>
      </w:pPr>
      <w:r>
        <w:rPr>
          <w:rFonts w:ascii="Calibri" w:hAnsi="Calibri"/>
          <w:color w:val="333333"/>
          <w:sz w:val="22"/>
        </w:rPr>
        <w:t>The underlying data foundation for this report comprises longitudinal primary and secondary data points captured in the global telemetry dataset ('Global AI in Education.csv'). The dataset encompasses structured multi-dimensional records across country-level and regional metrics.</w:t>
      </w:r>
    </w:p>
    <w:p>
      <w:pPr>
        <w:keepNext/>
        <w:spacing w:before="240" w:after="80"/>
      </w:pPr>
      <w:r>
        <w:rPr>
          <w:rFonts w:ascii="Calibri" w:hAnsi="Calibri"/>
          <w:b/>
          <w:color w:val="3B5998"/>
          <w:sz w:val="26"/>
        </w:rPr>
        <w:t>Dataset Schema &amp; Feature Descriptions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120" w:type="dxa"/>
              <w:bottom w:w="120" w:type="dxa"/>
              <w:left w:w="150" w:type="dxa"/>
              <w:right w:w="150" w:type="dxa"/>
            </w:tcMar>
          </w:tcPr>
          <w:p>
            <w:pPr>
              <w:jc w:val="left"/>
            </w:pPr>
            <w:r>
              <w:rPr>
                <w:rFonts w:ascii="Calibri" w:hAnsi="Calibri"/>
                <w:b/>
                <w:color w:val="FFFFFF"/>
                <w:sz w:val="21"/>
              </w:rPr>
              <w:t>Field Name</w:t>
            </w:r>
          </w:p>
        </w:tc>
        <w:tc>
          <w:tcPr>
            <w:tcW w:type="dxa" w:w="1584"/>
            <w:shd w:fill="1F497D"/>
            <w:tcMar>
              <w:top w:w="120" w:type="dxa"/>
              <w:bottom w:w="120" w:type="dxa"/>
              <w:left w:w="150" w:type="dxa"/>
              <w:right w:w="150" w:type="dxa"/>
            </w:tcMar>
          </w:tcPr>
          <w:p>
            <w:pPr>
              <w:jc w:val="left"/>
            </w:pPr>
            <w:r>
              <w:rPr>
                <w:rFonts w:ascii="Calibri" w:hAnsi="Calibri"/>
                <w:b/>
                <w:color w:val="FFFFFF"/>
                <w:sz w:val="21"/>
              </w:rPr>
              <w:t>Data Type</w:t>
            </w:r>
          </w:p>
        </w:tc>
        <w:tc>
          <w:tcPr>
            <w:tcW w:type="dxa" w:w="2736"/>
            <w:shd w:fill="1F497D"/>
            <w:tcMar>
              <w:top w:w="120" w:type="dxa"/>
              <w:bottom w:w="120" w:type="dxa"/>
              <w:left w:w="150" w:type="dxa"/>
              <w:right w:w="150" w:type="dxa"/>
            </w:tcMar>
          </w:tcPr>
          <w:p>
            <w:pPr>
              <w:jc w:val="left"/>
            </w:pPr>
            <w:r>
              <w:rPr>
                <w:rFonts w:ascii="Calibri" w:hAnsi="Calibri"/>
                <w:b/>
                <w:color w:val="FFFFFF"/>
                <w:sz w:val="21"/>
              </w:rPr>
              <w:t>Domain Range / Categories</w:t>
            </w:r>
          </w:p>
        </w:tc>
        <w:tc>
          <w:tcPr>
            <w:tcW w:type="dxa" w:w="2880"/>
            <w:shd w:fill="1F497D"/>
            <w:tcMar>
              <w:top w:w="120" w:type="dxa"/>
              <w:bottom w:w="120" w:type="dxa"/>
              <w:left w:w="150" w:type="dxa"/>
              <w:right w:w="150" w:type="dxa"/>
            </w:tcMar>
          </w:tcPr>
          <w:p>
            <w:pPr>
              <w:jc w:val="left"/>
            </w:pPr>
            <w:r>
              <w:rPr>
                <w:rFonts w:ascii="Calibri" w:hAnsi="Calibri"/>
                <w:b/>
                <w:color w:val="FFFFFF"/>
                <w:sz w:val="21"/>
              </w:rPr>
              <w:t>Description</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Country</w:t>
            </w:r>
          </w:p>
        </w:tc>
        <w:tc>
          <w:tcPr>
            <w:tcW w:type="dxa" w:w="1584"/>
            <w:shd w:fill="FFFFFF"/>
            <w:tcMar>
              <w:top w:w="100" w:type="dxa"/>
              <w:bottom w:w="100" w:type="dxa"/>
              <w:left w:w="150" w:type="dxa"/>
              <w:right w:w="150" w:type="dxa"/>
            </w:tcMar>
          </w:tcPr>
          <w:p>
            <w:pPr>
              <w:jc w:val="left"/>
            </w:pPr>
            <w:r>
              <w:rPr>
                <w:rFonts w:ascii="Calibri" w:hAnsi="Calibri"/>
                <w:color w:val="333333"/>
                <w:sz w:val="20"/>
              </w:rPr>
              <w:t>Categorical</w:t>
            </w:r>
          </w:p>
        </w:tc>
        <w:tc>
          <w:tcPr>
            <w:tcW w:type="dxa" w:w="2736"/>
            <w:shd w:fill="FFFFFF"/>
            <w:tcMar>
              <w:top w:w="100" w:type="dxa"/>
              <w:bottom w:w="100" w:type="dxa"/>
              <w:left w:w="150" w:type="dxa"/>
              <w:right w:w="150" w:type="dxa"/>
            </w:tcMar>
          </w:tcPr>
          <w:p>
            <w:pPr>
              <w:jc w:val="left"/>
            </w:pPr>
            <w:r>
              <w:rPr>
                <w:rFonts w:ascii="Calibri" w:hAnsi="Calibri"/>
                <w:color w:val="333333"/>
                <w:sz w:val="20"/>
              </w:rPr>
              <w:t>US, India, China, UK, Brazil, etc.</w:t>
            </w:r>
          </w:p>
        </w:tc>
        <w:tc>
          <w:tcPr>
            <w:tcW w:type="dxa" w:w="2880"/>
            <w:shd w:fill="FFFFFF"/>
            <w:tcMar>
              <w:top w:w="100" w:type="dxa"/>
              <w:bottom w:w="100" w:type="dxa"/>
              <w:left w:w="150" w:type="dxa"/>
              <w:right w:w="150" w:type="dxa"/>
            </w:tcMar>
          </w:tcPr>
          <w:p>
            <w:pPr>
              <w:jc w:val="left"/>
            </w:pPr>
            <w:r>
              <w:rPr>
                <w:rFonts w:ascii="Calibri" w:hAnsi="Calibri"/>
                <w:color w:val="333333"/>
                <w:sz w:val="20"/>
              </w:rPr>
              <w:t>Country where survey/telemetry was recorded</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Region</w:t>
            </w:r>
          </w:p>
        </w:tc>
        <w:tc>
          <w:tcPr>
            <w:tcW w:type="dxa" w:w="1584"/>
            <w:shd w:fill="F2F5F8"/>
            <w:tcMar>
              <w:top w:w="100" w:type="dxa"/>
              <w:bottom w:w="100" w:type="dxa"/>
              <w:left w:w="150" w:type="dxa"/>
              <w:right w:w="150" w:type="dxa"/>
            </w:tcMar>
          </w:tcPr>
          <w:p>
            <w:pPr>
              <w:jc w:val="left"/>
            </w:pPr>
            <w:r>
              <w:rPr>
                <w:rFonts w:ascii="Calibri" w:hAnsi="Calibri"/>
                <w:color w:val="333333"/>
                <w:sz w:val="20"/>
              </w:rPr>
              <w:t>Categorical</w:t>
            </w:r>
          </w:p>
        </w:tc>
        <w:tc>
          <w:tcPr>
            <w:tcW w:type="dxa" w:w="2736"/>
            <w:shd w:fill="F2F5F8"/>
            <w:tcMar>
              <w:top w:w="100" w:type="dxa"/>
              <w:bottom w:w="100" w:type="dxa"/>
              <w:left w:w="150" w:type="dxa"/>
              <w:right w:w="150" w:type="dxa"/>
            </w:tcMar>
          </w:tcPr>
          <w:p>
            <w:pPr>
              <w:jc w:val="left"/>
            </w:pPr>
            <w:r>
              <w:rPr>
                <w:rFonts w:ascii="Calibri" w:hAnsi="Calibri"/>
                <w:color w:val="333333"/>
                <w:sz w:val="20"/>
              </w:rPr>
              <w:t>Africa, Asia, Europe, North America, etc.</w:t>
            </w:r>
          </w:p>
        </w:tc>
        <w:tc>
          <w:tcPr>
            <w:tcW w:type="dxa" w:w="2880"/>
            <w:shd w:fill="F2F5F8"/>
            <w:tcMar>
              <w:top w:w="100" w:type="dxa"/>
              <w:bottom w:w="100" w:type="dxa"/>
              <w:left w:w="150" w:type="dxa"/>
              <w:right w:w="150" w:type="dxa"/>
            </w:tcMar>
          </w:tcPr>
          <w:p>
            <w:pPr>
              <w:jc w:val="left"/>
            </w:pPr>
            <w:r>
              <w:rPr>
                <w:rFonts w:ascii="Calibri" w:hAnsi="Calibri"/>
                <w:color w:val="333333"/>
                <w:sz w:val="20"/>
              </w:rPr>
              <w:t>Geographic continent grouping</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Year</w:t>
            </w:r>
          </w:p>
        </w:tc>
        <w:tc>
          <w:tcPr>
            <w:tcW w:type="dxa" w:w="1584"/>
            <w:shd w:fill="FFFFFF"/>
            <w:tcMar>
              <w:top w:w="100" w:type="dxa"/>
              <w:bottom w:w="100" w:type="dxa"/>
              <w:left w:w="150" w:type="dxa"/>
              <w:right w:w="150" w:type="dxa"/>
            </w:tcMar>
          </w:tcPr>
          <w:p>
            <w:pPr>
              <w:jc w:val="left"/>
            </w:pPr>
            <w:r>
              <w:rPr>
                <w:rFonts w:ascii="Calibri" w:hAnsi="Calibri"/>
                <w:color w:val="333333"/>
                <w:sz w:val="20"/>
              </w:rPr>
              <w:t>Date / Integer</w:t>
            </w:r>
          </w:p>
        </w:tc>
        <w:tc>
          <w:tcPr>
            <w:tcW w:type="dxa" w:w="2736"/>
            <w:shd w:fill="FFFFFF"/>
            <w:tcMar>
              <w:top w:w="100" w:type="dxa"/>
              <w:bottom w:w="100" w:type="dxa"/>
              <w:left w:w="150" w:type="dxa"/>
              <w:right w:w="150" w:type="dxa"/>
            </w:tcMar>
          </w:tcPr>
          <w:p>
            <w:pPr>
              <w:jc w:val="left"/>
            </w:pPr>
            <w:r>
              <w:rPr>
                <w:rFonts w:ascii="Calibri" w:hAnsi="Calibri"/>
                <w:color w:val="333333"/>
                <w:sz w:val="20"/>
              </w:rPr>
              <w:t>2015 to 2026</w:t>
            </w:r>
          </w:p>
        </w:tc>
        <w:tc>
          <w:tcPr>
            <w:tcW w:type="dxa" w:w="2880"/>
            <w:shd w:fill="FFFFFF"/>
            <w:tcMar>
              <w:top w:w="100" w:type="dxa"/>
              <w:bottom w:w="100" w:type="dxa"/>
              <w:left w:w="150" w:type="dxa"/>
              <w:right w:w="150" w:type="dxa"/>
            </w:tcMar>
          </w:tcPr>
          <w:p>
            <w:pPr>
              <w:jc w:val="left"/>
            </w:pPr>
            <w:r>
              <w:rPr>
                <w:rFonts w:ascii="Calibri" w:hAnsi="Calibri"/>
                <w:color w:val="333333"/>
                <w:sz w:val="20"/>
              </w:rPr>
              <w:t>Recording year for longitudinal tracking</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Avg Daily AI Usage Min</w:t>
            </w:r>
          </w:p>
        </w:tc>
        <w:tc>
          <w:tcPr>
            <w:tcW w:type="dxa" w:w="1584"/>
            <w:shd w:fill="F2F5F8"/>
            <w:tcMar>
              <w:top w:w="100" w:type="dxa"/>
              <w:bottom w:w="100" w:type="dxa"/>
              <w:left w:w="150" w:type="dxa"/>
              <w:right w:w="150" w:type="dxa"/>
            </w:tcMar>
          </w:tcPr>
          <w:p>
            <w:pPr>
              <w:jc w:val="left"/>
            </w:pPr>
            <w:r>
              <w:rPr>
                <w:rFonts w:ascii="Calibri" w:hAnsi="Calibri"/>
                <w:color w:val="333333"/>
                <w:sz w:val="20"/>
              </w:rPr>
              <w:t>Continuous</w:t>
            </w:r>
          </w:p>
        </w:tc>
        <w:tc>
          <w:tcPr>
            <w:tcW w:type="dxa" w:w="2736"/>
            <w:shd w:fill="F2F5F8"/>
            <w:tcMar>
              <w:top w:w="100" w:type="dxa"/>
              <w:bottom w:w="100" w:type="dxa"/>
              <w:left w:w="150" w:type="dxa"/>
              <w:right w:w="150" w:type="dxa"/>
            </w:tcMar>
          </w:tcPr>
          <w:p>
            <w:pPr>
              <w:jc w:val="left"/>
            </w:pPr>
            <w:r>
              <w:rPr>
                <w:rFonts w:ascii="Calibri" w:hAnsi="Calibri"/>
                <w:color w:val="333333"/>
                <w:sz w:val="20"/>
              </w:rPr>
              <w:t>0–60 Minutes</w:t>
            </w:r>
          </w:p>
        </w:tc>
        <w:tc>
          <w:tcPr>
            <w:tcW w:type="dxa" w:w="2880"/>
            <w:shd w:fill="F2F5F8"/>
            <w:tcMar>
              <w:top w:w="100" w:type="dxa"/>
              <w:bottom w:w="100" w:type="dxa"/>
              <w:left w:w="150" w:type="dxa"/>
              <w:right w:w="150" w:type="dxa"/>
            </w:tcMar>
          </w:tcPr>
          <w:p>
            <w:pPr>
              <w:jc w:val="left"/>
            </w:pPr>
            <w:r>
              <w:rPr>
                <w:rFonts w:ascii="Calibri" w:hAnsi="Calibri"/>
                <w:color w:val="333333"/>
                <w:sz w:val="20"/>
              </w:rPr>
              <w:t>Average daily minutes spent on AI tools</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Govt AI Policy</w:t>
            </w:r>
          </w:p>
        </w:tc>
        <w:tc>
          <w:tcPr>
            <w:tcW w:type="dxa" w:w="1584"/>
            <w:shd w:fill="FFFFFF"/>
            <w:tcMar>
              <w:top w:w="100" w:type="dxa"/>
              <w:bottom w:w="100" w:type="dxa"/>
              <w:left w:w="150" w:type="dxa"/>
              <w:right w:w="150" w:type="dxa"/>
            </w:tcMar>
          </w:tcPr>
          <w:p>
            <w:pPr>
              <w:jc w:val="left"/>
            </w:pPr>
            <w:r>
              <w:rPr>
                <w:rFonts w:ascii="Calibri" w:hAnsi="Calibri"/>
                <w:color w:val="333333"/>
                <w:sz w:val="20"/>
              </w:rPr>
              <w:t>Categorical</w:t>
            </w:r>
          </w:p>
        </w:tc>
        <w:tc>
          <w:tcPr>
            <w:tcW w:type="dxa" w:w="2736"/>
            <w:shd w:fill="FFFFFF"/>
            <w:tcMar>
              <w:top w:w="100" w:type="dxa"/>
              <w:bottom w:w="100" w:type="dxa"/>
              <w:left w:w="150" w:type="dxa"/>
              <w:right w:w="150" w:type="dxa"/>
            </w:tcMar>
          </w:tcPr>
          <w:p>
            <w:pPr>
              <w:jc w:val="left"/>
            </w:pPr>
            <w:r>
              <w:rPr>
                <w:rFonts w:ascii="Calibri" w:hAnsi="Calibri"/>
                <w:color w:val="333333"/>
                <w:sz w:val="20"/>
              </w:rPr>
              <w:t>Active, Draft, None</w:t>
            </w:r>
          </w:p>
        </w:tc>
        <w:tc>
          <w:tcPr>
            <w:tcW w:type="dxa" w:w="2880"/>
            <w:shd w:fill="FFFFFF"/>
            <w:tcMar>
              <w:top w:w="100" w:type="dxa"/>
              <w:bottom w:w="100" w:type="dxa"/>
              <w:left w:w="150" w:type="dxa"/>
              <w:right w:w="150" w:type="dxa"/>
            </w:tcMar>
          </w:tcPr>
          <w:p>
            <w:pPr>
              <w:jc w:val="left"/>
            </w:pPr>
            <w:r>
              <w:rPr>
                <w:rFonts w:ascii="Calibri" w:hAnsi="Calibri"/>
                <w:color w:val="333333"/>
                <w:sz w:val="20"/>
              </w:rPr>
              <w:t>Status of national educational AI governance</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AI in Curriculum</w:t>
            </w:r>
          </w:p>
        </w:tc>
        <w:tc>
          <w:tcPr>
            <w:tcW w:type="dxa" w:w="1584"/>
            <w:shd w:fill="F2F5F8"/>
            <w:tcMar>
              <w:top w:w="100" w:type="dxa"/>
              <w:bottom w:w="100" w:type="dxa"/>
              <w:left w:w="150" w:type="dxa"/>
              <w:right w:w="150" w:type="dxa"/>
            </w:tcMar>
          </w:tcPr>
          <w:p>
            <w:pPr>
              <w:jc w:val="left"/>
            </w:pPr>
            <w:r>
              <w:rPr>
                <w:rFonts w:ascii="Calibri" w:hAnsi="Calibri"/>
                <w:color w:val="333333"/>
                <w:sz w:val="20"/>
              </w:rPr>
              <w:t>Binary / Text</w:t>
            </w:r>
          </w:p>
        </w:tc>
        <w:tc>
          <w:tcPr>
            <w:tcW w:type="dxa" w:w="2736"/>
            <w:shd w:fill="F2F5F8"/>
            <w:tcMar>
              <w:top w:w="100" w:type="dxa"/>
              <w:bottom w:w="100" w:type="dxa"/>
              <w:left w:w="150" w:type="dxa"/>
              <w:right w:w="150" w:type="dxa"/>
            </w:tcMar>
          </w:tcPr>
          <w:p>
            <w:pPr>
              <w:jc w:val="left"/>
            </w:pPr>
            <w:r>
              <w:rPr>
                <w:rFonts w:ascii="Calibri" w:hAnsi="Calibri"/>
                <w:color w:val="333333"/>
                <w:sz w:val="20"/>
              </w:rPr>
              <w:t>Yes, No</w:t>
            </w:r>
          </w:p>
        </w:tc>
        <w:tc>
          <w:tcPr>
            <w:tcW w:type="dxa" w:w="2880"/>
            <w:shd w:fill="F2F5F8"/>
            <w:tcMar>
              <w:top w:w="100" w:type="dxa"/>
              <w:bottom w:w="100" w:type="dxa"/>
              <w:left w:w="150" w:type="dxa"/>
              <w:right w:w="150" w:type="dxa"/>
            </w:tcMar>
          </w:tcPr>
          <w:p>
            <w:pPr>
              <w:jc w:val="left"/>
            </w:pPr>
            <w:r>
              <w:rPr>
                <w:rFonts w:ascii="Calibri" w:hAnsi="Calibri"/>
                <w:color w:val="333333"/>
                <w:sz w:val="20"/>
              </w:rPr>
              <w:t>Whether AI is formally included in school syllabus</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Top AI Tool</w:t>
            </w:r>
          </w:p>
        </w:tc>
        <w:tc>
          <w:tcPr>
            <w:tcW w:type="dxa" w:w="1584"/>
            <w:shd w:fill="FFFFFF"/>
            <w:tcMar>
              <w:top w:w="100" w:type="dxa"/>
              <w:bottom w:w="100" w:type="dxa"/>
              <w:left w:w="150" w:type="dxa"/>
              <w:right w:w="150" w:type="dxa"/>
            </w:tcMar>
          </w:tcPr>
          <w:p>
            <w:pPr>
              <w:jc w:val="left"/>
            </w:pPr>
            <w:r>
              <w:rPr>
                <w:rFonts w:ascii="Calibri" w:hAnsi="Calibri"/>
                <w:color w:val="333333"/>
                <w:sz w:val="20"/>
              </w:rPr>
              <w:t>Categorical</w:t>
            </w:r>
          </w:p>
        </w:tc>
        <w:tc>
          <w:tcPr>
            <w:tcW w:type="dxa" w:w="2736"/>
            <w:shd w:fill="FFFFFF"/>
            <w:tcMar>
              <w:top w:w="100" w:type="dxa"/>
              <w:bottom w:w="100" w:type="dxa"/>
              <w:left w:w="150" w:type="dxa"/>
              <w:right w:w="150" w:type="dxa"/>
            </w:tcMar>
          </w:tcPr>
          <w:p>
            <w:pPr>
              <w:jc w:val="left"/>
            </w:pPr>
            <w:r>
              <w:rPr>
                <w:rFonts w:ascii="Calibri" w:hAnsi="Calibri"/>
                <w:color w:val="333333"/>
                <w:sz w:val="20"/>
              </w:rPr>
              <w:t>ChatGPT, Google Gemini, Copilot</w:t>
            </w:r>
          </w:p>
        </w:tc>
        <w:tc>
          <w:tcPr>
            <w:tcW w:type="dxa" w:w="2880"/>
            <w:shd w:fill="FFFFFF"/>
            <w:tcMar>
              <w:top w:w="100" w:type="dxa"/>
              <w:bottom w:w="100" w:type="dxa"/>
              <w:left w:w="150" w:type="dxa"/>
              <w:right w:w="150" w:type="dxa"/>
            </w:tcMar>
          </w:tcPr>
          <w:p>
            <w:pPr>
              <w:jc w:val="left"/>
            </w:pPr>
            <w:r>
              <w:rPr>
                <w:rFonts w:ascii="Calibri" w:hAnsi="Calibri"/>
                <w:color w:val="333333"/>
                <w:sz w:val="20"/>
              </w:rPr>
              <w:t>Most utilized platform by students/teachers</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Student/Teacher Usage Pct</w:t>
            </w:r>
          </w:p>
        </w:tc>
        <w:tc>
          <w:tcPr>
            <w:tcW w:type="dxa" w:w="1584"/>
            <w:shd w:fill="F2F5F8"/>
            <w:tcMar>
              <w:top w:w="100" w:type="dxa"/>
              <w:bottom w:w="100" w:type="dxa"/>
              <w:left w:w="150" w:type="dxa"/>
              <w:right w:w="150" w:type="dxa"/>
            </w:tcMar>
          </w:tcPr>
          <w:p>
            <w:pPr>
              <w:jc w:val="left"/>
            </w:pPr>
            <w:r>
              <w:rPr>
                <w:rFonts w:ascii="Calibri" w:hAnsi="Calibri"/>
                <w:color w:val="333333"/>
                <w:sz w:val="20"/>
              </w:rPr>
              <w:t>Percentage</w:t>
            </w:r>
          </w:p>
        </w:tc>
        <w:tc>
          <w:tcPr>
            <w:tcW w:type="dxa" w:w="2736"/>
            <w:shd w:fill="F2F5F8"/>
            <w:tcMar>
              <w:top w:w="100" w:type="dxa"/>
              <w:bottom w:w="100" w:type="dxa"/>
              <w:left w:w="150" w:type="dxa"/>
              <w:right w:w="150" w:type="dxa"/>
            </w:tcMar>
          </w:tcPr>
          <w:p>
            <w:pPr>
              <w:jc w:val="left"/>
            </w:pPr>
            <w:r>
              <w:rPr>
                <w:rFonts w:ascii="Calibri" w:hAnsi="Calibri"/>
                <w:color w:val="333333"/>
                <w:sz w:val="20"/>
              </w:rPr>
              <w:t>0%–100%</w:t>
            </w:r>
          </w:p>
        </w:tc>
        <w:tc>
          <w:tcPr>
            <w:tcW w:type="dxa" w:w="2880"/>
            <w:shd w:fill="F2F5F8"/>
            <w:tcMar>
              <w:top w:w="100" w:type="dxa"/>
              <w:bottom w:w="100" w:type="dxa"/>
              <w:left w:w="150" w:type="dxa"/>
              <w:right w:w="150" w:type="dxa"/>
            </w:tcMar>
          </w:tcPr>
          <w:p>
            <w:pPr>
              <w:jc w:val="left"/>
            </w:pPr>
            <w:r>
              <w:rPr>
                <w:rFonts w:ascii="Calibri" w:hAnsi="Calibri"/>
                <w:color w:val="333333"/>
                <w:sz w:val="20"/>
              </w:rPr>
              <w:t>Proportion of active users in target demographic</w:t>
            </w:r>
          </w:p>
        </w:tc>
      </w:tr>
    </w:tbl>
    <w:p/>
    <w:p>
      <w:pPr>
        <w:keepNext/>
        <w:spacing w:before="320" w:after="120"/>
      </w:pPr>
      <w:r>
        <w:rPr>
          <w:rFonts w:ascii="Calibri" w:hAnsi="Calibri"/>
          <w:b/>
          <w:color w:val="1F497D"/>
          <w:sz w:val="32"/>
        </w:rPr>
        <w:t>6. Sampling &amp; Data Collection Methodology</w:t>
      </w:r>
    </w:p>
    <w:p>
      <w:pPr>
        <w:spacing w:after="120" w:line="276" w:lineRule="auto"/>
      </w:pPr>
      <w:r>
        <w:rPr>
          <w:rFonts w:ascii="Calibri" w:hAnsi="Calibri"/>
          <w:color w:val="333333"/>
          <w:sz w:val="22"/>
        </w:rPr>
        <w:t>Data collection followed a rigorous multi-tier survey framework combining institutional self-reporting, EdTech platform telemetry usage logs, and government policy documentation updates across participating institutions worldwide.</w:t>
      </w:r>
    </w:p>
    <w:p>
      <w:pPr>
        <w:keepNext/>
        <w:spacing w:before="320" w:after="120"/>
      </w:pPr>
      <w:r>
        <w:rPr>
          <w:rFonts w:ascii="Calibri" w:hAnsi="Calibri"/>
          <w:b/>
          <w:color w:val="1F497D"/>
          <w:sz w:val="32"/>
        </w:rPr>
        <w:t>7. Data Preprocessing &amp; Cleaning Pipeline</w:t>
      </w:r>
    </w:p>
    <w:p>
      <w:pPr>
        <w:spacing w:after="120" w:line="276" w:lineRule="auto"/>
      </w:pPr>
      <w:r>
        <w:rPr>
          <w:rFonts w:ascii="Calibri" w:hAnsi="Calibri"/>
          <w:color w:val="333333"/>
          <w:sz w:val="22"/>
        </w:rPr>
        <w:t>To ensure strict statistical validity and prepare seamless inputs for Tableau visualization, raw telemetry logs underwent a multi-stage preprocessing pipeline implemented in Python (Pandas/NumPy):</w:t>
      </w:r>
    </w:p>
    <w:p>
      <w:pPr>
        <w:pStyle w:val="ListBullet"/>
        <w:spacing w:after="80" w:line="276" w:lineRule="auto"/>
      </w:pPr>
      <w:r>
        <w:rPr>
          <w:rFonts w:ascii="Calibri" w:hAnsi="Calibri"/>
          <w:b/>
          <w:color w:val="1F497D"/>
          <w:sz w:val="22"/>
        </w:rPr>
        <w:t xml:space="preserve">Step 1: Missing Value Imputation - </w:t>
      </w:r>
      <w:r>
        <w:rPr>
          <w:rFonts w:ascii="Calibri" w:hAnsi="Calibri"/>
          <w:color w:val="333333"/>
          <w:sz w:val="22"/>
        </w:rPr>
        <w:t>Survey non-responses and missing numerical fields were systematically imputed. For missing daily usage minutes, regional mean values were imputed based on the corresponding region and country development status to prevent statistical bias.</w:t>
      </w:r>
    </w:p>
    <w:p>
      <w:pPr>
        <w:pStyle w:val="ListBullet"/>
        <w:spacing w:after="80" w:line="276" w:lineRule="auto"/>
      </w:pPr>
      <w:r>
        <w:rPr>
          <w:rFonts w:ascii="Calibri" w:hAnsi="Calibri"/>
          <w:b/>
          <w:color w:val="1F497D"/>
          <w:sz w:val="22"/>
        </w:rPr>
        <w:t xml:space="preserve">Step 2: Data Type Standardizations &amp; Conversions - </w:t>
      </w:r>
      <w:r>
        <w:rPr>
          <w:rFonts w:ascii="Calibri" w:hAnsi="Calibri"/>
          <w:color w:val="333333"/>
          <w:sz w:val="22"/>
        </w:rPr>
        <w:t>Temporal columns were cast to formal datetime standards. Percentage measures expressed as string values were converted into floating-point numbers (0.0–100.0) for correct sum and average calculations within Tableau aggregation functions.</w:t>
      </w:r>
    </w:p>
    <w:p>
      <w:pPr>
        <w:pStyle w:val="ListBullet"/>
        <w:spacing w:after="80" w:line="276" w:lineRule="auto"/>
      </w:pPr>
      <w:r>
        <w:rPr>
          <w:rFonts w:ascii="Calibri" w:hAnsi="Calibri"/>
          <w:b/>
          <w:color w:val="1F497D"/>
          <w:sz w:val="22"/>
        </w:rPr>
        <w:t xml:space="preserve">Step 3: Categorical Normalization - </w:t>
      </w:r>
      <w:r>
        <w:rPr>
          <w:rFonts w:ascii="Calibri" w:hAnsi="Calibri"/>
          <w:color w:val="333333"/>
          <w:sz w:val="22"/>
        </w:rPr>
        <w:t>Text fields containing software names, country codes, and policy tags were standardized to eliminate casing inconsistencies (e.g., standardizing 'Chat GPT', 'chatgpt', and 'ChatGPT' into a single uniform category).</w:t>
      </w:r>
    </w:p>
    <w:p>
      <w:pPr>
        <w:pStyle w:val="ListBullet"/>
        <w:spacing w:after="80" w:line="276" w:lineRule="auto"/>
      </w:pPr>
      <w:r>
        <w:rPr>
          <w:rFonts w:ascii="Calibri" w:hAnsi="Calibri"/>
          <w:b/>
          <w:color w:val="1F497D"/>
          <w:sz w:val="22"/>
        </w:rPr>
        <w:t xml:space="preserve">Step 4: Outlier Filtering &amp; Validation - </w:t>
      </w:r>
      <w:r>
        <w:rPr>
          <w:rFonts w:ascii="Calibri" w:hAnsi="Calibri"/>
          <w:color w:val="333333"/>
          <w:sz w:val="22"/>
        </w:rPr>
        <w:t>Usage logs were checked for anomalous system spikes. Daily usage entries exceeding realistic physical constraints (&gt;300 minutes per day per individual) were flagged as bot traffic or duplicate sessions and excluded.</w:t>
      </w:r>
    </w:p>
    <w:p>
      <w:pPr>
        <w:keepNext/>
        <w:spacing w:before="240" w:after="80"/>
      </w:pPr>
      <w:r>
        <w:rPr>
          <w:rFonts w:ascii="Calibri" w:hAnsi="Calibri"/>
          <w:b/>
          <w:color w:val="3B5998"/>
          <w:sz w:val="26"/>
        </w:rPr>
        <w:t>Data Integrity Metric</w:t>
      </w:r>
    </w:p>
    <w:p>
      <w:pPr>
        <w:spacing w:after="120" w:line="276" w:lineRule="auto"/>
      </w:pPr>
      <w:r>
        <w:rPr>
          <w:rFonts w:ascii="Calibri" w:hAnsi="Calibri"/>
          <w:color w:val="333333"/>
          <w:sz w:val="22"/>
        </w:rPr>
        <w:t>Post-cleaning data validation yielded a 99.4% record retention rate across 364,825 total measure sum values, ensuring robust analytical fidelity for dashboard integration.</w:t>
      </w:r>
    </w:p>
    <w:p>
      <w:pPr>
        <w:keepNext/>
        <w:spacing w:before="320" w:after="120"/>
      </w:pPr>
      <w:r>
        <w:rPr>
          <w:rFonts w:ascii="Calibri" w:hAnsi="Calibri"/>
          <w:b/>
          <w:color w:val="1F497D"/>
          <w:sz w:val="32"/>
        </w:rPr>
        <w:t>8. Exploratory Data Analysis: Adoption Trajectory</w:t>
      </w:r>
    </w:p>
    <w:p>
      <w:pPr>
        <w:spacing w:after="120" w:line="276" w:lineRule="auto"/>
      </w:pPr>
      <w:r>
        <w:rPr>
          <w:rFonts w:ascii="Calibri" w:hAnsi="Calibri"/>
          <w:color w:val="333333"/>
          <w:sz w:val="22"/>
        </w:rPr>
        <w:t>Longitudinal analysis reveals a distinct multi-phase trajectory in educational AI usage between 2015 and 2026. The adoption trend is divided into three primary eras:</w:t>
      </w:r>
    </w:p>
    <w:p>
      <w:pPr>
        <w:pStyle w:val="ListBullet"/>
        <w:spacing w:after="80" w:line="276" w:lineRule="auto"/>
      </w:pPr>
      <w:r>
        <w:rPr>
          <w:rFonts w:ascii="Calibri" w:hAnsi="Calibri"/>
          <w:b/>
          <w:color w:val="1F497D"/>
          <w:sz w:val="22"/>
        </w:rPr>
        <w:t xml:space="preserve">Phase 1: Incubation Era (2015–2019) - </w:t>
      </w:r>
      <w:r>
        <w:rPr>
          <w:rFonts w:ascii="Calibri" w:hAnsi="Calibri"/>
          <w:color w:val="333333"/>
          <w:sz w:val="22"/>
        </w:rPr>
        <w:t>During this initial period, AI adoption remained limited to specialized research institutions and isolated machine learning courses. Global usage metrics averaged under 10% for both students and faculty, with minimal daily usage minutes.</w:t>
      </w:r>
    </w:p>
    <w:p>
      <w:pPr>
        <w:pStyle w:val="ListBullet"/>
        <w:spacing w:after="80" w:line="276" w:lineRule="auto"/>
      </w:pPr>
      <w:r>
        <w:rPr>
          <w:rFonts w:ascii="Calibri" w:hAnsi="Calibri"/>
          <w:b/>
          <w:color w:val="1F497D"/>
          <w:sz w:val="22"/>
        </w:rPr>
        <w:t xml:space="preserve">Phase 2: Accelerated Shift (2020–2022) - </w:t>
      </w:r>
      <w:r>
        <w:rPr>
          <w:rFonts w:ascii="Calibri" w:hAnsi="Calibri"/>
          <w:color w:val="333333"/>
          <w:sz w:val="22"/>
        </w:rPr>
        <w:t>Driven by remote learning demands during global disruption, institutions rapidly integrated digital platforms. Student engagement surged as automated tutoring and remote learning tools became necessary components of academic continuity.</w:t>
      </w:r>
    </w:p>
    <w:p>
      <w:pPr>
        <w:pStyle w:val="ListBullet"/>
        <w:spacing w:after="80" w:line="276" w:lineRule="auto"/>
      </w:pPr>
      <w:r>
        <w:rPr>
          <w:rFonts w:ascii="Calibri" w:hAnsi="Calibri"/>
          <w:b/>
          <w:color w:val="1F497D"/>
          <w:sz w:val="22"/>
        </w:rPr>
        <w:t xml:space="preserve">Phase 3: Generative AI Boom &amp; Future Projection (2023–2026) - </w:t>
      </w:r>
      <w:r>
        <w:rPr>
          <w:rFonts w:ascii="Calibri" w:hAnsi="Calibri"/>
          <w:color w:val="333333"/>
          <w:sz w:val="22"/>
        </w:rPr>
        <w:t>The public release of large language models (LLMs) triggered an exponential increase in usage metrics. Projections through 2026 indicate near-linear growth, with student usage percentages approaching over 60% and teacher usage following closely behind.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F497D"/>
            <w:tcMar>
              <w:top w:w="120" w:type="dxa"/>
              <w:bottom w:w="120" w:type="dxa"/>
              <w:left w:w="150" w:type="dxa"/>
              <w:right w:w="150" w:type="dxa"/>
            </w:tcMar>
          </w:tcPr>
          <w:p>
            <w:pPr>
              <w:jc w:val="left"/>
            </w:pPr>
            <w:r>
              <w:rPr>
                <w:rFonts w:ascii="Calibri" w:hAnsi="Calibri"/>
                <w:b/>
                <w:color w:val="FFFFFF"/>
                <w:sz w:val="21"/>
              </w:rPr>
              <w:t>Year</w:t>
            </w:r>
          </w:p>
        </w:tc>
        <w:tc>
          <w:tcPr>
            <w:tcW w:type="dxa" w:w="2592"/>
            <w:shd w:fill="1F497D"/>
            <w:tcMar>
              <w:top w:w="120" w:type="dxa"/>
              <w:bottom w:w="120" w:type="dxa"/>
              <w:left w:w="150" w:type="dxa"/>
              <w:right w:w="150" w:type="dxa"/>
            </w:tcMar>
          </w:tcPr>
          <w:p>
            <w:pPr>
              <w:jc w:val="left"/>
            </w:pPr>
            <w:r>
              <w:rPr>
                <w:rFonts w:ascii="Calibri" w:hAnsi="Calibri"/>
                <w:b/>
                <w:color w:val="FFFFFF"/>
                <w:sz w:val="21"/>
              </w:rPr>
              <w:t>Avg Student AI Usage Pct</w:t>
            </w:r>
          </w:p>
        </w:tc>
        <w:tc>
          <w:tcPr>
            <w:tcW w:type="dxa" w:w="2592"/>
            <w:shd w:fill="1F497D"/>
            <w:tcMar>
              <w:top w:w="120" w:type="dxa"/>
              <w:bottom w:w="120" w:type="dxa"/>
              <w:left w:w="150" w:type="dxa"/>
              <w:right w:w="150" w:type="dxa"/>
            </w:tcMar>
          </w:tcPr>
          <w:p>
            <w:pPr>
              <w:jc w:val="left"/>
            </w:pPr>
            <w:r>
              <w:rPr>
                <w:rFonts w:ascii="Calibri" w:hAnsi="Calibri"/>
                <w:b/>
                <w:color w:val="FFFFFF"/>
                <w:sz w:val="21"/>
              </w:rPr>
              <w:t>Avg Teacher AI Usage Pct</w:t>
            </w:r>
          </w:p>
        </w:tc>
        <w:tc>
          <w:tcPr>
            <w:tcW w:type="dxa" w:w="2592"/>
            <w:shd w:fill="1F497D"/>
            <w:tcMar>
              <w:top w:w="120" w:type="dxa"/>
              <w:bottom w:w="120" w:type="dxa"/>
              <w:left w:w="150" w:type="dxa"/>
              <w:right w:w="150" w:type="dxa"/>
            </w:tcMar>
          </w:tcPr>
          <w:p>
            <w:pPr>
              <w:jc w:val="left"/>
            </w:pPr>
            <w:r>
              <w:rPr>
                <w:rFonts w:ascii="Calibri" w:hAnsi="Calibri"/>
                <w:b/>
                <w:color w:val="FFFFFF"/>
                <w:sz w:val="21"/>
              </w:rPr>
              <w:t>Primary Platform Driver</w:t>
            </w:r>
          </w:p>
        </w:tc>
      </w:tr>
      <w:tr>
        <w:tc>
          <w:tcPr>
            <w:tcW w:type="dxa" w:w="1584"/>
            <w:shd w:fill="FFFFFF"/>
            <w:tcMar>
              <w:top w:w="100" w:type="dxa"/>
              <w:bottom w:w="100" w:type="dxa"/>
              <w:left w:w="150" w:type="dxa"/>
              <w:right w:w="150" w:type="dxa"/>
            </w:tcMar>
          </w:tcPr>
          <w:p>
            <w:pPr>
              <w:jc w:val="left"/>
            </w:pPr>
            <w:r>
              <w:rPr>
                <w:rFonts w:ascii="Calibri" w:hAnsi="Calibri"/>
                <w:color w:val="333333"/>
                <w:sz w:val="20"/>
              </w:rPr>
              <w:t>2015</w:t>
            </w:r>
          </w:p>
        </w:tc>
        <w:tc>
          <w:tcPr>
            <w:tcW w:type="dxa" w:w="2592"/>
            <w:shd w:fill="FFFFFF"/>
            <w:tcMar>
              <w:top w:w="100" w:type="dxa"/>
              <w:bottom w:w="100" w:type="dxa"/>
              <w:left w:w="150" w:type="dxa"/>
              <w:right w:w="150" w:type="dxa"/>
            </w:tcMar>
          </w:tcPr>
          <w:p>
            <w:pPr>
              <w:jc w:val="left"/>
            </w:pPr>
            <w:r>
              <w:rPr>
                <w:rFonts w:ascii="Calibri" w:hAnsi="Calibri"/>
                <w:color w:val="333333"/>
                <w:sz w:val="20"/>
              </w:rPr>
              <w:t>~5.2%</w:t>
            </w:r>
          </w:p>
        </w:tc>
        <w:tc>
          <w:tcPr>
            <w:tcW w:type="dxa" w:w="2592"/>
            <w:shd w:fill="FFFFFF"/>
            <w:tcMar>
              <w:top w:w="100" w:type="dxa"/>
              <w:bottom w:w="100" w:type="dxa"/>
              <w:left w:w="150" w:type="dxa"/>
              <w:right w:w="150" w:type="dxa"/>
            </w:tcMar>
          </w:tcPr>
          <w:p>
            <w:pPr>
              <w:jc w:val="left"/>
            </w:pPr>
            <w:r>
              <w:rPr>
                <w:rFonts w:ascii="Calibri" w:hAnsi="Calibri"/>
                <w:color w:val="333333"/>
                <w:sz w:val="20"/>
              </w:rPr>
              <w:t>~3.1%</w:t>
            </w:r>
          </w:p>
        </w:tc>
        <w:tc>
          <w:tcPr>
            <w:tcW w:type="dxa" w:w="2592"/>
            <w:shd w:fill="FFFFFF"/>
            <w:tcMar>
              <w:top w:w="100" w:type="dxa"/>
              <w:bottom w:w="100" w:type="dxa"/>
              <w:left w:w="150" w:type="dxa"/>
              <w:right w:w="150" w:type="dxa"/>
            </w:tcMar>
          </w:tcPr>
          <w:p>
            <w:pPr>
              <w:jc w:val="left"/>
            </w:pPr>
            <w:r>
              <w:rPr>
                <w:rFonts w:ascii="Calibri" w:hAnsi="Calibri"/>
                <w:color w:val="333333"/>
                <w:sz w:val="20"/>
              </w:rPr>
              <w:t>Early Rule-based Systems</w:t>
            </w:r>
          </w:p>
        </w:tc>
      </w:tr>
      <w:tr>
        <w:tc>
          <w:tcPr>
            <w:tcW w:type="dxa" w:w="1584"/>
            <w:shd w:fill="F2F5F8"/>
            <w:tcMar>
              <w:top w:w="100" w:type="dxa"/>
              <w:bottom w:w="100" w:type="dxa"/>
              <w:left w:w="150" w:type="dxa"/>
              <w:right w:w="150" w:type="dxa"/>
            </w:tcMar>
          </w:tcPr>
          <w:p>
            <w:pPr>
              <w:jc w:val="left"/>
            </w:pPr>
            <w:r>
              <w:rPr>
                <w:rFonts w:ascii="Calibri" w:hAnsi="Calibri"/>
                <w:color w:val="333333"/>
                <w:sz w:val="20"/>
              </w:rPr>
              <w:t>2018</w:t>
            </w:r>
          </w:p>
        </w:tc>
        <w:tc>
          <w:tcPr>
            <w:tcW w:type="dxa" w:w="2592"/>
            <w:shd w:fill="F2F5F8"/>
            <w:tcMar>
              <w:top w:w="100" w:type="dxa"/>
              <w:bottom w:w="100" w:type="dxa"/>
              <w:left w:w="150" w:type="dxa"/>
              <w:right w:w="150" w:type="dxa"/>
            </w:tcMar>
          </w:tcPr>
          <w:p>
            <w:pPr>
              <w:jc w:val="left"/>
            </w:pPr>
            <w:r>
              <w:rPr>
                <w:rFonts w:ascii="Calibri" w:hAnsi="Calibri"/>
                <w:color w:val="333333"/>
                <w:sz w:val="20"/>
              </w:rPr>
              <w:t>~12.4%</w:t>
            </w:r>
          </w:p>
        </w:tc>
        <w:tc>
          <w:tcPr>
            <w:tcW w:type="dxa" w:w="2592"/>
            <w:shd w:fill="F2F5F8"/>
            <w:tcMar>
              <w:top w:w="100" w:type="dxa"/>
              <w:bottom w:w="100" w:type="dxa"/>
              <w:left w:w="150" w:type="dxa"/>
              <w:right w:w="150" w:type="dxa"/>
            </w:tcMar>
          </w:tcPr>
          <w:p>
            <w:pPr>
              <w:jc w:val="left"/>
            </w:pPr>
            <w:r>
              <w:rPr>
                <w:rFonts w:ascii="Calibri" w:hAnsi="Calibri"/>
                <w:color w:val="333333"/>
                <w:sz w:val="20"/>
              </w:rPr>
              <w:t>~8.5%</w:t>
            </w:r>
          </w:p>
        </w:tc>
        <w:tc>
          <w:tcPr>
            <w:tcW w:type="dxa" w:w="2592"/>
            <w:shd w:fill="F2F5F8"/>
            <w:tcMar>
              <w:top w:w="100" w:type="dxa"/>
              <w:bottom w:w="100" w:type="dxa"/>
              <w:left w:w="150" w:type="dxa"/>
              <w:right w:w="150" w:type="dxa"/>
            </w:tcMar>
          </w:tcPr>
          <w:p>
            <w:pPr>
              <w:jc w:val="left"/>
            </w:pPr>
            <w:r>
              <w:rPr>
                <w:rFonts w:ascii="Calibri" w:hAnsi="Calibri"/>
                <w:color w:val="333333"/>
                <w:sz w:val="20"/>
              </w:rPr>
              <w:t>Adaptive Testing Engines</w:t>
            </w:r>
          </w:p>
        </w:tc>
      </w:tr>
      <w:tr>
        <w:tc>
          <w:tcPr>
            <w:tcW w:type="dxa" w:w="1584"/>
            <w:shd w:fill="FFFFFF"/>
            <w:tcMar>
              <w:top w:w="100" w:type="dxa"/>
              <w:bottom w:w="100" w:type="dxa"/>
              <w:left w:w="150" w:type="dxa"/>
              <w:right w:w="150" w:type="dxa"/>
            </w:tcMar>
          </w:tcPr>
          <w:p>
            <w:pPr>
              <w:jc w:val="left"/>
            </w:pPr>
            <w:r>
              <w:rPr>
                <w:rFonts w:ascii="Calibri" w:hAnsi="Calibri"/>
                <w:color w:val="333333"/>
                <w:sz w:val="20"/>
              </w:rPr>
              <w:t>2021</w:t>
            </w:r>
          </w:p>
        </w:tc>
        <w:tc>
          <w:tcPr>
            <w:tcW w:type="dxa" w:w="2592"/>
            <w:shd w:fill="FFFFFF"/>
            <w:tcMar>
              <w:top w:w="100" w:type="dxa"/>
              <w:bottom w:w="100" w:type="dxa"/>
              <w:left w:w="150" w:type="dxa"/>
              <w:right w:w="150" w:type="dxa"/>
            </w:tcMar>
          </w:tcPr>
          <w:p>
            <w:pPr>
              <w:jc w:val="left"/>
            </w:pPr>
            <w:r>
              <w:rPr>
                <w:rFonts w:ascii="Calibri" w:hAnsi="Calibri"/>
                <w:color w:val="333333"/>
                <w:sz w:val="20"/>
              </w:rPr>
              <w:t>~28.9%</w:t>
            </w:r>
          </w:p>
        </w:tc>
        <w:tc>
          <w:tcPr>
            <w:tcW w:type="dxa" w:w="2592"/>
            <w:shd w:fill="FFFFFF"/>
            <w:tcMar>
              <w:top w:w="100" w:type="dxa"/>
              <w:bottom w:w="100" w:type="dxa"/>
              <w:left w:w="150" w:type="dxa"/>
              <w:right w:w="150" w:type="dxa"/>
            </w:tcMar>
          </w:tcPr>
          <w:p>
            <w:pPr>
              <w:jc w:val="left"/>
            </w:pPr>
            <w:r>
              <w:rPr>
                <w:rFonts w:ascii="Calibri" w:hAnsi="Calibri"/>
                <w:color w:val="333333"/>
                <w:sz w:val="20"/>
              </w:rPr>
              <w:t>~21.0%</w:t>
            </w:r>
          </w:p>
        </w:tc>
        <w:tc>
          <w:tcPr>
            <w:tcW w:type="dxa" w:w="2592"/>
            <w:shd w:fill="FFFFFF"/>
            <w:tcMar>
              <w:top w:w="100" w:type="dxa"/>
              <w:bottom w:w="100" w:type="dxa"/>
              <w:left w:w="150" w:type="dxa"/>
              <w:right w:w="150" w:type="dxa"/>
            </w:tcMar>
          </w:tcPr>
          <w:p>
            <w:pPr>
              <w:jc w:val="left"/>
            </w:pPr>
            <w:r>
              <w:rPr>
                <w:rFonts w:ascii="Calibri" w:hAnsi="Calibri"/>
                <w:color w:val="333333"/>
                <w:sz w:val="20"/>
              </w:rPr>
              <w:t>Automated Grading &amp; LMS Bots</w:t>
            </w:r>
          </w:p>
        </w:tc>
      </w:tr>
      <w:tr>
        <w:tc>
          <w:tcPr>
            <w:tcW w:type="dxa" w:w="1584"/>
            <w:shd w:fill="F2F5F8"/>
            <w:tcMar>
              <w:top w:w="100" w:type="dxa"/>
              <w:bottom w:w="100" w:type="dxa"/>
              <w:left w:w="150" w:type="dxa"/>
              <w:right w:w="150" w:type="dxa"/>
            </w:tcMar>
          </w:tcPr>
          <w:p>
            <w:pPr>
              <w:jc w:val="left"/>
            </w:pPr>
            <w:r>
              <w:rPr>
                <w:rFonts w:ascii="Calibri" w:hAnsi="Calibri"/>
                <w:color w:val="333333"/>
                <w:sz w:val="20"/>
              </w:rPr>
              <w:t>2024</w:t>
            </w:r>
          </w:p>
        </w:tc>
        <w:tc>
          <w:tcPr>
            <w:tcW w:type="dxa" w:w="2592"/>
            <w:shd w:fill="F2F5F8"/>
            <w:tcMar>
              <w:top w:w="100" w:type="dxa"/>
              <w:bottom w:w="100" w:type="dxa"/>
              <w:left w:w="150" w:type="dxa"/>
              <w:right w:w="150" w:type="dxa"/>
            </w:tcMar>
          </w:tcPr>
          <w:p>
            <w:pPr>
              <w:jc w:val="left"/>
            </w:pPr>
            <w:r>
              <w:rPr>
                <w:rFonts w:ascii="Calibri" w:hAnsi="Calibri"/>
                <w:color w:val="333333"/>
                <w:sz w:val="20"/>
              </w:rPr>
              <w:t>~48.5%</w:t>
            </w:r>
          </w:p>
        </w:tc>
        <w:tc>
          <w:tcPr>
            <w:tcW w:type="dxa" w:w="2592"/>
            <w:shd w:fill="F2F5F8"/>
            <w:tcMar>
              <w:top w:w="100" w:type="dxa"/>
              <w:bottom w:w="100" w:type="dxa"/>
              <w:left w:w="150" w:type="dxa"/>
              <w:right w:w="150" w:type="dxa"/>
            </w:tcMar>
          </w:tcPr>
          <w:p>
            <w:pPr>
              <w:jc w:val="left"/>
            </w:pPr>
            <w:r>
              <w:rPr>
                <w:rFonts w:ascii="Calibri" w:hAnsi="Calibri"/>
                <w:color w:val="333333"/>
                <w:sz w:val="20"/>
              </w:rPr>
              <w:t>~40.2%</w:t>
            </w:r>
          </w:p>
        </w:tc>
        <w:tc>
          <w:tcPr>
            <w:tcW w:type="dxa" w:w="2592"/>
            <w:shd w:fill="F2F5F8"/>
            <w:tcMar>
              <w:top w:w="100" w:type="dxa"/>
              <w:bottom w:w="100" w:type="dxa"/>
              <w:left w:w="150" w:type="dxa"/>
              <w:right w:w="150" w:type="dxa"/>
            </w:tcMar>
          </w:tcPr>
          <w:p>
            <w:pPr>
              <w:jc w:val="left"/>
            </w:pPr>
            <w:r>
              <w:rPr>
                <w:rFonts w:ascii="Calibri" w:hAnsi="Calibri"/>
                <w:color w:val="333333"/>
                <w:sz w:val="20"/>
              </w:rPr>
              <w:t>Generative AI (ChatGPT, Gemini)</w:t>
            </w:r>
          </w:p>
        </w:tc>
      </w:tr>
      <w:tr>
        <w:tc>
          <w:tcPr>
            <w:tcW w:type="dxa" w:w="1584"/>
            <w:shd w:fill="FFFFFF"/>
            <w:tcMar>
              <w:top w:w="100" w:type="dxa"/>
              <w:bottom w:w="100" w:type="dxa"/>
              <w:left w:w="150" w:type="dxa"/>
              <w:right w:w="150" w:type="dxa"/>
            </w:tcMar>
          </w:tcPr>
          <w:p>
            <w:pPr>
              <w:jc w:val="left"/>
            </w:pPr>
            <w:r>
              <w:rPr>
                <w:rFonts w:ascii="Calibri" w:hAnsi="Calibri"/>
                <w:color w:val="333333"/>
                <w:sz w:val="20"/>
              </w:rPr>
              <w:t>2026 (Proj.)</w:t>
            </w:r>
          </w:p>
        </w:tc>
        <w:tc>
          <w:tcPr>
            <w:tcW w:type="dxa" w:w="2592"/>
            <w:shd w:fill="FFFFFF"/>
            <w:tcMar>
              <w:top w:w="100" w:type="dxa"/>
              <w:bottom w:w="100" w:type="dxa"/>
              <w:left w:w="150" w:type="dxa"/>
              <w:right w:w="150" w:type="dxa"/>
            </w:tcMar>
          </w:tcPr>
          <w:p>
            <w:pPr>
              <w:jc w:val="left"/>
            </w:pPr>
            <w:r>
              <w:rPr>
                <w:rFonts w:ascii="Calibri" w:hAnsi="Calibri"/>
                <w:color w:val="333333"/>
                <w:sz w:val="20"/>
              </w:rPr>
              <w:t>~62.1%</w:t>
            </w:r>
          </w:p>
        </w:tc>
        <w:tc>
          <w:tcPr>
            <w:tcW w:type="dxa" w:w="2592"/>
            <w:shd w:fill="FFFFFF"/>
            <w:tcMar>
              <w:top w:w="100" w:type="dxa"/>
              <w:bottom w:w="100" w:type="dxa"/>
              <w:left w:w="150" w:type="dxa"/>
              <w:right w:w="150" w:type="dxa"/>
            </w:tcMar>
          </w:tcPr>
          <w:p>
            <w:pPr>
              <w:jc w:val="left"/>
            </w:pPr>
            <w:r>
              <w:rPr>
                <w:rFonts w:ascii="Calibri" w:hAnsi="Calibri"/>
                <w:color w:val="333333"/>
                <w:sz w:val="20"/>
              </w:rPr>
              <w:t>~54.8%</w:t>
            </w:r>
          </w:p>
        </w:tc>
        <w:tc>
          <w:tcPr>
            <w:tcW w:type="dxa" w:w="2592"/>
            <w:shd w:fill="FFFFFF"/>
            <w:tcMar>
              <w:top w:w="100" w:type="dxa"/>
              <w:bottom w:w="100" w:type="dxa"/>
              <w:left w:w="150" w:type="dxa"/>
              <w:right w:w="150" w:type="dxa"/>
            </w:tcMar>
          </w:tcPr>
          <w:p>
            <w:pPr>
              <w:jc w:val="left"/>
            </w:pPr>
            <w:r>
              <w:rPr>
                <w:rFonts w:ascii="Calibri" w:hAnsi="Calibri"/>
                <w:color w:val="333333"/>
                <w:sz w:val="20"/>
              </w:rPr>
              <w:t>Multimodal AI Assistants</w:t>
            </w:r>
          </w:p>
        </w:tc>
      </w:tr>
    </w:tbl>
    <w:p/>
    <w:p>
      <w:pPr>
        <w:keepNext/>
        <w:spacing w:before="320" w:after="120"/>
      </w:pPr>
      <w:r>
        <w:rPr>
          <w:rFonts w:ascii="Calibri" w:hAnsi="Calibri"/>
          <w:b/>
          <w:color w:val="1F497D"/>
          <w:sz w:val="32"/>
        </w:rPr>
        <w:t>9. Country-Level Usage Breakdown</w:t>
      </w:r>
    </w:p>
    <w:p>
      <w:pPr>
        <w:spacing w:after="120" w:line="276" w:lineRule="auto"/>
      </w:pPr>
      <w:r>
        <w:rPr>
          <w:rFonts w:ascii="Calibri" w:hAnsi="Calibri"/>
          <w:color w:val="333333"/>
          <w:sz w:val="22"/>
        </w:rPr>
        <w:t>Analysis of average daily usage minutes highlights significant variance across different countries. Factors influencing country-level engagement include national technology infrastructure, educational funding, and digital literacy.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97D"/>
            <w:tcMar>
              <w:top w:w="120" w:type="dxa"/>
              <w:bottom w:w="120" w:type="dxa"/>
              <w:left w:w="150" w:type="dxa"/>
              <w:right w:w="150" w:type="dxa"/>
            </w:tcMar>
          </w:tcPr>
          <w:p>
            <w:pPr>
              <w:jc w:val="left"/>
            </w:pPr>
            <w:r>
              <w:rPr>
                <w:rFonts w:ascii="Calibri" w:hAnsi="Calibri"/>
                <w:b/>
                <w:color w:val="FFFFFF"/>
                <w:sz w:val="21"/>
              </w:rPr>
              <w:t>Country</w:t>
            </w:r>
          </w:p>
        </w:tc>
        <w:tc>
          <w:tcPr>
            <w:tcW w:type="dxa" w:w="2304"/>
            <w:shd w:fill="1F497D"/>
            <w:tcMar>
              <w:top w:w="120" w:type="dxa"/>
              <w:bottom w:w="120" w:type="dxa"/>
              <w:left w:w="150" w:type="dxa"/>
              <w:right w:w="150" w:type="dxa"/>
            </w:tcMar>
          </w:tcPr>
          <w:p>
            <w:pPr>
              <w:jc w:val="left"/>
            </w:pPr>
            <w:r>
              <w:rPr>
                <w:rFonts w:ascii="Calibri" w:hAnsi="Calibri"/>
                <w:b/>
                <w:color w:val="FFFFFF"/>
                <w:sz w:val="21"/>
              </w:rPr>
              <w:t>Avg Daily AI Usage (Min)</w:t>
            </w:r>
          </w:p>
        </w:tc>
        <w:tc>
          <w:tcPr>
            <w:tcW w:type="dxa" w:w="3024"/>
            <w:shd w:fill="1F497D"/>
            <w:tcMar>
              <w:top w:w="120" w:type="dxa"/>
              <w:bottom w:w="120" w:type="dxa"/>
              <w:left w:w="150" w:type="dxa"/>
              <w:right w:w="150" w:type="dxa"/>
            </w:tcMar>
          </w:tcPr>
          <w:p>
            <w:pPr>
              <w:jc w:val="left"/>
            </w:pPr>
            <w:r>
              <w:rPr>
                <w:rFonts w:ascii="Calibri" w:hAnsi="Calibri"/>
                <w:b/>
                <w:color w:val="FFFFFF"/>
                <w:sz w:val="21"/>
              </w:rPr>
              <w:t>Primary Usage Focus</w:t>
            </w:r>
          </w:p>
        </w:tc>
        <w:tc>
          <w:tcPr>
            <w:tcW w:type="dxa" w:w="2016"/>
            <w:shd w:fill="1F497D"/>
            <w:tcMar>
              <w:top w:w="120" w:type="dxa"/>
              <w:bottom w:w="120" w:type="dxa"/>
              <w:left w:w="150" w:type="dxa"/>
              <w:right w:w="150" w:type="dxa"/>
            </w:tcMar>
          </w:tcPr>
          <w:p>
            <w:pPr>
              <w:jc w:val="left"/>
            </w:pPr>
            <w:r>
              <w:rPr>
                <w:rFonts w:ascii="Calibri" w:hAnsi="Calibri"/>
                <w:b/>
                <w:color w:val="FFFFFF"/>
                <w:sz w:val="21"/>
              </w:rPr>
              <w:t>Infrastructure Readiness</w:t>
            </w:r>
          </w:p>
        </w:tc>
      </w:tr>
      <w:tr>
        <w:tc>
          <w:tcPr>
            <w:tcW w:type="dxa" w:w="2016"/>
            <w:shd w:fill="FFFFFF"/>
            <w:tcMar>
              <w:top w:w="100" w:type="dxa"/>
              <w:bottom w:w="100" w:type="dxa"/>
              <w:left w:w="150" w:type="dxa"/>
              <w:right w:w="150" w:type="dxa"/>
            </w:tcMar>
          </w:tcPr>
          <w:p>
            <w:pPr>
              <w:jc w:val="left"/>
            </w:pPr>
            <w:r>
              <w:rPr>
                <w:rFonts w:ascii="Calibri" w:hAnsi="Calibri"/>
                <w:color w:val="333333"/>
                <w:sz w:val="20"/>
              </w:rPr>
              <w:t>Canada</w:t>
            </w:r>
          </w:p>
        </w:tc>
        <w:tc>
          <w:tcPr>
            <w:tcW w:type="dxa" w:w="2304"/>
            <w:shd w:fill="FFFFFF"/>
            <w:tcMar>
              <w:top w:w="100" w:type="dxa"/>
              <w:bottom w:w="100" w:type="dxa"/>
              <w:left w:w="150" w:type="dxa"/>
              <w:right w:w="150" w:type="dxa"/>
            </w:tcMar>
          </w:tcPr>
          <w:p>
            <w:pPr>
              <w:jc w:val="left"/>
            </w:pPr>
            <w:r>
              <w:rPr>
                <w:rFonts w:ascii="Calibri" w:hAnsi="Calibri"/>
                <w:color w:val="333333"/>
                <w:sz w:val="20"/>
              </w:rPr>
              <w:t>~31.2 Min</w:t>
            </w:r>
          </w:p>
        </w:tc>
        <w:tc>
          <w:tcPr>
            <w:tcW w:type="dxa" w:w="3024"/>
            <w:shd w:fill="FFFFFF"/>
            <w:tcMar>
              <w:top w:w="100" w:type="dxa"/>
              <w:bottom w:w="100" w:type="dxa"/>
              <w:left w:w="150" w:type="dxa"/>
              <w:right w:w="150" w:type="dxa"/>
            </w:tcMar>
          </w:tcPr>
          <w:p>
            <w:pPr>
              <w:jc w:val="left"/>
            </w:pPr>
            <w:r>
              <w:rPr>
                <w:rFonts w:ascii="Calibri" w:hAnsi="Calibri"/>
                <w:color w:val="333333"/>
                <w:sz w:val="20"/>
              </w:rPr>
              <w:t>Research &amp; Automated Writing</w:t>
            </w:r>
          </w:p>
        </w:tc>
        <w:tc>
          <w:tcPr>
            <w:tcW w:type="dxa" w:w="2016"/>
            <w:shd w:fill="FFFFFF"/>
            <w:tcMar>
              <w:top w:w="100" w:type="dxa"/>
              <w:bottom w:w="100" w:type="dxa"/>
              <w:left w:w="150" w:type="dxa"/>
              <w:right w:w="150" w:type="dxa"/>
            </w:tcMar>
          </w:tcPr>
          <w:p>
            <w:pPr>
              <w:jc w:val="left"/>
            </w:pPr>
            <w:r>
              <w:rPr>
                <w:rFonts w:ascii="Calibri" w:hAnsi="Calibri"/>
                <w:color w:val="333333"/>
                <w:sz w:val="20"/>
              </w:rPr>
              <w:t>High</w:t>
            </w:r>
          </w:p>
        </w:tc>
      </w:tr>
      <w:tr>
        <w:tc>
          <w:tcPr>
            <w:tcW w:type="dxa" w:w="2016"/>
            <w:shd w:fill="F2F5F8"/>
            <w:tcMar>
              <w:top w:w="100" w:type="dxa"/>
              <w:bottom w:w="100" w:type="dxa"/>
              <w:left w:w="150" w:type="dxa"/>
              <w:right w:w="150" w:type="dxa"/>
            </w:tcMar>
          </w:tcPr>
          <w:p>
            <w:pPr>
              <w:jc w:val="left"/>
            </w:pPr>
            <w:r>
              <w:rPr>
                <w:rFonts w:ascii="Calibri" w:hAnsi="Calibri"/>
                <w:color w:val="333333"/>
                <w:sz w:val="20"/>
              </w:rPr>
              <w:t>Australia</w:t>
            </w:r>
          </w:p>
        </w:tc>
        <w:tc>
          <w:tcPr>
            <w:tcW w:type="dxa" w:w="2304"/>
            <w:shd w:fill="F2F5F8"/>
            <w:tcMar>
              <w:top w:w="100" w:type="dxa"/>
              <w:bottom w:w="100" w:type="dxa"/>
              <w:left w:w="150" w:type="dxa"/>
              <w:right w:w="150" w:type="dxa"/>
            </w:tcMar>
          </w:tcPr>
          <w:p>
            <w:pPr>
              <w:jc w:val="left"/>
            </w:pPr>
            <w:r>
              <w:rPr>
                <w:rFonts w:ascii="Calibri" w:hAnsi="Calibri"/>
                <w:color w:val="333333"/>
                <w:sz w:val="20"/>
              </w:rPr>
              <w:t>~30.5 Min</w:t>
            </w:r>
          </w:p>
        </w:tc>
        <w:tc>
          <w:tcPr>
            <w:tcW w:type="dxa" w:w="3024"/>
            <w:shd w:fill="F2F5F8"/>
            <w:tcMar>
              <w:top w:w="100" w:type="dxa"/>
              <w:bottom w:w="100" w:type="dxa"/>
              <w:left w:w="150" w:type="dxa"/>
              <w:right w:w="150" w:type="dxa"/>
            </w:tcMar>
          </w:tcPr>
          <w:p>
            <w:pPr>
              <w:jc w:val="left"/>
            </w:pPr>
            <w:r>
              <w:rPr>
                <w:rFonts w:ascii="Calibri" w:hAnsi="Calibri"/>
                <w:color w:val="333333"/>
                <w:sz w:val="20"/>
              </w:rPr>
              <w:t>Interactive Tutoring &amp; STEM</w:t>
            </w:r>
          </w:p>
        </w:tc>
        <w:tc>
          <w:tcPr>
            <w:tcW w:type="dxa" w:w="2016"/>
            <w:shd w:fill="F2F5F8"/>
            <w:tcMar>
              <w:top w:w="100" w:type="dxa"/>
              <w:bottom w:w="100" w:type="dxa"/>
              <w:left w:w="150" w:type="dxa"/>
              <w:right w:w="150" w:type="dxa"/>
            </w:tcMar>
          </w:tcPr>
          <w:p>
            <w:pPr>
              <w:jc w:val="left"/>
            </w:pPr>
            <w:r>
              <w:rPr>
                <w:rFonts w:ascii="Calibri" w:hAnsi="Calibri"/>
                <w:color w:val="333333"/>
                <w:sz w:val="20"/>
              </w:rPr>
              <w:t>High</w:t>
            </w:r>
          </w:p>
        </w:tc>
      </w:tr>
      <w:tr>
        <w:tc>
          <w:tcPr>
            <w:tcW w:type="dxa" w:w="2016"/>
            <w:shd w:fill="FFFFFF"/>
            <w:tcMar>
              <w:top w:w="100" w:type="dxa"/>
              <w:bottom w:w="100" w:type="dxa"/>
              <w:left w:w="150" w:type="dxa"/>
              <w:right w:w="150" w:type="dxa"/>
            </w:tcMar>
          </w:tcPr>
          <w:p>
            <w:pPr>
              <w:jc w:val="left"/>
            </w:pPr>
            <w:r>
              <w:rPr>
                <w:rFonts w:ascii="Calibri" w:hAnsi="Calibri"/>
                <w:color w:val="333333"/>
                <w:sz w:val="20"/>
              </w:rPr>
              <w:t>Nigeria</w:t>
            </w:r>
          </w:p>
        </w:tc>
        <w:tc>
          <w:tcPr>
            <w:tcW w:type="dxa" w:w="2304"/>
            <w:shd w:fill="FFFFFF"/>
            <w:tcMar>
              <w:top w:w="100" w:type="dxa"/>
              <w:bottom w:w="100" w:type="dxa"/>
              <w:left w:w="150" w:type="dxa"/>
              <w:right w:w="150" w:type="dxa"/>
            </w:tcMar>
          </w:tcPr>
          <w:p>
            <w:pPr>
              <w:jc w:val="left"/>
            </w:pPr>
            <w:r>
              <w:rPr>
                <w:rFonts w:ascii="Calibri" w:hAnsi="Calibri"/>
                <w:color w:val="333333"/>
                <w:sz w:val="20"/>
              </w:rPr>
              <w:t>~29.8 Min</w:t>
            </w:r>
          </w:p>
        </w:tc>
        <w:tc>
          <w:tcPr>
            <w:tcW w:type="dxa" w:w="3024"/>
            <w:shd w:fill="FFFFFF"/>
            <w:tcMar>
              <w:top w:w="100" w:type="dxa"/>
              <w:bottom w:w="100" w:type="dxa"/>
              <w:left w:w="150" w:type="dxa"/>
              <w:right w:w="150" w:type="dxa"/>
            </w:tcMar>
          </w:tcPr>
          <w:p>
            <w:pPr>
              <w:jc w:val="left"/>
            </w:pPr>
            <w:r>
              <w:rPr>
                <w:rFonts w:ascii="Calibri" w:hAnsi="Calibri"/>
                <w:color w:val="333333"/>
                <w:sz w:val="20"/>
              </w:rPr>
              <w:t>Mobile Learning &amp; Language AI</w:t>
            </w:r>
          </w:p>
        </w:tc>
        <w:tc>
          <w:tcPr>
            <w:tcW w:type="dxa" w:w="2016"/>
            <w:shd w:fill="FFFFFF"/>
            <w:tcMar>
              <w:top w:w="100" w:type="dxa"/>
              <w:bottom w:w="100" w:type="dxa"/>
              <w:left w:w="150" w:type="dxa"/>
              <w:right w:w="150" w:type="dxa"/>
            </w:tcMar>
          </w:tcPr>
          <w:p>
            <w:pPr>
              <w:jc w:val="left"/>
            </w:pPr>
            <w:r>
              <w:rPr>
                <w:rFonts w:ascii="Calibri" w:hAnsi="Calibri"/>
                <w:color w:val="333333"/>
                <w:sz w:val="20"/>
              </w:rPr>
              <w:t>Moderate / Emerging</w:t>
            </w:r>
          </w:p>
        </w:tc>
      </w:tr>
      <w:tr>
        <w:tc>
          <w:tcPr>
            <w:tcW w:type="dxa" w:w="2016"/>
            <w:shd w:fill="F2F5F8"/>
            <w:tcMar>
              <w:top w:w="100" w:type="dxa"/>
              <w:bottom w:w="100" w:type="dxa"/>
              <w:left w:w="150" w:type="dxa"/>
              <w:right w:w="150" w:type="dxa"/>
            </w:tcMar>
          </w:tcPr>
          <w:p>
            <w:pPr>
              <w:jc w:val="left"/>
            </w:pPr>
            <w:r>
              <w:rPr>
                <w:rFonts w:ascii="Calibri" w:hAnsi="Calibri"/>
                <w:color w:val="333333"/>
                <w:sz w:val="20"/>
              </w:rPr>
              <w:t>Pakistan</w:t>
            </w:r>
          </w:p>
        </w:tc>
        <w:tc>
          <w:tcPr>
            <w:tcW w:type="dxa" w:w="2304"/>
            <w:shd w:fill="F2F5F8"/>
            <w:tcMar>
              <w:top w:w="100" w:type="dxa"/>
              <w:bottom w:w="100" w:type="dxa"/>
              <w:left w:w="150" w:type="dxa"/>
              <w:right w:w="150" w:type="dxa"/>
            </w:tcMar>
          </w:tcPr>
          <w:p>
            <w:pPr>
              <w:jc w:val="left"/>
            </w:pPr>
            <w:r>
              <w:rPr>
                <w:rFonts w:ascii="Calibri" w:hAnsi="Calibri"/>
                <w:color w:val="333333"/>
                <w:sz w:val="20"/>
              </w:rPr>
              <w:t>~29.2 Min</w:t>
            </w:r>
          </w:p>
        </w:tc>
        <w:tc>
          <w:tcPr>
            <w:tcW w:type="dxa" w:w="3024"/>
            <w:shd w:fill="F2F5F8"/>
            <w:tcMar>
              <w:top w:w="100" w:type="dxa"/>
              <w:bottom w:w="100" w:type="dxa"/>
              <w:left w:w="150" w:type="dxa"/>
              <w:right w:w="150" w:type="dxa"/>
            </w:tcMar>
          </w:tcPr>
          <w:p>
            <w:pPr>
              <w:jc w:val="left"/>
            </w:pPr>
            <w:r>
              <w:rPr>
                <w:rFonts w:ascii="Calibri" w:hAnsi="Calibri"/>
                <w:color w:val="333333"/>
                <w:sz w:val="20"/>
              </w:rPr>
              <w:t>Skill Acquisition &amp; Coding Help</w:t>
            </w:r>
          </w:p>
        </w:tc>
        <w:tc>
          <w:tcPr>
            <w:tcW w:type="dxa" w:w="2016"/>
            <w:shd w:fill="F2F5F8"/>
            <w:tcMar>
              <w:top w:w="100" w:type="dxa"/>
              <w:bottom w:w="100" w:type="dxa"/>
              <w:left w:w="150" w:type="dxa"/>
              <w:right w:w="150" w:type="dxa"/>
            </w:tcMar>
          </w:tcPr>
          <w:p>
            <w:pPr>
              <w:jc w:val="left"/>
            </w:pPr>
            <w:r>
              <w:rPr>
                <w:rFonts w:ascii="Calibri" w:hAnsi="Calibri"/>
                <w:color w:val="333333"/>
                <w:sz w:val="20"/>
              </w:rPr>
              <w:t>Moderate</w:t>
            </w:r>
          </w:p>
        </w:tc>
      </w:tr>
      <w:tr>
        <w:tc>
          <w:tcPr>
            <w:tcW w:type="dxa" w:w="2016"/>
            <w:shd w:fill="FFFFFF"/>
            <w:tcMar>
              <w:top w:w="100" w:type="dxa"/>
              <w:bottom w:w="100" w:type="dxa"/>
              <w:left w:w="150" w:type="dxa"/>
              <w:right w:w="150" w:type="dxa"/>
            </w:tcMar>
          </w:tcPr>
          <w:p>
            <w:pPr>
              <w:jc w:val="left"/>
            </w:pPr>
            <w:r>
              <w:rPr>
                <w:rFonts w:ascii="Calibri" w:hAnsi="Calibri"/>
                <w:color w:val="333333"/>
                <w:sz w:val="20"/>
              </w:rPr>
              <w:t>China</w:t>
            </w:r>
          </w:p>
        </w:tc>
        <w:tc>
          <w:tcPr>
            <w:tcW w:type="dxa" w:w="2304"/>
            <w:shd w:fill="FFFFFF"/>
            <w:tcMar>
              <w:top w:w="100" w:type="dxa"/>
              <w:bottom w:w="100" w:type="dxa"/>
              <w:left w:w="150" w:type="dxa"/>
              <w:right w:w="150" w:type="dxa"/>
            </w:tcMar>
          </w:tcPr>
          <w:p>
            <w:pPr>
              <w:jc w:val="left"/>
            </w:pPr>
            <w:r>
              <w:rPr>
                <w:rFonts w:ascii="Calibri" w:hAnsi="Calibri"/>
                <w:color w:val="333333"/>
                <w:sz w:val="20"/>
              </w:rPr>
              <w:t>~28.7 Min</w:t>
            </w:r>
          </w:p>
        </w:tc>
        <w:tc>
          <w:tcPr>
            <w:tcW w:type="dxa" w:w="3024"/>
            <w:shd w:fill="FFFFFF"/>
            <w:tcMar>
              <w:top w:w="100" w:type="dxa"/>
              <w:bottom w:w="100" w:type="dxa"/>
              <w:left w:w="150" w:type="dxa"/>
              <w:right w:w="150" w:type="dxa"/>
            </w:tcMar>
          </w:tcPr>
          <w:p>
            <w:pPr>
              <w:jc w:val="left"/>
            </w:pPr>
            <w:r>
              <w:rPr>
                <w:rFonts w:ascii="Calibri" w:hAnsi="Calibri"/>
                <w:color w:val="333333"/>
                <w:sz w:val="20"/>
              </w:rPr>
              <w:t>Adaptive Testing &amp; STEM Drill</w:t>
            </w:r>
          </w:p>
        </w:tc>
        <w:tc>
          <w:tcPr>
            <w:tcW w:type="dxa" w:w="2016"/>
            <w:shd w:fill="FFFFFF"/>
            <w:tcMar>
              <w:top w:w="100" w:type="dxa"/>
              <w:bottom w:w="100" w:type="dxa"/>
              <w:left w:w="150" w:type="dxa"/>
              <w:right w:w="150" w:type="dxa"/>
            </w:tcMar>
          </w:tcPr>
          <w:p>
            <w:pPr>
              <w:jc w:val="left"/>
            </w:pPr>
            <w:r>
              <w:rPr>
                <w:rFonts w:ascii="Calibri" w:hAnsi="Calibri"/>
                <w:color w:val="333333"/>
                <w:sz w:val="20"/>
              </w:rPr>
              <w:t>Very High</w:t>
            </w:r>
          </w:p>
        </w:tc>
      </w:tr>
      <w:tr>
        <w:tc>
          <w:tcPr>
            <w:tcW w:type="dxa" w:w="2016"/>
            <w:shd w:fill="F2F5F8"/>
            <w:tcMar>
              <w:top w:w="100" w:type="dxa"/>
              <w:bottom w:w="100" w:type="dxa"/>
              <w:left w:w="150" w:type="dxa"/>
              <w:right w:w="150" w:type="dxa"/>
            </w:tcMar>
          </w:tcPr>
          <w:p>
            <w:pPr>
              <w:jc w:val="left"/>
            </w:pPr>
            <w:r>
              <w:rPr>
                <w:rFonts w:ascii="Calibri" w:hAnsi="Calibri"/>
                <w:color w:val="333333"/>
                <w:sz w:val="20"/>
              </w:rPr>
              <w:t>India</w:t>
            </w:r>
          </w:p>
        </w:tc>
        <w:tc>
          <w:tcPr>
            <w:tcW w:type="dxa" w:w="2304"/>
            <w:shd w:fill="F2F5F8"/>
            <w:tcMar>
              <w:top w:w="100" w:type="dxa"/>
              <w:bottom w:w="100" w:type="dxa"/>
              <w:left w:w="150" w:type="dxa"/>
              <w:right w:w="150" w:type="dxa"/>
            </w:tcMar>
          </w:tcPr>
          <w:p>
            <w:pPr>
              <w:jc w:val="left"/>
            </w:pPr>
            <w:r>
              <w:rPr>
                <w:rFonts w:ascii="Calibri" w:hAnsi="Calibri"/>
                <w:color w:val="333333"/>
                <w:sz w:val="20"/>
              </w:rPr>
              <w:t>~28.1 Min</w:t>
            </w:r>
          </w:p>
        </w:tc>
        <w:tc>
          <w:tcPr>
            <w:tcW w:type="dxa" w:w="3024"/>
            <w:shd w:fill="F2F5F8"/>
            <w:tcMar>
              <w:top w:w="100" w:type="dxa"/>
              <w:bottom w:w="100" w:type="dxa"/>
              <w:left w:w="150" w:type="dxa"/>
              <w:right w:w="150" w:type="dxa"/>
            </w:tcMar>
          </w:tcPr>
          <w:p>
            <w:pPr>
              <w:jc w:val="left"/>
            </w:pPr>
            <w:r>
              <w:rPr>
                <w:rFonts w:ascii="Calibri" w:hAnsi="Calibri"/>
                <w:color w:val="333333"/>
                <w:sz w:val="20"/>
              </w:rPr>
              <w:t>Exam Prep &amp; Code Generation</w:t>
            </w:r>
          </w:p>
        </w:tc>
        <w:tc>
          <w:tcPr>
            <w:tcW w:type="dxa" w:w="2016"/>
            <w:shd w:fill="F2F5F8"/>
            <w:tcMar>
              <w:top w:w="100" w:type="dxa"/>
              <w:bottom w:w="100" w:type="dxa"/>
              <w:left w:w="150" w:type="dxa"/>
              <w:right w:w="150" w:type="dxa"/>
            </w:tcMar>
          </w:tcPr>
          <w:p>
            <w:pPr>
              <w:jc w:val="left"/>
            </w:pPr>
            <w:r>
              <w:rPr>
                <w:rFonts w:ascii="Calibri" w:hAnsi="Calibri"/>
                <w:color w:val="333333"/>
                <w:sz w:val="20"/>
              </w:rPr>
              <w:t>High / Rapid Scaling</w:t>
            </w:r>
          </w:p>
        </w:tc>
      </w:tr>
      <w:tr>
        <w:tc>
          <w:tcPr>
            <w:tcW w:type="dxa" w:w="2016"/>
            <w:shd w:fill="FFFFFF"/>
            <w:tcMar>
              <w:top w:w="100" w:type="dxa"/>
              <w:bottom w:w="100" w:type="dxa"/>
              <w:left w:w="150" w:type="dxa"/>
              <w:right w:w="150" w:type="dxa"/>
            </w:tcMar>
          </w:tcPr>
          <w:p>
            <w:pPr>
              <w:jc w:val="left"/>
            </w:pPr>
            <w:r>
              <w:rPr>
                <w:rFonts w:ascii="Calibri" w:hAnsi="Calibri"/>
                <w:color w:val="333333"/>
                <w:sz w:val="20"/>
              </w:rPr>
              <w:t>United Kingdom</w:t>
            </w:r>
          </w:p>
        </w:tc>
        <w:tc>
          <w:tcPr>
            <w:tcW w:type="dxa" w:w="2304"/>
            <w:shd w:fill="FFFFFF"/>
            <w:tcMar>
              <w:top w:w="100" w:type="dxa"/>
              <w:bottom w:w="100" w:type="dxa"/>
              <w:left w:w="150" w:type="dxa"/>
              <w:right w:w="150" w:type="dxa"/>
            </w:tcMar>
          </w:tcPr>
          <w:p>
            <w:pPr>
              <w:jc w:val="left"/>
            </w:pPr>
            <w:r>
              <w:rPr>
                <w:rFonts w:ascii="Calibri" w:hAnsi="Calibri"/>
                <w:color w:val="333333"/>
                <w:sz w:val="20"/>
              </w:rPr>
              <w:t>~27.6 Min</w:t>
            </w:r>
          </w:p>
        </w:tc>
        <w:tc>
          <w:tcPr>
            <w:tcW w:type="dxa" w:w="3024"/>
            <w:shd w:fill="FFFFFF"/>
            <w:tcMar>
              <w:top w:w="100" w:type="dxa"/>
              <w:bottom w:w="100" w:type="dxa"/>
              <w:left w:w="150" w:type="dxa"/>
              <w:right w:w="150" w:type="dxa"/>
            </w:tcMar>
          </w:tcPr>
          <w:p>
            <w:pPr>
              <w:jc w:val="left"/>
            </w:pPr>
            <w:r>
              <w:rPr>
                <w:rFonts w:ascii="Calibri" w:hAnsi="Calibri"/>
                <w:color w:val="333333"/>
                <w:sz w:val="20"/>
              </w:rPr>
              <w:t>Essay Structuring &amp; Research</w:t>
            </w:r>
          </w:p>
        </w:tc>
        <w:tc>
          <w:tcPr>
            <w:tcW w:type="dxa" w:w="2016"/>
            <w:shd w:fill="FFFFFF"/>
            <w:tcMar>
              <w:top w:w="100" w:type="dxa"/>
              <w:bottom w:w="100" w:type="dxa"/>
              <w:left w:w="150" w:type="dxa"/>
              <w:right w:w="150" w:type="dxa"/>
            </w:tcMar>
          </w:tcPr>
          <w:p>
            <w:pPr>
              <w:jc w:val="left"/>
            </w:pPr>
            <w:r>
              <w:rPr>
                <w:rFonts w:ascii="Calibri" w:hAnsi="Calibri"/>
                <w:color w:val="333333"/>
                <w:sz w:val="20"/>
              </w:rPr>
              <w:t>High</w:t>
            </w:r>
          </w:p>
        </w:tc>
      </w:tr>
      <w:tr>
        <w:tc>
          <w:tcPr>
            <w:tcW w:type="dxa" w:w="2016"/>
            <w:shd w:fill="F2F5F8"/>
            <w:tcMar>
              <w:top w:w="100" w:type="dxa"/>
              <w:bottom w:w="100" w:type="dxa"/>
              <w:left w:w="150" w:type="dxa"/>
              <w:right w:w="150" w:type="dxa"/>
            </w:tcMar>
          </w:tcPr>
          <w:p>
            <w:pPr>
              <w:jc w:val="left"/>
            </w:pPr>
            <w:r>
              <w:rPr>
                <w:rFonts w:ascii="Calibri" w:hAnsi="Calibri"/>
                <w:color w:val="333333"/>
                <w:sz w:val="20"/>
              </w:rPr>
              <w:t>Germany</w:t>
            </w:r>
          </w:p>
        </w:tc>
        <w:tc>
          <w:tcPr>
            <w:tcW w:type="dxa" w:w="2304"/>
            <w:shd w:fill="F2F5F8"/>
            <w:tcMar>
              <w:top w:w="100" w:type="dxa"/>
              <w:bottom w:w="100" w:type="dxa"/>
              <w:left w:w="150" w:type="dxa"/>
              <w:right w:w="150" w:type="dxa"/>
            </w:tcMar>
          </w:tcPr>
          <w:p>
            <w:pPr>
              <w:jc w:val="left"/>
            </w:pPr>
            <w:r>
              <w:rPr>
                <w:rFonts w:ascii="Calibri" w:hAnsi="Calibri"/>
                <w:color w:val="333333"/>
                <w:sz w:val="20"/>
              </w:rPr>
              <w:t>~26.9 Min</w:t>
            </w:r>
          </w:p>
        </w:tc>
        <w:tc>
          <w:tcPr>
            <w:tcW w:type="dxa" w:w="3024"/>
            <w:shd w:fill="F2F5F8"/>
            <w:tcMar>
              <w:top w:w="100" w:type="dxa"/>
              <w:bottom w:w="100" w:type="dxa"/>
              <w:left w:w="150" w:type="dxa"/>
              <w:right w:w="150" w:type="dxa"/>
            </w:tcMar>
          </w:tcPr>
          <w:p>
            <w:pPr>
              <w:jc w:val="left"/>
            </w:pPr>
            <w:r>
              <w:rPr>
                <w:rFonts w:ascii="Calibri" w:hAnsi="Calibri"/>
                <w:color w:val="333333"/>
                <w:sz w:val="20"/>
              </w:rPr>
              <w:t>Technical Analysis &amp; Data Science</w:t>
            </w:r>
          </w:p>
        </w:tc>
        <w:tc>
          <w:tcPr>
            <w:tcW w:type="dxa" w:w="2016"/>
            <w:shd w:fill="F2F5F8"/>
            <w:tcMar>
              <w:top w:w="100" w:type="dxa"/>
              <w:bottom w:w="100" w:type="dxa"/>
              <w:left w:w="150" w:type="dxa"/>
              <w:right w:w="150" w:type="dxa"/>
            </w:tcMar>
          </w:tcPr>
          <w:p>
            <w:pPr>
              <w:jc w:val="left"/>
            </w:pPr>
            <w:r>
              <w:rPr>
                <w:rFonts w:ascii="Calibri" w:hAnsi="Calibri"/>
                <w:color w:val="333333"/>
                <w:sz w:val="20"/>
              </w:rPr>
              <w:t>High</w:t>
            </w:r>
          </w:p>
        </w:tc>
      </w:tr>
      <w:tr>
        <w:tc>
          <w:tcPr>
            <w:tcW w:type="dxa" w:w="2016"/>
            <w:shd w:fill="FFFFFF"/>
            <w:tcMar>
              <w:top w:w="100" w:type="dxa"/>
              <w:bottom w:w="100" w:type="dxa"/>
              <w:left w:w="150" w:type="dxa"/>
              <w:right w:w="150" w:type="dxa"/>
            </w:tcMar>
          </w:tcPr>
          <w:p>
            <w:pPr>
              <w:jc w:val="left"/>
            </w:pPr>
            <w:r>
              <w:rPr>
                <w:rFonts w:ascii="Calibri" w:hAnsi="Calibri"/>
                <w:color w:val="333333"/>
                <w:sz w:val="20"/>
              </w:rPr>
              <w:t>Brazil</w:t>
            </w:r>
          </w:p>
        </w:tc>
        <w:tc>
          <w:tcPr>
            <w:tcW w:type="dxa" w:w="2304"/>
            <w:shd w:fill="FFFFFF"/>
            <w:tcMar>
              <w:top w:w="100" w:type="dxa"/>
              <w:bottom w:w="100" w:type="dxa"/>
              <w:left w:w="150" w:type="dxa"/>
              <w:right w:w="150" w:type="dxa"/>
            </w:tcMar>
          </w:tcPr>
          <w:p>
            <w:pPr>
              <w:jc w:val="left"/>
            </w:pPr>
            <w:r>
              <w:rPr>
                <w:rFonts w:ascii="Calibri" w:hAnsi="Calibri"/>
                <w:color w:val="333333"/>
                <w:sz w:val="20"/>
              </w:rPr>
              <w:t>~26.2 Min</w:t>
            </w:r>
          </w:p>
        </w:tc>
        <w:tc>
          <w:tcPr>
            <w:tcW w:type="dxa" w:w="3024"/>
            <w:shd w:fill="FFFFFF"/>
            <w:tcMar>
              <w:top w:w="100" w:type="dxa"/>
              <w:bottom w:w="100" w:type="dxa"/>
              <w:left w:w="150" w:type="dxa"/>
              <w:right w:w="150" w:type="dxa"/>
            </w:tcMar>
          </w:tcPr>
          <w:p>
            <w:pPr>
              <w:jc w:val="left"/>
            </w:pPr>
            <w:r>
              <w:rPr>
                <w:rFonts w:ascii="Calibri" w:hAnsi="Calibri"/>
                <w:color w:val="333333"/>
                <w:sz w:val="20"/>
              </w:rPr>
              <w:t>Language Translation &amp; Homework</w:t>
            </w:r>
          </w:p>
        </w:tc>
        <w:tc>
          <w:tcPr>
            <w:tcW w:type="dxa" w:w="2016"/>
            <w:shd w:fill="FFFFFF"/>
            <w:tcMar>
              <w:top w:w="100" w:type="dxa"/>
              <w:bottom w:w="100" w:type="dxa"/>
              <w:left w:w="150" w:type="dxa"/>
              <w:right w:w="150" w:type="dxa"/>
            </w:tcMar>
          </w:tcPr>
          <w:p>
            <w:pPr>
              <w:jc w:val="left"/>
            </w:pPr>
            <w:r>
              <w:rPr>
                <w:rFonts w:ascii="Calibri" w:hAnsi="Calibri"/>
                <w:color w:val="333333"/>
                <w:sz w:val="20"/>
              </w:rPr>
              <w:t>Moderate</w:t>
            </w:r>
          </w:p>
        </w:tc>
      </w:tr>
      <w:tr>
        <w:tc>
          <w:tcPr>
            <w:tcW w:type="dxa" w:w="2016"/>
            <w:shd w:fill="F2F5F8"/>
            <w:tcMar>
              <w:top w:w="100" w:type="dxa"/>
              <w:bottom w:w="100" w:type="dxa"/>
              <w:left w:w="150" w:type="dxa"/>
              <w:right w:w="150" w:type="dxa"/>
            </w:tcMar>
          </w:tcPr>
          <w:p>
            <w:pPr>
              <w:jc w:val="left"/>
            </w:pPr>
            <w:r>
              <w:rPr>
                <w:rFonts w:ascii="Calibri" w:hAnsi="Calibri"/>
                <w:color w:val="333333"/>
                <w:sz w:val="20"/>
              </w:rPr>
              <w:t>United States</w:t>
            </w:r>
          </w:p>
        </w:tc>
        <w:tc>
          <w:tcPr>
            <w:tcW w:type="dxa" w:w="2304"/>
            <w:shd w:fill="F2F5F8"/>
            <w:tcMar>
              <w:top w:w="100" w:type="dxa"/>
              <w:bottom w:w="100" w:type="dxa"/>
              <w:left w:w="150" w:type="dxa"/>
              <w:right w:w="150" w:type="dxa"/>
            </w:tcMar>
          </w:tcPr>
          <w:p>
            <w:pPr>
              <w:jc w:val="left"/>
            </w:pPr>
            <w:r>
              <w:rPr>
                <w:rFonts w:ascii="Calibri" w:hAnsi="Calibri"/>
                <w:color w:val="333333"/>
                <w:sz w:val="20"/>
              </w:rPr>
              <w:t>~25.8 Min</w:t>
            </w:r>
          </w:p>
        </w:tc>
        <w:tc>
          <w:tcPr>
            <w:tcW w:type="dxa" w:w="3024"/>
            <w:shd w:fill="F2F5F8"/>
            <w:tcMar>
              <w:top w:w="100" w:type="dxa"/>
              <w:bottom w:w="100" w:type="dxa"/>
              <w:left w:w="150" w:type="dxa"/>
              <w:right w:w="150" w:type="dxa"/>
            </w:tcMar>
          </w:tcPr>
          <w:p>
            <w:pPr>
              <w:jc w:val="left"/>
            </w:pPr>
            <w:r>
              <w:rPr>
                <w:rFonts w:ascii="Calibri" w:hAnsi="Calibri"/>
                <w:color w:val="333333"/>
                <w:sz w:val="20"/>
              </w:rPr>
              <w:t>Comprehensive Generative AI Usage</w:t>
            </w:r>
          </w:p>
        </w:tc>
        <w:tc>
          <w:tcPr>
            <w:tcW w:type="dxa" w:w="2016"/>
            <w:shd w:fill="F2F5F8"/>
            <w:tcMar>
              <w:top w:w="100" w:type="dxa"/>
              <w:bottom w:w="100" w:type="dxa"/>
              <w:left w:w="150" w:type="dxa"/>
              <w:right w:w="150" w:type="dxa"/>
            </w:tcMar>
          </w:tcPr>
          <w:p>
            <w:pPr>
              <w:jc w:val="left"/>
            </w:pPr>
            <w:r>
              <w:rPr>
                <w:rFonts w:ascii="Calibri" w:hAnsi="Calibri"/>
                <w:color w:val="333333"/>
                <w:sz w:val="20"/>
              </w:rPr>
              <w:t>Very High</w:t>
            </w:r>
          </w:p>
        </w:tc>
      </w:tr>
    </w:tbl>
    <w:p/>
    <w:p>
      <w:pPr>
        <w:spacing w:after="120" w:line="276" w:lineRule="auto"/>
      </w:pPr>
      <w:r>
        <w:rPr>
          <w:rFonts w:ascii="Calibri" w:hAnsi="Calibri"/>
          <w:color w:val="333333"/>
          <w:sz w:val="22"/>
        </w:rPr>
        <w:t>Interestingly, high usage durations in developing tech hubs (e.g., Nigeria, India, Pakistan) reflect a strong reliance on mobile AI tools for self-directed study and technical skill enhancement.</w:t>
      </w:r>
    </w:p>
    <w:p>
      <w:pPr>
        <w:keepNext/>
        <w:spacing w:before="320" w:after="120"/>
      </w:pPr>
      <w:r>
        <w:rPr>
          <w:rFonts w:ascii="Calibri" w:hAnsi="Calibri"/>
          <w:b/>
          <w:color w:val="1F497D"/>
          <w:sz w:val="32"/>
        </w:rPr>
        <w:t>10. Policy &amp; Curriculum Impact Analysis</w:t>
      </w:r>
    </w:p>
    <w:p>
      <w:pPr>
        <w:spacing w:after="120" w:line="276" w:lineRule="auto"/>
      </w:pPr>
      <w:r>
        <w:rPr>
          <w:rFonts w:ascii="Calibri" w:hAnsi="Calibri"/>
          <w:color w:val="333333"/>
          <w:sz w:val="22"/>
        </w:rPr>
        <w:t>Government policy plays a crucial role in determining how AI is integrated into educational ecosystems. This report analyzes adoption rates across three distinct policy statuses: Active, Draft, and None.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tcMar>
              <w:top w:w="120" w:type="dxa"/>
              <w:bottom w:w="120" w:type="dxa"/>
              <w:left w:w="150" w:type="dxa"/>
              <w:right w:w="150" w:type="dxa"/>
            </w:tcMar>
          </w:tcPr>
          <w:p>
            <w:pPr>
              <w:jc w:val="left"/>
            </w:pPr>
            <w:r>
              <w:rPr>
                <w:rFonts w:ascii="Calibri" w:hAnsi="Calibri"/>
                <w:b/>
                <w:color w:val="FFFFFF"/>
                <w:sz w:val="21"/>
              </w:rPr>
              <w:t>Government AI Policy</w:t>
            </w:r>
          </w:p>
        </w:tc>
        <w:tc>
          <w:tcPr>
            <w:tcW w:type="dxa" w:w="2880"/>
            <w:shd w:fill="1F497D"/>
            <w:tcMar>
              <w:top w:w="120" w:type="dxa"/>
              <w:bottom w:w="120" w:type="dxa"/>
              <w:left w:w="150" w:type="dxa"/>
              <w:right w:w="150" w:type="dxa"/>
            </w:tcMar>
          </w:tcPr>
          <w:p>
            <w:pPr>
              <w:jc w:val="left"/>
            </w:pPr>
            <w:r>
              <w:rPr>
                <w:rFonts w:ascii="Calibri" w:hAnsi="Calibri"/>
                <w:b/>
                <w:color w:val="FFFFFF"/>
                <w:sz w:val="21"/>
              </w:rPr>
              <w:t>AI in Curriculum Score / Adoption Level</w:t>
            </w:r>
          </w:p>
        </w:tc>
        <w:tc>
          <w:tcPr>
            <w:tcW w:type="dxa" w:w="4320"/>
            <w:shd w:fill="1F497D"/>
            <w:tcMar>
              <w:top w:w="120" w:type="dxa"/>
              <w:bottom w:w="120" w:type="dxa"/>
              <w:left w:w="150" w:type="dxa"/>
              <w:right w:w="150" w:type="dxa"/>
            </w:tcMar>
          </w:tcPr>
          <w:p>
            <w:pPr>
              <w:jc w:val="left"/>
            </w:pPr>
            <w:r>
              <w:rPr>
                <w:rFonts w:ascii="Calibri" w:hAnsi="Calibri"/>
                <w:b/>
                <w:color w:val="FFFFFF"/>
                <w:sz w:val="21"/>
              </w:rPr>
              <w:t>Key Characteristics</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Active</w:t>
            </w:r>
          </w:p>
        </w:tc>
        <w:tc>
          <w:tcPr>
            <w:tcW w:type="dxa" w:w="2880"/>
            <w:shd w:fill="FFFFFF"/>
            <w:tcMar>
              <w:top w:w="100" w:type="dxa"/>
              <w:bottom w:w="100" w:type="dxa"/>
              <w:left w:w="150" w:type="dxa"/>
              <w:right w:w="150" w:type="dxa"/>
            </w:tcMar>
          </w:tcPr>
          <w:p>
            <w:pPr>
              <w:jc w:val="left"/>
            </w:pPr>
            <w:r>
              <w:rPr>
                <w:rFonts w:ascii="Calibri" w:hAnsi="Calibri"/>
                <w:color w:val="333333"/>
                <w:sz w:val="20"/>
              </w:rPr>
              <w:t>31.848 (Highest) / Yes</w:t>
            </w:r>
          </w:p>
        </w:tc>
        <w:tc>
          <w:tcPr>
            <w:tcW w:type="dxa" w:w="4320"/>
            <w:shd w:fill="FFFFFF"/>
            <w:tcMar>
              <w:top w:w="100" w:type="dxa"/>
              <w:bottom w:w="100" w:type="dxa"/>
              <w:left w:w="150" w:type="dxa"/>
              <w:right w:w="150" w:type="dxa"/>
            </w:tcMar>
          </w:tcPr>
          <w:p>
            <w:pPr>
              <w:jc w:val="left"/>
            </w:pPr>
            <w:r>
              <w:rPr>
                <w:rFonts w:ascii="Calibri" w:hAnsi="Calibri"/>
                <w:color w:val="333333"/>
                <w:sz w:val="20"/>
              </w:rPr>
              <w:t>Structured integration, teacher training, ethical guidelines</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Active</w:t>
            </w:r>
          </w:p>
        </w:tc>
        <w:tc>
          <w:tcPr>
            <w:tcW w:type="dxa" w:w="2880"/>
            <w:shd w:fill="F2F5F8"/>
            <w:tcMar>
              <w:top w:w="100" w:type="dxa"/>
              <w:bottom w:w="100" w:type="dxa"/>
              <w:left w:w="150" w:type="dxa"/>
              <w:right w:w="150" w:type="dxa"/>
            </w:tcMar>
          </w:tcPr>
          <w:p>
            <w:pPr>
              <w:jc w:val="left"/>
            </w:pPr>
            <w:r>
              <w:rPr>
                <w:rFonts w:ascii="Calibri" w:hAnsi="Calibri"/>
                <w:color w:val="333333"/>
                <w:sz w:val="20"/>
              </w:rPr>
              <w:t>29.105 / No</w:t>
            </w:r>
          </w:p>
        </w:tc>
        <w:tc>
          <w:tcPr>
            <w:tcW w:type="dxa" w:w="4320"/>
            <w:shd w:fill="F2F5F8"/>
            <w:tcMar>
              <w:top w:w="100" w:type="dxa"/>
              <w:bottom w:w="100" w:type="dxa"/>
              <w:left w:w="150" w:type="dxa"/>
              <w:right w:w="150" w:type="dxa"/>
            </w:tcMar>
          </w:tcPr>
          <w:p>
            <w:pPr>
              <w:jc w:val="left"/>
            </w:pPr>
            <w:r>
              <w:rPr>
                <w:rFonts w:ascii="Calibri" w:hAnsi="Calibri"/>
                <w:color w:val="333333"/>
                <w:sz w:val="20"/>
              </w:rPr>
              <w:t>High tool awareness, lack of syllabus alignment</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Draft</w:t>
            </w:r>
          </w:p>
        </w:tc>
        <w:tc>
          <w:tcPr>
            <w:tcW w:type="dxa" w:w="2880"/>
            <w:shd w:fill="FFFFFF"/>
            <w:tcMar>
              <w:top w:w="100" w:type="dxa"/>
              <w:bottom w:w="100" w:type="dxa"/>
              <w:left w:w="150" w:type="dxa"/>
              <w:right w:w="150" w:type="dxa"/>
            </w:tcMar>
          </w:tcPr>
          <w:p>
            <w:pPr>
              <w:jc w:val="left"/>
            </w:pPr>
            <w:r>
              <w:rPr>
                <w:rFonts w:ascii="Calibri" w:hAnsi="Calibri"/>
                <w:color w:val="333333"/>
                <w:sz w:val="20"/>
              </w:rPr>
              <w:t>29.285 / Yes</w:t>
            </w:r>
          </w:p>
        </w:tc>
        <w:tc>
          <w:tcPr>
            <w:tcW w:type="dxa" w:w="4320"/>
            <w:shd w:fill="FFFFFF"/>
            <w:tcMar>
              <w:top w:w="100" w:type="dxa"/>
              <w:bottom w:w="100" w:type="dxa"/>
              <w:left w:w="150" w:type="dxa"/>
              <w:right w:w="150" w:type="dxa"/>
            </w:tcMar>
          </w:tcPr>
          <w:p>
            <w:pPr>
              <w:jc w:val="left"/>
            </w:pPr>
            <w:r>
              <w:rPr>
                <w:rFonts w:ascii="Calibri" w:hAnsi="Calibri"/>
                <w:color w:val="333333"/>
                <w:sz w:val="20"/>
              </w:rPr>
              <w:t>Pilot programs in selected urban institutions</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Draft</w:t>
            </w:r>
          </w:p>
        </w:tc>
        <w:tc>
          <w:tcPr>
            <w:tcW w:type="dxa" w:w="2880"/>
            <w:shd w:fill="F2F5F8"/>
            <w:tcMar>
              <w:top w:w="100" w:type="dxa"/>
              <w:bottom w:w="100" w:type="dxa"/>
              <w:left w:w="150" w:type="dxa"/>
              <w:right w:w="150" w:type="dxa"/>
            </w:tcMar>
          </w:tcPr>
          <w:p>
            <w:pPr>
              <w:jc w:val="left"/>
            </w:pPr>
            <w:r>
              <w:rPr>
                <w:rFonts w:ascii="Calibri" w:hAnsi="Calibri"/>
                <w:color w:val="333333"/>
                <w:sz w:val="20"/>
              </w:rPr>
              <w:t>28.035 / No</w:t>
            </w:r>
          </w:p>
        </w:tc>
        <w:tc>
          <w:tcPr>
            <w:tcW w:type="dxa" w:w="4320"/>
            <w:shd w:fill="F2F5F8"/>
            <w:tcMar>
              <w:top w:w="100" w:type="dxa"/>
              <w:bottom w:w="100" w:type="dxa"/>
              <w:left w:w="150" w:type="dxa"/>
              <w:right w:w="150" w:type="dxa"/>
            </w:tcMar>
          </w:tcPr>
          <w:p>
            <w:pPr>
              <w:jc w:val="left"/>
            </w:pPr>
            <w:r>
              <w:rPr>
                <w:rFonts w:ascii="Calibri" w:hAnsi="Calibri"/>
                <w:color w:val="333333"/>
                <w:sz w:val="20"/>
              </w:rPr>
              <w:t>Unregulated consumer tool usage by students</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None</w:t>
            </w:r>
          </w:p>
        </w:tc>
        <w:tc>
          <w:tcPr>
            <w:tcW w:type="dxa" w:w="2880"/>
            <w:shd w:fill="FFFFFF"/>
            <w:tcMar>
              <w:top w:w="100" w:type="dxa"/>
              <w:bottom w:w="100" w:type="dxa"/>
              <w:left w:w="150" w:type="dxa"/>
              <w:right w:w="150" w:type="dxa"/>
            </w:tcMar>
          </w:tcPr>
          <w:p>
            <w:pPr>
              <w:jc w:val="left"/>
            </w:pPr>
            <w:r>
              <w:rPr>
                <w:rFonts w:ascii="Calibri" w:hAnsi="Calibri"/>
                <w:color w:val="333333"/>
                <w:sz w:val="20"/>
              </w:rPr>
              <w:t>28.301 / No</w:t>
            </w:r>
          </w:p>
        </w:tc>
        <w:tc>
          <w:tcPr>
            <w:tcW w:type="dxa" w:w="4320"/>
            <w:shd w:fill="FFFFFF"/>
            <w:tcMar>
              <w:top w:w="100" w:type="dxa"/>
              <w:bottom w:w="100" w:type="dxa"/>
              <w:left w:w="150" w:type="dxa"/>
              <w:right w:w="150" w:type="dxa"/>
            </w:tcMar>
          </w:tcPr>
          <w:p>
            <w:pPr>
              <w:jc w:val="left"/>
            </w:pPr>
            <w:r>
              <w:rPr>
                <w:rFonts w:ascii="Calibri" w:hAnsi="Calibri"/>
                <w:color w:val="333333"/>
                <w:sz w:val="20"/>
              </w:rPr>
              <w:t>Ad-hoc individual usage, higher academic risk</w:t>
            </w:r>
          </w:p>
        </w:tc>
      </w:tr>
    </w:tbl>
    <w:p/>
    <w:p>
      <w:pPr>
        <w:keepNext/>
        <w:spacing w:before="240" w:after="80"/>
      </w:pPr>
      <w:r>
        <w:rPr>
          <w:rFonts w:ascii="Calibri" w:hAnsi="Calibri"/>
          <w:b/>
          <w:color w:val="3B5998"/>
          <w:sz w:val="26"/>
        </w:rPr>
        <w:t>Key Policy Takeaways</w:t>
      </w:r>
    </w:p>
    <w:p>
      <w:pPr>
        <w:pStyle w:val="ListBullet"/>
        <w:spacing w:after="80" w:line="276" w:lineRule="auto"/>
      </w:pPr>
      <w:r>
        <w:rPr>
          <w:rFonts w:ascii="Calibri" w:hAnsi="Calibri"/>
          <w:b/>
          <w:color w:val="1F497D"/>
          <w:sz w:val="22"/>
        </w:rPr>
        <w:t xml:space="preserve">Active Policy Advantage: </w:t>
      </w:r>
      <w:r>
        <w:rPr>
          <w:rFonts w:ascii="Calibri" w:hAnsi="Calibri"/>
          <w:color w:val="333333"/>
          <w:sz w:val="22"/>
        </w:rPr>
        <w:t>Institutions operating in jurisdictions with Active policies and formal curriculum alignment achieve the highest systematic adoption rates (~31.8%).</w:t>
      </w:r>
    </w:p>
    <w:p>
      <w:pPr>
        <w:pStyle w:val="ListBullet"/>
        <w:spacing w:after="80" w:line="276" w:lineRule="auto"/>
      </w:pPr>
      <w:r>
        <w:rPr>
          <w:rFonts w:ascii="Calibri" w:hAnsi="Calibri"/>
          <w:b/>
          <w:color w:val="1F497D"/>
          <w:sz w:val="22"/>
        </w:rPr>
        <w:t xml:space="preserve">Risk of Draft Policy Lag: </w:t>
      </w:r>
      <w:r>
        <w:rPr>
          <w:rFonts w:ascii="Calibri" w:hAnsi="Calibri"/>
          <w:color w:val="333333"/>
          <w:sz w:val="22"/>
        </w:rPr>
        <w:t>Regions with pending Draft policies show fragmented usage, where student adoption occurs without sufficient institutional guidance.</w:t>
      </w:r>
    </w:p>
    <w:p>
      <w:pPr>
        <w:keepNext/>
        <w:spacing w:before="320" w:after="120"/>
      </w:pPr>
      <w:r>
        <w:rPr>
          <w:rFonts w:ascii="Calibri" w:hAnsi="Calibri"/>
          <w:b/>
          <w:color w:val="1F497D"/>
          <w:sz w:val="32"/>
        </w:rPr>
        <w:t>11. Regional &amp; Urban vs. Rural Disparity</w:t>
      </w:r>
    </w:p>
    <w:p>
      <w:pPr>
        <w:spacing w:after="120" w:line="276" w:lineRule="auto"/>
      </w:pPr>
      <w:r>
        <w:rPr>
          <w:rFonts w:ascii="Calibri" w:hAnsi="Calibri"/>
          <w:color w:val="333333"/>
          <w:sz w:val="22"/>
        </w:rPr>
        <w:t>A central finding of this report is the persistence of structural disparities between urban educational centers and rural institutions across all major regions.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120" w:type="dxa"/>
              <w:bottom w:w="120" w:type="dxa"/>
              <w:left w:w="150" w:type="dxa"/>
              <w:right w:w="150" w:type="dxa"/>
            </w:tcMar>
          </w:tcPr>
          <w:p>
            <w:pPr>
              <w:jc w:val="left"/>
            </w:pPr>
            <w:r>
              <w:rPr>
                <w:rFonts w:ascii="Calibri" w:hAnsi="Calibri"/>
                <w:b/>
                <w:color w:val="FFFFFF"/>
                <w:sz w:val="21"/>
              </w:rPr>
              <w:t>Region</w:t>
            </w:r>
          </w:p>
        </w:tc>
        <w:tc>
          <w:tcPr>
            <w:tcW w:type="dxa" w:w="2304"/>
            <w:shd w:fill="1F497D"/>
            <w:tcMar>
              <w:top w:w="120" w:type="dxa"/>
              <w:bottom w:w="120" w:type="dxa"/>
              <w:left w:w="150" w:type="dxa"/>
              <w:right w:w="150" w:type="dxa"/>
            </w:tcMar>
          </w:tcPr>
          <w:p>
            <w:pPr>
              <w:jc w:val="left"/>
            </w:pPr>
            <w:r>
              <w:rPr>
                <w:rFonts w:ascii="Calibri" w:hAnsi="Calibri"/>
                <w:b/>
                <w:color w:val="FFFFFF"/>
                <w:sz w:val="21"/>
              </w:rPr>
              <w:t>Urban Adoption Level</w:t>
            </w:r>
          </w:p>
        </w:tc>
        <w:tc>
          <w:tcPr>
            <w:tcW w:type="dxa" w:w="2304"/>
            <w:shd w:fill="1F497D"/>
            <w:tcMar>
              <w:top w:w="120" w:type="dxa"/>
              <w:bottom w:w="120" w:type="dxa"/>
              <w:left w:w="150" w:type="dxa"/>
              <w:right w:w="150" w:type="dxa"/>
            </w:tcMar>
          </w:tcPr>
          <w:p>
            <w:pPr>
              <w:jc w:val="left"/>
            </w:pPr>
            <w:r>
              <w:rPr>
                <w:rFonts w:ascii="Calibri" w:hAnsi="Calibri"/>
                <w:b/>
                <w:color w:val="FFFFFF"/>
                <w:sz w:val="21"/>
              </w:rPr>
              <w:t>Rural Adoption Level</w:t>
            </w:r>
          </w:p>
        </w:tc>
        <w:tc>
          <w:tcPr>
            <w:tcW w:type="dxa" w:w="2592"/>
            <w:shd w:fill="1F497D"/>
            <w:tcMar>
              <w:top w:w="120" w:type="dxa"/>
              <w:bottom w:w="120" w:type="dxa"/>
              <w:left w:w="150" w:type="dxa"/>
              <w:right w:w="150" w:type="dxa"/>
            </w:tcMar>
          </w:tcPr>
          <w:p>
            <w:pPr>
              <w:jc w:val="left"/>
            </w:pPr>
            <w:r>
              <w:rPr>
                <w:rFonts w:ascii="Calibri" w:hAnsi="Calibri"/>
                <w:b/>
                <w:color w:val="FFFFFF"/>
                <w:sz w:val="21"/>
              </w:rPr>
              <w:t>Equity Gap Index</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Africa</w:t>
            </w:r>
          </w:p>
        </w:tc>
        <w:tc>
          <w:tcPr>
            <w:tcW w:type="dxa" w:w="2304"/>
            <w:shd w:fill="FFFFFF"/>
            <w:tcMar>
              <w:top w:w="100" w:type="dxa"/>
              <w:bottom w:w="100" w:type="dxa"/>
              <w:left w:w="150" w:type="dxa"/>
              <w:right w:w="150" w:type="dxa"/>
            </w:tcMar>
          </w:tcPr>
          <w:p>
            <w:pPr>
              <w:jc w:val="left"/>
            </w:pPr>
            <w:r>
              <w:rPr>
                <w:rFonts w:ascii="Calibri" w:hAnsi="Calibri"/>
                <w:color w:val="333333"/>
                <w:sz w:val="20"/>
              </w:rPr>
              <w:t>25.4%</w:t>
            </w:r>
          </w:p>
        </w:tc>
        <w:tc>
          <w:tcPr>
            <w:tcW w:type="dxa" w:w="2304"/>
            <w:shd w:fill="FFFFFF"/>
            <w:tcMar>
              <w:top w:w="100" w:type="dxa"/>
              <w:bottom w:w="100" w:type="dxa"/>
              <w:left w:w="150" w:type="dxa"/>
              <w:right w:w="150" w:type="dxa"/>
            </w:tcMar>
          </w:tcPr>
          <w:p>
            <w:pPr>
              <w:jc w:val="left"/>
            </w:pPr>
            <w:r>
              <w:rPr>
                <w:rFonts w:ascii="Calibri" w:hAnsi="Calibri"/>
                <w:color w:val="333333"/>
                <w:sz w:val="20"/>
              </w:rPr>
              <w:t>14.2%</w:t>
            </w:r>
          </w:p>
        </w:tc>
        <w:tc>
          <w:tcPr>
            <w:tcW w:type="dxa" w:w="2592"/>
            <w:shd w:fill="FFFFFF"/>
            <w:tcMar>
              <w:top w:w="100" w:type="dxa"/>
              <w:bottom w:w="100" w:type="dxa"/>
              <w:left w:w="150" w:type="dxa"/>
              <w:right w:w="150" w:type="dxa"/>
            </w:tcMar>
          </w:tcPr>
          <w:p>
            <w:pPr>
              <w:jc w:val="left"/>
            </w:pPr>
            <w:r>
              <w:rPr>
                <w:rFonts w:ascii="Calibri" w:hAnsi="Calibri"/>
                <w:color w:val="333333"/>
                <w:sz w:val="20"/>
              </w:rPr>
              <w:t>High Divide (11.2%)</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Asia</w:t>
            </w:r>
          </w:p>
        </w:tc>
        <w:tc>
          <w:tcPr>
            <w:tcW w:type="dxa" w:w="2304"/>
            <w:shd w:fill="F2F5F8"/>
            <w:tcMar>
              <w:top w:w="100" w:type="dxa"/>
              <w:bottom w:w="100" w:type="dxa"/>
              <w:left w:w="150" w:type="dxa"/>
              <w:right w:w="150" w:type="dxa"/>
            </w:tcMar>
          </w:tcPr>
          <w:p>
            <w:pPr>
              <w:jc w:val="left"/>
            </w:pPr>
            <w:r>
              <w:rPr>
                <w:rFonts w:ascii="Calibri" w:hAnsi="Calibri"/>
                <w:color w:val="333333"/>
                <w:sz w:val="20"/>
              </w:rPr>
              <w:t>29.8%</w:t>
            </w:r>
          </w:p>
        </w:tc>
        <w:tc>
          <w:tcPr>
            <w:tcW w:type="dxa" w:w="2304"/>
            <w:shd w:fill="F2F5F8"/>
            <w:tcMar>
              <w:top w:w="100" w:type="dxa"/>
              <w:bottom w:w="100" w:type="dxa"/>
              <w:left w:w="150" w:type="dxa"/>
              <w:right w:w="150" w:type="dxa"/>
            </w:tcMar>
          </w:tcPr>
          <w:p>
            <w:pPr>
              <w:jc w:val="left"/>
            </w:pPr>
            <w:r>
              <w:rPr>
                <w:rFonts w:ascii="Calibri" w:hAnsi="Calibri"/>
                <w:color w:val="333333"/>
                <w:sz w:val="20"/>
              </w:rPr>
              <w:t>21.5%</w:t>
            </w:r>
          </w:p>
        </w:tc>
        <w:tc>
          <w:tcPr>
            <w:tcW w:type="dxa" w:w="2592"/>
            <w:shd w:fill="F2F5F8"/>
            <w:tcMar>
              <w:top w:w="100" w:type="dxa"/>
              <w:bottom w:w="100" w:type="dxa"/>
              <w:left w:w="150" w:type="dxa"/>
              <w:right w:w="150" w:type="dxa"/>
            </w:tcMar>
          </w:tcPr>
          <w:p>
            <w:pPr>
              <w:jc w:val="left"/>
            </w:pPr>
            <w:r>
              <w:rPr>
                <w:rFonts w:ascii="Calibri" w:hAnsi="Calibri"/>
                <w:color w:val="333333"/>
                <w:sz w:val="20"/>
              </w:rPr>
              <w:t>Moderate Divide (8.3%)</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Europe</w:t>
            </w:r>
          </w:p>
        </w:tc>
        <w:tc>
          <w:tcPr>
            <w:tcW w:type="dxa" w:w="2304"/>
            <w:shd w:fill="FFFFFF"/>
            <w:tcMar>
              <w:top w:w="100" w:type="dxa"/>
              <w:bottom w:w="100" w:type="dxa"/>
              <w:left w:w="150" w:type="dxa"/>
              <w:right w:w="150" w:type="dxa"/>
            </w:tcMar>
          </w:tcPr>
          <w:p>
            <w:pPr>
              <w:jc w:val="left"/>
            </w:pPr>
            <w:r>
              <w:rPr>
                <w:rFonts w:ascii="Calibri" w:hAnsi="Calibri"/>
                <w:color w:val="333333"/>
                <w:sz w:val="20"/>
              </w:rPr>
              <w:t>31.2%</w:t>
            </w:r>
          </w:p>
        </w:tc>
        <w:tc>
          <w:tcPr>
            <w:tcW w:type="dxa" w:w="2304"/>
            <w:shd w:fill="FFFFFF"/>
            <w:tcMar>
              <w:top w:w="100" w:type="dxa"/>
              <w:bottom w:w="100" w:type="dxa"/>
              <w:left w:w="150" w:type="dxa"/>
              <w:right w:w="150" w:type="dxa"/>
            </w:tcMar>
          </w:tcPr>
          <w:p>
            <w:pPr>
              <w:jc w:val="left"/>
            </w:pPr>
            <w:r>
              <w:rPr>
                <w:rFonts w:ascii="Calibri" w:hAnsi="Calibri"/>
                <w:color w:val="333333"/>
                <w:sz w:val="20"/>
              </w:rPr>
              <w:t>27.8%</w:t>
            </w:r>
          </w:p>
        </w:tc>
        <w:tc>
          <w:tcPr>
            <w:tcW w:type="dxa" w:w="2592"/>
            <w:shd w:fill="FFFFFF"/>
            <w:tcMar>
              <w:top w:w="100" w:type="dxa"/>
              <w:bottom w:w="100" w:type="dxa"/>
              <w:left w:w="150" w:type="dxa"/>
              <w:right w:w="150" w:type="dxa"/>
            </w:tcMar>
          </w:tcPr>
          <w:p>
            <w:pPr>
              <w:jc w:val="left"/>
            </w:pPr>
            <w:r>
              <w:rPr>
                <w:rFonts w:ascii="Calibri" w:hAnsi="Calibri"/>
                <w:color w:val="333333"/>
                <w:sz w:val="20"/>
              </w:rPr>
              <w:t>Low Divide (3.4%)</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North America</w:t>
            </w:r>
          </w:p>
        </w:tc>
        <w:tc>
          <w:tcPr>
            <w:tcW w:type="dxa" w:w="2304"/>
            <w:shd w:fill="F2F5F8"/>
            <w:tcMar>
              <w:top w:w="100" w:type="dxa"/>
              <w:bottom w:w="100" w:type="dxa"/>
              <w:left w:w="150" w:type="dxa"/>
              <w:right w:w="150" w:type="dxa"/>
            </w:tcMar>
          </w:tcPr>
          <w:p>
            <w:pPr>
              <w:jc w:val="left"/>
            </w:pPr>
            <w:r>
              <w:rPr>
                <w:rFonts w:ascii="Calibri" w:hAnsi="Calibri"/>
                <w:color w:val="333333"/>
                <w:sz w:val="20"/>
              </w:rPr>
              <w:t>32.5%</w:t>
            </w:r>
          </w:p>
        </w:tc>
        <w:tc>
          <w:tcPr>
            <w:tcW w:type="dxa" w:w="2304"/>
            <w:shd w:fill="F2F5F8"/>
            <w:tcMar>
              <w:top w:w="100" w:type="dxa"/>
              <w:bottom w:w="100" w:type="dxa"/>
              <w:left w:w="150" w:type="dxa"/>
              <w:right w:w="150" w:type="dxa"/>
            </w:tcMar>
          </w:tcPr>
          <w:p>
            <w:pPr>
              <w:jc w:val="left"/>
            </w:pPr>
            <w:r>
              <w:rPr>
                <w:rFonts w:ascii="Calibri" w:hAnsi="Calibri"/>
                <w:color w:val="333333"/>
                <w:sz w:val="20"/>
              </w:rPr>
              <w:t>28.1%</w:t>
            </w:r>
          </w:p>
        </w:tc>
        <w:tc>
          <w:tcPr>
            <w:tcW w:type="dxa" w:w="2592"/>
            <w:shd w:fill="F2F5F8"/>
            <w:tcMar>
              <w:top w:w="100" w:type="dxa"/>
              <w:bottom w:w="100" w:type="dxa"/>
              <w:left w:w="150" w:type="dxa"/>
              <w:right w:w="150" w:type="dxa"/>
            </w:tcMar>
          </w:tcPr>
          <w:p>
            <w:pPr>
              <w:jc w:val="left"/>
            </w:pPr>
            <w:r>
              <w:rPr>
                <w:rFonts w:ascii="Calibri" w:hAnsi="Calibri"/>
                <w:color w:val="333333"/>
                <w:sz w:val="20"/>
              </w:rPr>
              <w:t>Low Divide (4.4%)</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Oceania</w:t>
            </w:r>
          </w:p>
        </w:tc>
        <w:tc>
          <w:tcPr>
            <w:tcW w:type="dxa" w:w="2304"/>
            <w:shd w:fill="FFFFFF"/>
            <w:tcMar>
              <w:top w:w="100" w:type="dxa"/>
              <w:bottom w:w="100" w:type="dxa"/>
              <w:left w:w="150" w:type="dxa"/>
              <w:right w:w="150" w:type="dxa"/>
            </w:tcMar>
          </w:tcPr>
          <w:p>
            <w:pPr>
              <w:jc w:val="left"/>
            </w:pPr>
            <w:r>
              <w:rPr>
                <w:rFonts w:ascii="Calibri" w:hAnsi="Calibri"/>
                <w:color w:val="333333"/>
                <w:sz w:val="20"/>
              </w:rPr>
              <w:t>30.1%</w:t>
            </w:r>
          </w:p>
        </w:tc>
        <w:tc>
          <w:tcPr>
            <w:tcW w:type="dxa" w:w="2304"/>
            <w:shd w:fill="FFFFFF"/>
            <w:tcMar>
              <w:top w:w="100" w:type="dxa"/>
              <w:bottom w:w="100" w:type="dxa"/>
              <w:left w:w="150" w:type="dxa"/>
              <w:right w:w="150" w:type="dxa"/>
            </w:tcMar>
          </w:tcPr>
          <w:p>
            <w:pPr>
              <w:jc w:val="left"/>
            </w:pPr>
            <w:r>
              <w:rPr>
                <w:rFonts w:ascii="Calibri" w:hAnsi="Calibri"/>
                <w:color w:val="333333"/>
                <w:sz w:val="20"/>
              </w:rPr>
              <w:t>26.5%</w:t>
            </w:r>
          </w:p>
        </w:tc>
        <w:tc>
          <w:tcPr>
            <w:tcW w:type="dxa" w:w="2592"/>
            <w:shd w:fill="FFFFFF"/>
            <w:tcMar>
              <w:top w:w="100" w:type="dxa"/>
              <w:bottom w:w="100" w:type="dxa"/>
              <w:left w:w="150" w:type="dxa"/>
              <w:right w:w="150" w:type="dxa"/>
            </w:tcMar>
          </w:tcPr>
          <w:p>
            <w:pPr>
              <w:jc w:val="left"/>
            </w:pPr>
            <w:r>
              <w:rPr>
                <w:rFonts w:ascii="Calibri" w:hAnsi="Calibri"/>
                <w:color w:val="333333"/>
                <w:sz w:val="20"/>
              </w:rPr>
              <w:t>Moderate Divide (3.6%)</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South America</w:t>
            </w:r>
          </w:p>
        </w:tc>
        <w:tc>
          <w:tcPr>
            <w:tcW w:type="dxa" w:w="2304"/>
            <w:shd w:fill="F2F5F8"/>
            <w:tcMar>
              <w:top w:w="100" w:type="dxa"/>
              <w:bottom w:w="100" w:type="dxa"/>
              <w:left w:w="150" w:type="dxa"/>
              <w:right w:w="150" w:type="dxa"/>
            </w:tcMar>
          </w:tcPr>
          <w:p>
            <w:pPr>
              <w:jc w:val="left"/>
            </w:pPr>
            <w:r>
              <w:rPr>
                <w:rFonts w:ascii="Calibri" w:hAnsi="Calibri"/>
                <w:color w:val="333333"/>
                <w:sz w:val="20"/>
              </w:rPr>
              <w:t>27.2%</w:t>
            </w:r>
          </w:p>
        </w:tc>
        <w:tc>
          <w:tcPr>
            <w:tcW w:type="dxa" w:w="2304"/>
            <w:shd w:fill="F2F5F8"/>
            <w:tcMar>
              <w:top w:w="100" w:type="dxa"/>
              <w:bottom w:w="100" w:type="dxa"/>
              <w:left w:w="150" w:type="dxa"/>
              <w:right w:w="150" w:type="dxa"/>
            </w:tcMar>
          </w:tcPr>
          <w:p>
            <w:pPr>
              <w:jc w:val="left"/>
            </w:pPr>
            <w:r>
              <w:rPr>
                <w:rFonts w:ascii="Calibri" w:hAnsi="Calibri"/>
                <w:color w:val="333333"/>
                <w:sz w:val="20"/>
              </w:rPr>
              <w:t>18.0%</w:t>
            </w:r>
          </w:p>
        </w:tc>
        <w:tc>
          <w:tcPr>
            <w:tcW w:type="dxa" w:w="2592"/>
            <w:shd w:fill="F2F5F8"/>
            <w:tcMar>
              <w:top w:w="100" w:type="dxa"/>
              <w:bottom w:w="100" w:type="dxa"/>
              <w:left w:w="150" w:type="dxa"/>
              <w:right w:w="150" w:type="dxa"/>
            </w:tcMar>
          </w:tcPr>
          <w:p>
            <w:pPr>
              <w:jc w:val="left"/>
            </w:pPr>
            <w:r>
              <w:rPr>
                <w:rFonts w:ascii="Calibri" w:hAnsi="Calibri"/>
                <w:color w:val="333333"/>
                <w:sz w:val="20"/>
              </w:rPr>
              <w:t>High Divide (9.2%)</w:t>
            </w:r>
          </w:p>
        </w:tc>
      </w:tr>
    </w:tbl>
    <w:p/>
    <w:p>
      <w:pPr>
        <w:keepNext/>
        <w:spacing w:before="240" w:after="80"/>
      </w:pPr>
      <w:r>
        <w:rPr>
          <w:rFonts w:ascii="Calibri" w:hAnsi="Calibri"/>
          <w:b/>
          <w:color w:val="3B5998"/>
          <w:sz w:val="26"/>
        </w:rPr>
        <w:t>Primary Root Causes of Rural Lag</w:t>
      </w:r>
    </w:p>
    <w:p>
      <w:pPr>
        <w:pStyle w:val="ListBullet"/>
        <w:spacing w:after="80" w:line="276" w:lineRule="auto"/>
      </w:pPr>
      <w:r>
        <w:rPr>
          <w:rFonts w:ascii="Calibri" w:hAnsi="Calibri"/>
          <w:b/>
          <w:color w:val="1F497D"/>
          <w:sz w:val="22"/>
        </w:rPr>
        <w:t xml:space="preserve">Network Infrastructure: </w:t>
      </w:r>
      <w:r>
        <w:rPr>
          <w:rFonts w:ascii="Calibri" w:hAnsi="Calibri"/>
          <w:color w:val="333333"/>
          <w:sz w:val="22"/>
        </w:rPr>
        <w:t>Rural schools frequently lack high-speed broadband connections required for real-time generative AI interactions.</w:t>
      </w:r>
    </w:p>
    <w:p>
      <w:pPr>
        <w:pStyle w:val="ListBullet"/>
        <w:spacing w:after="80" w:line="276" w:lineRule="auto"/>
      </w:pPr>
      <w:r>
        <w:rPr>
          <w:rFonts w:ascii="Calibri" w:hAnsi="Calibri"/>
          <w:b/>
          <w:color w:val="1F497D"/>
          <w:sz w:val="22"/>
        </w:rPr>
        <w:t xml:space="preserve">Hardware Constraints: </w:t>
      </w:r>
      <w:r>
        <w:rPr>
          <w:rFonts w:ascii="Calibri" w:hAnsi="Calibri"/>
          <w:color w:val="333333"/>
          <w:sz w:val="22"/>
        </w:rPr>
        <w:t>Insufficient computer labs and student device ratios limit hands-on AI tool exposure in rural classrooms.</w:t>
      </w:r>
    </w:p>
    <w:p>
      <w:pPr>
        <w:pStyle w:val="ListBullet"/>
        <w:spacing w:after="80" w:line="276" w:lineRule="auto"/>
      </w:pPr>
      <w:r>
        <w:rPr>
          <w:rFonts w:ascii="Calibri" w:hAnsi="Calibri"/>
          <w:b/>
          <w:color w:val="1F497D"/>
          <w:sz w:val="22"/>
        </w:rPr>
        <w:t xml:space="preserve">Faculty Professional Development: </w:t>
      </w:r>
      <w:r>
        <w:rPr>
          <w:rFonts w:ascii="Calibri" w:hAnsi="Calibri"/>
          <w:color w:val="333333"/>
          <w:sz w:val="22"/>
        </w:rPr>
        <w:t>Training workshops for AI tools are predominantly concentrated in urban school districts.</w:t>
      </w:r>
    </w:p>
    <w:p>
      <w:pPr>
        <w:keepNext/>
        <w:spacing w:before="320" w:after="120"/>
      </w:pPr>
      <w:r>
        <w:rPr>
          <w:rFonts w:ascii="Calibri" w:hAnsi="Calibri"/>
          <w:b/>
          <w:color w:val="1F497D"/>
          <w:sz w:val="32"/>
        </w:rPr>
        <w:t>12. AI Tool Ecosystem &amp; Platform Penetration</w:t>
      </w:r>
    </w:p>
    <w:p>
      <w:pPr>
        <w:spacing w:after="120" w:line="276" w:lineRule="auto"/>
      </w:pPr>
      <w:r>
        <w:rPr>
          <w:rFonts w:ascii="Calibri" w:hAnsi="Calibri"/>
          <w:color w:val="333333"/>
          <w:sz w:val="22"/>
        </w:rPr>
        <w:t>The educational AI market is dominated by large language models and specialized intelligent tutoring engines. Analysis of user preference records reveals a clear hierarchy among popular AI tools.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97D"/>
            <w:tcMar>
              <w:top w:w="120" w:type="dxa"/>
              <w:bottom w:w="120" w:type="dxa"/>
              <w:left w:w="150" w:type="dxa"/>
              <w:right w:w="150" w:type="dxa"/>
            </w:tcMar>
          </w:tcPr>
          <w:p>
            <w:pPr>
              <w:jc w:val="left"/>
            </w:pPr>
            <w:r>
              <w:rPr>
                <w:rFonts w:ascii="Calibri" w:hAnsi="Calibri"/>
                <w:b/>
                <w:color w:val="FFFFFF"/>
                <w:sz w:val="21"/>
              </w:rPr>
              <w:t>AI Tool Platform</w:t>
            </w:r>
          </w:p>
        </w:tc>
        <w:tc>
          <w:tcPr>
            <w:tcW w:type="dxa" w:w="1728"/>
            <w:shd w:fill="1F497D"/>
            <w:tcMar>
              <w:top w:w="120" w:type="dxa"/>
              <w:bottom w:w="120" w:type="dxa"/>
              <w:left w:w="150" w:type="dxa"/>
              <w:right w:w="150" w:type="dxa"/>
            </w:tcMar>
          </w:tcPr>
          <w:p>
            <w:pPr>
              <w:jc w:val="left"/>
            </w:pPr>
            <w:r>
              <w:rPr>
                <w:rFonts w:ascii="Calibri" w:hAnsi="Calibri"/>
                <w:b/>
                <w:color w:val="FFFFFF"/>
                <w:sz w:val="21"/>
              </w:rPr>
              <w:t>Market Share %</w:t>
            </w:r>
          </w:p>
        </w:tc>
        <w:tc>
          <w:tcPr>
            <w:tcW w:type="dxa" w:w="2880"/>
            <w:shd w:fill="1F497D"/>
            <w:tcMar>
              <w:top w:w="120" w:type="dxa"/>
              <w:bottom w:w="120" w:type="dxa"/>
              <w:left w:w="150" w:type="dxa"/>
              <w:right w:w="150" w:type="dxa"/>
            </w:tcMar>
          </w:tcPr>
          <w:p>
            <w:pPr>
              <w:jc w:val="left"/>
            </w:pPr>
            <w:r>
              <w:rPr>
                <w:rFonts w:ascii="Calibri" w:hAnsi="Calibri"/>
                <w:b/>
                <w:color w:val="FFFFFF"/>
                <w:sz w:val="21"/>
              </w:rPr>
              <w:t>Primary Academic Use Case</w:t>
            </w:r>
          </w:p>
        </w:tc>
        <w:tc>
          <w:tcPr>
            <w:tcW w:type="dxa" w:w="2160"/>
            <w:shd w:fill="1F497D"/>
            <w:tcMar>
              <w:top w:w="120" w:type="dxa"/>
              <w:bottom w:w="120" w:type="dxa"/>
              <w:left w:w="150" w:type="dxa"/>
              <w:right w:w="150" w:type="dxa"/>
            </w:tcMar>
          </w:tcPr>
          <w:p>
            <w:pPr>
              <w:jc w:val="left"/>
            </w:pPr>
            <w:r>
              <w:rPr>
                <w:rFonts w:ascii="Calibri" w:hAnsi="Calibri"/>
                <w:b/>
                <w:color w:val="FFFFFF"/>
                <w:sz w:val="21"/>
              </w:rPr>
              <w:t>Primary User Base</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ChatGPT (OpenAI)</w:t>
            </w:r>
          </w:p>
        </w:tc>
        <w:tc>
          <w:tcPr>
            <w:tcW w:type="dxa" w:w="1728"/>
            <w:shd w:fill="FFFFFF"/>
            <w:tcMar>
              <w:top w:w="100" w:type="dxa"/>
              <w:bottom w:w="100" w:type="dxa"/>
              <w:left w:w="150" w:type="dxa"/>
              <w:right w:w="150" w:type="dxa"/>
            </w:tcMar>
          </w:tcPr>
          <w:p>
            <w:pPr>
              <w:jc w:val="left"/>
            </w:pPr>
            <w:r>
              <w:rPr>
                <w:rFonts w:ascii="Calibri" w:hAnsi="Calibri"/>
                <w:color w:val="333333"/>
                <w:sz w:val="20"/>
              </w:rPr>
              <w:t>~48.2%</w:t>
            </w:r>
          </w:p>
        </w:tc>
        <w:tc>
          <w:tcPr>
            <w:tcW w:type="dxa" w:w="2880"/>
            <w:shd w:fill="FFFFFF"/>
            <w:tcMar>
              <w:top w:w="100" w:type="dxa"/>
              <w:bottom w:w="100" w:type="dxa"/>
              <w:left w:w="150" w:type="dxa"/>
              <w:right w:w="150" w:type="dxa"/>
            </w:tcMar>
          </w:tcPr>
          <w:p>
            <w:pPr>
              <w:jc w:val="left"/>
            </w:pPr>
            <w:r>
              <w:rPr>
                <w:rFonts w:ascii="Calibri" w:hAnsi="Calibri"/>
                <w:color w:val="333333"/>
                <w:sz w:val="20"/>
              </w:rPr>
              <w:t>Drafting, Code Generation, General Q&amp;A</w:t>
            </w:r>
          </w:p>
        </w:tc>
        <w:tc>
          <w:tcPr>
            <w:tcW w:type="dxa" w:w="2160"/>
            <w:shd w:fill="FFFFFF"/>
            <w:tcMar>
              <w:top w:w="100" w:type="dxa"/>
              <w:bottom w:w="100" w:type="dxa"/>
              <w:left w:w="150" w:type="dxa"/>
              <w:right w:w="150" w:type="dxa"/>
            </w:tcMar>
          </w:tcPr>
          <w:p>
            <w:pPr>
              <w:jc w:val="left"/>
            </w:pPr>
            <w:r>
              <w:rPr>
                <w:rFonts w:ascii="Calibri" w:hAnsi="Calibri"/>
                <w:color w:val="333333"/>
                <w:sz w:val="20"/>
              </w:rPr>
              <w:t>Students &amp; Higher Ed Faculty</w:t>
            </w:r>
          </w:p>
        </w:tc>
      </w:tr>
      <w:tr>
        <w:tc>
          <w:tcPr>
            <w:tcW w:type="dxa" w:w="2592"/>
            <w:shd w:fill="F2F5F8"/>
            <w:tcMar>
              <w:top w:w="100" w:type="dxa"/>
              <w:bottom w:w="100" w:type="dxa"/>
              <w:left w:w="150" w:type="dxa"/>
              <w:right w:w="150" w:type="dxa"/>
            </w:tcMar>
          </w:tcPr>
          <w:p>
            <w:pPr>
              <w:jc w:val="left"/>
            </w:pPr>
            <w:r>
              <w:rPr>
                <w:rFonts w:ascii="Calibri" w:hAnsi="Calibri"/>
                <w:color w:val="333333"/>
                <w:sz w:val="20"/>
              </w:rPr>
              <w:t>Google Gemini</w:t>
            </w:r>
          </w:p>
        </w:tc>
        <w:tc>
          <w:tcPr>
            <w:tcW w:type="dxa" w:w="1728"/>
            <w:shd w:fill="F2F5F8"/>
            <w:tcMar>
              <w:top w:w="100" w:type="dxa"/>
              <w:bottom w:w="100" w:type="dxa"/>
              <w:left w:w="150" w:type="dxa"/>
              <w:right w:w="150" w:type="dxa"/>
            </w:tcMar>
          </w:tcPr>
          <w:p>
            <w:pPr>
              <w:jc w:val="left"/>
            </w:pPr>
            <w:r>
              <w:rPr>
                <w:rFonts w:ascii="Calibri" w:hAnsi="Calibri"/>
                <w:color w:val="333333"/>
                <w:sz w:val="20"/>
              </w:rPr>
              <w:t>~26.5%</w:t>
            </w:r>
          </w:p>
        </w:tc>
        <w:tc>
          <w:tcPr>
            <w:tcW w:type="dxa" w:w="2880"/>
            <w:shd w:fill="F2F5F8"/>
            <w:tcMar>
              <w:top w:w="100" w:type="dxa"/>
              <w:bottom w:w="100" w:type="dxa"/>
              <w:left w:w="150" w:type="dxa"/>
              <w:right w:w="150" w:type="dxa"/>
            </w:tcMar>
          </w:tcPr>
          <w:p>
            <w:pPr>
              <w:jc w:val="left"/>
            </w:pPr>
            <w:r>
              <w:rPr>
                <w:rFonts w:ascii="Calibri" w:hAnsi="Calibri"/>
                <w:color w:val="333333"/>
                <w:sz w:val="20"/>
              </w:rPr>
              <w:t>Research Integration, Workspace Integration</w:t>
            </w:r>
          </w:p>
        </w:tc>
        <w:tc>
          <w:tcPr>
            <w:tcW w:type="dxa" w:w="2160"/>
            <w:shd w:fill="F2F5F8"/>
            <w:tcMar>
              <w:top w:w="100" w:type="dxa"/>
              <w:bottom w:w="100" w:type="dxa"/>
              <w:left w:w="150" w:type="dxa"/>
              <w:right w:w="150" w:type="dxa"/>
            </w:tcMar>
          </w:tcPr>
          <w:p>
            <w:pPr>
              <w:jc w:val="left"/>
            </w:pPr>
            <w:r>
              <w:rPr>
                <w:rFonts w:ascii="Calibri" w:hAnsi="Calibri"/>
                <w:color w:val="333333"/>
                <w:sz w:val="20"/>
              </w:rPr>
              <w:t>Students &amp; Secondary Teachers</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Microsoft Copilot</w:t>
            </w:r>
          </w:p>
        </w:tc>
        <w:tc>
          <w:tcPr>
            <w:tcW w:type="dxa" w:w="1728"/>
            <w:shd w:fill="FFFFFF"/>
            <w:tcMar>
              <w:top w:w="100" w:type="dxa"/>
              <w:bottom w:w="100" w:type="dxa"/>
              <w:left w:w="150" w:type="dxa"/>
              <w:right w:w="150" w:type="dxa"/>
            </w:tcMar>
          </w:tcPr>
          <w:p>
            <w:pPr>
              <w:jc w:val="left"/>
            </w:pPr>
            <w:r>
              <w:rPr>
                <w:rFonts w:ascii="Calibri" w:hAnsi="Calibri"/>
                <w:color w:val="333333"/>
                <w:sz w:val="20"/>
              </w:rPr>
              <w:t>~16.8%</w:t>
            </w:r>
          </w:p>
        </w:tc>
        <w:tc>
          <w:tcPr>
            <w:tcW w:type="dxa" w:w="2880"/>
            <w:shd w:fill="FFFFFF"/>
            <w:tcMar>
              <w:top w:w="100" w:type="dxa"/>
              <w:bottom w:w="100" w:type="dxa"/>
              <w:left w:w="150" w:type="dxa"/>
              <w:right w:w="150" w:type="dxa"/>
            </w:tcMar>
          </w:tcPr>
          <w:p>
            <w:pPr>
              <w:jc w:val="left"/>
            </w:pPr>
            <w:r>
              <w:rPr>
                <w:rFonts w:ascii="Calibri" w:hAnsi="Calibri"/>
                <w:color w:val="333333"/>
                <w:sz w:val="20"/>
              </w:rPr>
              <w:t>Document Summarization, Presentation Design</w:t>
            </w:r>
          </w:p>
        </w:tc>
        <w:tc>
          <w:tcPr>
            <w:tcW w:type="dxa" w:w="2160"/>
            <w:shd w:fill="FFFFFF"/>
            <w:tcMar>
              <w:top w:w="100" w:type="dxa"/>
              <w:bottom w:w="100" w:type="dxa"/>
              <w:left w:w="150" w:type="dxa"/>
              <w:right w:w="150" w:type="dxa"/>
            </w:tcMar>
          </w:tcPr>
          <w:p>
            <w:pPr>
              <w:jc w:val="left"/>
            </w:pPr>
            <w:r>
              <w:rPr>
                <w:rFonts w:ascii="Calibri" w:hAnsi="Calibri"/>
                <w:color w:val="333333"/>
                <w:sz w:val="20"/>
              </w:rPr>
              <w:t>Administrators &amp; Faculty</w:t>
            </w:r>
          </w:p>
        </w:tc>
      </w:tr>
      <w:tr>
        <w:tc>
          <w:tcPr>
            <w:tcW w:type="dxa" w:w="2592"/>
            <w:shd w:fill="F2F5F8"/>
            <w:tcMar>
              <w:top w:w="100" w:type="dxa"/>
              <w:bottom w:w="100" w:type="dxa"/>
              <w:left w:w="150" w:type="dxa"/>
              <w:right w:w="150" w:type="dxa"/>
            </w:tcMar>
          </w:tcPr>
          <w:p>
            <w:pPr>
              <w:jc w:val="left"/>
            </w:pPr>
            <w:r>
              <w:rPr>
                <w:rFonts w:ascii="Calibri" w:hAnsi="Calibri"/>
                <w:color w:val="333333"/>
                <w:sz w:val="20"/>
              </w:rPr>
              <w:t>Other Platforms (Khanmigo, Specialized)</w:t>
            </w:r>
          </w:p>
        </w:tc>
        <w:tc>
          <w:tcPr>
            <w:tcW w:type="dxa" w:w="1728"/>
            <w:shd w:fill="F2F5F8"/>
            <w:tcMar>
              <w:top w:w="100" w:type="dxa"/>
              <w:bottom w:w="100" w:type="dxa"/>
              <w:left w:w="150" w:type="dxa"/>
              <w:right w:w="150" w:type="dxa"/>
            </w:tcMar>
          </w:tcPr>
          <w:p>
            <w:pPr>
              <w:jc w:val="left"/>
            </w:pPr>
            <w:r>
              <w:rPr>
                <w:rFonts w:ascii="Calibri" w:hAnsi="Calibri"/>
                <w:color w:val="333333"/>
                <w:sz w:val="20"/>
              </w:rPr>
              <w:t>~8.5%</w:t>
            </w:r>
          </w:p>
        </w:tc>
        <w:tc>
          <w:tcPr>
            <w:tcW w:type="dxa" w:w="2880"/>
            <w:shd w:fill="F2F5F8"/>
            <w:tcMar>
              <w:top w:w="100" w:type="dxa"/>
              <w:bottom w:w="100" w:type="dxa"/>
              <w:left w:w="150" w:type="dxa"/>
              <w:right w:w="150" w:type="dxa"/>
            </w:tcMar>
          </w:tcPr>
          <w:p>
            <w:pPr>
              <w:jc w:val="left"/>
            </w:pPr>
            <w:r>
              <w:rPr>
                <w:rFonts w:ascii="Calibri" w:hAnsi="Calibri"/>
                <w:color w:val="333333"/>
                <w:sz w:val="20"/>
              </w:rPr>
              <w:t>Domain-specific Math/STEM Tutoring</w:t>
            </w:r>
          </w:p>
        </w:tc>
        <w:tc>
          <w:tcPr>
            <w:tcW w:type="dxa" w:w="2160"/>
            <w:shd w:fill="F2F5F8"/>
            <w:tcMar>
              <w:top w:w="100" w:type="dxa"/>
              <w:bottom w:w="100" w:type="dxa"/>
              <w:left w:w="150" w:type="dxa"/>
              <w:right w:w="150" w:type="dxa"/>
            </w:tcMar>
          </w:tcPr>
          <w:p>
            <w:pPr>
              <w:jc w:val="left"/>
            </w:pPr>
            <w:r>
              <w:rPr>
                <w:rFonts w:ascii="Calibri" w:hAnsi="Calibri"/>
                <w:color w:val="333333"/>
                <w:sz w:val="20"/>
              </w:rPr>
              <w:t>K-12 Students</w:t>
            </w:r>
          </w:p>
        </w:tc>
      </w:tr>
    </w:tbl>
    <w:p/>
    <w:p>
      <w:pPr>
        <w:keepNext/>
        <w:spacing w:before="240" w:after="80"/>
      </w:pPr>
      <w:r>
        <w:rPr>
          <w:rFonts w:ascii="Calibri" w:hAnsi="Calibri"/>
          <w:b/>
          <w:color w:val="3B5998"/>
          <w:sz w:val="26"/>
        </w:rPr>
        <w:t>Platform Utilization Characteristics</w:t>
      </w:r>
    </w:p>
    <w:p>
      <w:pPr>
        <w:spacing w:after="120" w:line="276" w:lineRule="auto"/>
      </w:pPr>
      <w:r>
        <w:rPr>
          <w:rFonts w:ascii="Calibri" w:hAnsi="Calibri"/>
          <w:color w:val="333333"/>
          <w:sz w:val="22"/>
        </w:rPr>
        <w:t>ChatGPT maintains market leadership due to early mover advantage and widespread consumer recognition. Google Gemini has expanded rapidly within schools utilizing Google Workspace for Education, while Microsoft Copilot leads in administrative automation across higher education systems.</w:t>
      </w:r>
    </w:p>
    <w:p>
      <w:pPr>
        <w:keepNext/>
        <w:spacing w:before="320" w:after="120"/>
      </w:pPr>
      <w:r>
        <w:rPr>
          <w:rFonts w:ascii="Calibri" w:hAnsi="Calibri"/>
          <w:b/>
          <w:color w:val="1F497D"/>
          <w:sz w:val="32"/>
        </w:rPr>
        <w:t>13. Tableau Dashboard Design &amp; Architecture</w:t>
      </w:r>
    </w:p>
    <w:p>
      <w:pPr>
        <w:spacing w:after="120" w:line="276" w:lineRule="auto"/>
      </w:pPr>
      <w:r>
        <w:rPr>
          <w:rFonts w:ascii="Calibri" w:hAnsi="Calibri"/>
          <w:color w:val="333333"/>
          <w:sz w:val="22"/>
        </w:rPr>
        <w:t>To present these multi-dimensional insights clearly, a centralized Tableau Public Dashboard was constructed. The visual architecture incorporates eight core worksheet components integrated into a single layout.</w:t>
      </w:r>
    </w:p>
    <w:p>
      <w:pPr>
        <w:pStyle w:val="ListBullet"/>
        <w:spacing w:after="80" w:line="276" w:lineRule="auto"/>
      </w:pPr>
      <w:r>
        <w:rPr>
          <w:rFonts w:ascii="Calibri" w:hAnsi="Calibri"/>
          <w:b/>
          <w:color w:val="1F497D"/>
          <w:sz w:val="22"/>
        </w:rPr>
        <w:t xml:space="preserve">World Map Sheet: </w:t>
      </w:r>
      <w:r>
        <w:rPr>
          <w:rFonts w:ascii="Calibri" w:hAnsi="Calibri"/>
          <w:color w:val="333333"/>
          <w:sz w:val="22"/>
        </w:rPr>
        <w:t>Interactive spatial mapping displaying regional adoption density.</w:t>
      </w:r>
    </w:p>
    <w:p>
      <w:pPr>
        <w:pStyle w:val="ListBullet"/>
        <w:spacing w:after="80" w:line="276" w:lineRule="auto"/>
      </w:pPr>
      <w:r>
        <w:rPr>
          <w:rFonts w:ascii="Calibri" w:hAnsi="Calibri"/>
          <w:b/>
          <w:color w:val="1F497D"/>
          <w:sz w:val="22"/>
        </w:rPr>
        <w:t xml:space="preserve">Daily Usage Bar: </w:t>
      </w:r>
      <w:r>
        <w:rPr>
          <w:rFonts w:ascii="Calibri" w:hAnsi="Calibri"/>
          <w:color w:val="333333"/>
          <w:sz w:val="22"/>
        </w:rPr>
        <w:t>Country-level horizontal bar chart highlighting daily usage duration.</w:t>
      </w:r>
    </w:p>
    <w:p>
      <w:pPr>
        <w:pStyle w:val="ListBullet"/>
        <w:spacing w:after="80" w:line="276" w:lineRule="auto"/>
      </w:pPr>
      <w:r>
        <w:rPr>
          <w:rFonts w:ascii="Calibri" w:hAnsi="Calibri"/>
          <w:b/>
          <w:color w:val="1F497D"/>
          <w:sz w:val="22"/>
        </w:rPr>
        <w:t xml:space="preserve">Adoption Trend (2015–2026): </w:t>
      </w:r>
      <w:r>
        <w:rPr>
          <w:rFonts w:ascii="Calibri" w:hAnsi="Calibri"/>
          <w:color w:val="333333"/>
          <w:sz w:val="22"/>
        </w:rPr>
        <w:t>Dual line chart tracking student and teacher usage percentages over time.</w:t>
      </w:r>
    </w:p>
    <w:p>
      <w:pPr>
        <w:pStyle w:val="ListBullet"/>
        <w:spacing w:after="80" w:line="276" w:lineRule="auto"/>
      </w:pPr>
      <w:r>
        <w:rPr>
          <w:rFonts w:ascii="Calibri" w:hAnsi="Calibri"/>
          <w:b/>
          <w:color w:val="1F497D"/>
          <w:sz w:val="22"/>
        </w:rPr>
        <w:t xml:space="preserve">Policy &amp; Curriculum Matrix: </w:t>
      </w:r>
      <w:r>
        <w:rPr>
          <w:rFonts w:ascii="Calibri" w:hAnsi="Calibri"/>
          <w:color w:val="333333"/>
          <w:sz w:val="22"/>
        </w:rPr>
        <w:t>Cross-tabulation table evaluating adoption across government policy states.</w:t>
      </w:r>
    </w:p>
    <w:p>
      <w:pPr>
        <w:pStyle w:val="ListBullet"/>
        <w:spacing w:after="80" w:line="276" w:lineRule="auto"/>
      </w:pPr>
      <w:r>
        <w:rPr>
          <w:rFonts w:ascii="Calibri" w:hAnsi="Calibri"/>
          <w:b/>
          <w:color w:val="1F497D"/>
          <w:sz w:val="22"/>
        </w:rPr>
        <w:t xml:space="preserve">Top AI Tools Treemap: </w:t>
      </w:r>
      <w:r>
        <w:rPr>
          <w:rFonts w:ascii="Calibri" w:hAnsi="Calibri"/>
          <w:color w:val="333333"/>
          <w:sz w:val="22"/>
        </w:rPr>
        <w:t>Proportional tile visual representing software market share.</w:t>
      </w:r>
    </w:p>
    <w:p>
      <w:pPr>
        <w:keepNext/>
        <w:spacing w:before="320" w:after="120"/>
      </w:pPr>
      <w:r>
        <w:rPr>
          <w:rFonts w:ascii="Calibri" w:hAnsi="Calibri"/>
          <w:b/>
          <w:color w:val="1F497D"/>
          <w:sz w:val="32"/>
        </w:rPr>
        <w:t>14. Tableau Story Points Walkthrough</w:t>
      </w:r>
    </w:p>
    <w:p>
      <w:pPr>
        <w:spacing w:after="120" w:line="276" w:lineRule="auto"/>
      </w:pPr>
      <w:r>
        <w:rPr>
          <w:rFonts w:ascii="Calibri" w:hAnsi="Calibri"/>
          <w:color w:val="333333"/>
          <w:sz w:val="22"/>
        </w:rPr>
        <w:t>To guide stakeholders through complex insights, the Tableau workbook includes structured Story Points that organize key findings into a narrative format:</w:t>
      </w:r>
    </w:p>
    <w:p>
      <w:pPr>
        <w:pStyle w:val="ListBullet"/>
        <w:spacing w:after="80" w:line="276" w:lineRule="auto"/>
      </w:pPr>
      <w:r>
        <w:rPr>
          <w:rFonts w:ascii="Calibri" w:hAnsi="Calibri"/>
          <w:b/>
          <w:color w:val="1F497D"/>
          <w:sz w:val="22"/>
        </w:rPr>
        <w:t xml:space="preserve">Story Point 1: The Global Growth Trajectory - </w:t>
      </w:r>
      <w:r>
        <w:rPr>
          <w:rFonts w:ascii="Calibri" w:hAnsi="Calibri"/>
          <w:color w:val="333333"/>
          <w:sz w:val="22"/>
        </w:rPr>
        <w:t>Demonstrates the transition from early experimental adoption (2015) to universal generative AI utilization (2024–2026). The visual highlights the steep upward slope in both student and educator usage lines.</w:t>
      </w:r>
    </w:p>
    <w:p>
      <w:pPr>
        <w:pStyle w:val="ListBullet"/>
        <w:spacing w:after="80" w:line="276" w:lineRule="auto"/>
      </w:pPr>
      <w:r>
        <w:rPr>
          <w:rFonts w:ascii="Calibri" w:hAnsi="Calibri"/>
          <w:b/>
          <w:color w:val="1F497D"/>
          <w:sz w:val="22"/>
        </w:rPr>
        <w:t xml:space="preserve">Story Point 2: The Policy Driven Acceleration - </w:t>
      </w:r>
      <w:r>
        <w:rPr>
          <w:rFonts w:ascii="Calibri" w:hAnsi="Calibri"/>
          <w:color w:val="333333"/>
          <w:sz w:val="22"/>
        </w:rPr>
        <w:t>Focuses on the measurable performance gap between countries with Active AI policies vs. those with None. Proves that structured policy accelerates safe adoption while mitigating risk.</w:t>
      </w:r>
    </w:p>
    <w:p>
      <w:pPr>
        <w:pStyle w:val="ListBullet"/>
        <w:spacing w:after="80" w:line="276" w:lineRule="auto"/>
      </w:pPr>
      <w:r>
        <w:rPr>
          <w:rFonts w:ascii="Calibri" w:hAnsi="Calibri"/>
          <w:b/>
          <w:color w:val="1F497D"/>
          <w:sz w:val="22"/>
        </w:rPr>
        <w:t xml:space="preserve">Story Point 3: Infrastructure &amp; Equity Dividends - </w:t>
      </w:r>
      <w:r>
        <w:rPr>
          <w:rFonts w:ascii="Calibri" w:hAnsi="Calibri"/>
          <w:color w:val="333333"/>
          <w:sz w:val="22"/>
        </w:rPr>
        <w:t>Examines the urban-rural adoption gap across developing regions, providing a clear visual argument for targeted infrastructure investment in rural school districts.</w:t>
      </w:r>
    </w:p>
    <w:p>
      <w:pPr>
        <w:pStyle w:val="ListBullet"/>
        <w:spacing w:after="80" w:line="276" w:lineRule="auto"/>
      </w:pPr>
      <w:r>
        <w:rPr>
          <w:rFonts w:ascii="Calibri" w:hAnsi="Calibri"/>
          <w:b/>
          <w:color w:val="1F497D"/>
          <w:sz w:val="22"/>
        </w:rPr>
        <w:t xml:space="preserve">Story Point 4: Tool Ecosystem Dominance - </w:t>
      </w:r>
      <w:r>
        <w:rPr>
          <w:rFonts w:ascii="Calibri" w:hAnsi="Calibri"/>
          <w:color w:val="333333"/>
          <w:sz w:val="22"/>
        </w:rPr>
        <w:t>Showcases the platform distribution, showing how ChatGPT, Google Gemini, and Microsoft Copilot collectively account for the vast majority of academic AI tool interactions.</w:t>
      </w:r>
    </w:p>
    <w:p>
      <w:pPr>
        <w:keepNext/>
        <w:spacing w:before="320" w:after="120"/>
      </w:pPr>
      <w:r>
        <w:rPr>
          <w:rFonts w:ascii="Calibri" w:hAnsi="Calibri"/>
          <w:b/>
          <w:color w:val="1F497D"/>
          <w:sz w:val="32"/>
        </w:rPr>
        <w:t>15. Technical Web Integration &amp; Deployment</w:t>
      </w:r>
    </w:p>
    <w:p>
      <w:pPr>
        <w:spacing w:after="120" w:line="276" w:lineRule="auto"/>
      </w:pPr>
      <w:r>
        <w:rPr>
          <w:rFonts w:ascii="Calibri" w:hAnsi="Calibri"/>
          <w:color w:val="333333"/>
          <w:sz w:val="22"/>
        </w:rPr>
        <w:t>To make the intelligence report accessible to stakeholders, the Tableau dashboard was embedded within a custom responsive web application built using Python (Flask) and HTML5/Bootstrap.</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tcMar>
              <w:top w:w="120" w:type="dxa"/>
              <w:bottom w:w="120" w:type="dxa"/>
              <w:left w:w="150" w:type="dxa"/>
              <w:right w:w="150" w:type="dxa"/>
            </w:tcMar>
          </w:tcPr>
          <w:p>
            <w:pPr>
              <w:jc w:val="left"/>
            </w:pPr>
            <w:r>
              <w:rPr>
                <w:rFonts w:ascii="Calibri" w:hAnsi="Calibri"/>
                <w:b/>
                <w:color w:val="FFFFFF"/>
                <w:sz w:val="21"/>
              </w:rPr>
              <w:t>Layer</w:t>
            </w:r>
          </w:p>
        </w:tc>
        <w:tc>
          <w:tcPr>
            <w:tcW w:type="dxa" w:w="2880"/>
            <w:shd w:fill="1F497D"/>
            <w:tcMar>
              <w:top w:w="120" w:type="dxa"/>
              <w:bottom w:w="120" w:type="dxa"/>
              <w:left w:w="150" w:type="dxa"/>
              <w:right w:w="150" w:type="dxa"/>
            </w:tcMar>
          </w:tcPr>
          <w:p>
            <w:pPr>
              <w:jc w:val="left"/>
            </w:pPr>
            <w:r>
              <w:rPr>
                <w:rFonts w:ascii="Calibri" w:hAnsi="Calibri"/>
                <w:b/>
                <w:color w:val="FFFFFF"/>
                <w:sz w:val="21"/>
              </w:rPr>
              <w:t>Technology Used</w:t>
            </w:r>
          </w:p>
        </w:tc>
        <w:tc>
          <w:tcPr>
            <w:tcW w:type="dxa" w:w="4320"/>
            <w:shd w:fill="1F497D"/>
            <w:tcMar>
              <w:top w:w="120" w:type="dxa"/>
              <w:bottom w:w="120" w:type="dxa"/>
              <w:left w:w="150" w:type="dxa"/>
              <w:right w:w="150" w:type="dxa"/>
            </w:tcMar>
          </w:tcPr>
          <w:p>
            <w:pPr>
              <w:jc w:val="left"/>
            </w:pPr>
            <w:r>
              <w:rPr>
                <w:rFonts w:ascii="Calibri" w:hAnsi="Calibri"/>
                <w:b/>
                <w:color w:val="FFFFFF"/>
                <w:sz w:val="21"/>
              </w:rPr>
              <w:t>Role &amp; Function</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Backend Server</w:t>
            </w:r>
          </w:p>
        </w:tc>
        <w:tc>
          <w:tcPr>
            <w:tcW w:type="dxa" w:w="2880"/>
            <w:shd w:fill="FFFFFF"/>
            <w:tcMar>
              <w:top w:w="100" w:type="dxa"/>
              <w:bottom w:w="100" w:type="dxa"/>
              <w:left w:w="150" w:type="dxa"/>
              <w:right w:w="150" w:type="dxa"/>
            </w:tcMar>
          </w:tcPr>
          <w:p>
            <w:pPr>
              <w:jc w:val="left"/>
            </w:pPr>
            <w:r>
              <w:rPr>
                <w:rFonts w:ascii="Calibri" w:hAnsi="Calibri"/>
                <w:color w:val="333333"/>
                <w:sz w:val="20"/>
              </w:rPr>
              <w:t>Python (Flask)</w:t>
            </w:r>
          </w:p>
        </w:tc>
        <w:tc>
          <w:tcPr>
            <w:tcW w:type="dxa" w:w="4320"/>
            <w:shd w:fill="FFFFFF"/>
            <w:tcMar>
              <w:top w:w="100" w:type="dxa"/>
              <w:bottom w:w="100" w:type="dxa"/>
              <w:left w:w="150" w:type="dxa"/>
              <w:right w:w="150" w:type="dxa"/>
            </w:tcMar>
          </w:tcPr>
          <w:p>
            <w:pPr>
              <w:jc w:val="left"/>
            </w:pPr>
            <w:r>
              <w:rPr>
                <w:rFonts w:ascii="Calibri" w:hAnsi="Calibri"/>
                <w:color w:val="333333"/>
                <w:sz w:val="20"/>
              </w:rPr>
              <w:t>Routing, serving HTML templates, data endpoint handling</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Frontend Framework</w:t>
            </w:r>
          </w:p>
        </w:tc>
        <w:tc>
          <w:tcPr>
            <w:tcW w:type="dxa" w:w="2880"/>
            <w:shd w:fill="F2F5F8"/>
            <w:tcMar>
              <w:top w:w="100" w:type="dxa"/>
              <w:bottom w:w="100" w:type="dxa"/>
              <w:left w:w="150" w:type="dxa"/>
              <w:right w:w="150" w:type="dxa"/>
            </w:tcMar>
          </w:tcPr>
          <w:p>
            <w:pPr>
              <w:jc w:val="left"/>
            </w:pPr>
            <w:r>
              <w:rPr>
                <w:rFonts w:ascii="Calibri" w:hAnsi="Calibri"/>
                <w:color w:val="333333"/>
                <w:sz w:val="20"/>
              </w:rPr>
              <w:t>Bootstrap 5 / CSS3</w:t>
            </w:r>
          </w:p>
        </w:tc>
        <w:tc>
          <w:tcPr>
            <w:tcW w:type="dxa" w:w="4320"/>
            <w:shd w:fill="F2F5F8"/>
            <w:tcMar>
              <w:top w:w="100" w:type="dxa"/>
              <w:bottom w:w="100" w:type="dxa"/>
              <w:left w:w="150" w:type="dxa"/>
              <w:right w:w="150" w:type="dxa"/>
            </w:tcMar>
          </w:tcPr>
          <w:p>
            <w:pPr>
              <w:jc w:val="left"/>
            </w:pPr>
            <w:r>
              <w:rPr>
                <w:rFonts w:ascii="Calibri" w:hAnsi="Calibri"/>
                <w:color w:val="333333"/>
                <w:sz w:val="20"/>
              </w:rPr>
              <w:t>Responsive UI layout, navigation bar, footer styling</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Visualization Engine</w:t>
            </w:r>
          </w:p>
        </w:tc>
        <w:tc>
          <w:tcPr>
            <w:tcW w:type="dxa" w:w="2880"/>
            <w:shd w:fill="FFFFFF"/>
            <w:tcMar>
              <w:top w:w="100" w:type="dxa"/>
              <w:bottom w:w="100" w:type="dxa"/>
              <w:left w:w="150" w:type="dxa"/>
              <w:right w:w="150" w:type="dxa"/>
            </w:tcMar>
          </w:tcPr>
          <w:p>
            <w:pPr>
              <w:jc w:val="left"/>
            </w:pPr>
            <w:r>
              <w:rPr>
                <w:rFonts w:ascii="Calibri" w:hAnsi="Calibri"/>
                <w:color w:val="333333"/>
                <w:sz w:val="20"/>
              </w:rPr>
              <w:t>Tableau Public JavaScript API</w:t>
            </w:r>
          </w:p>
        </w:tc>
        <w:tc>
          <w:tcPr>
            <w:tcW w:type="dxa" w:w="4320"/>
            <w:shd w:fill="FFFFFF"/>
            <w:tcMar>
              <w:top w:w="100" w:type="dxa"/>
              <w:bottom w:w="100" w:type="dxa"/>
              <w:left w:w="150" w:type="dxa"/>
              <w:right w:w="150" w:type="dxa"/>
            </w:tcMar>
          </w:tcPr>
          <w:p>
            <w:pPr>
              <w:jc w:val="left"/>
            </w:pPr>
            <w:r>
              <w:rPr>
                <w:rFonts w:ascii="Calibri" w:hAnsi="Calibri"/>
                <w:color w:val="333333"/>
                <w:sz w:val="20"/>
              </w:rPr>
              <w:t>Embedding interactive dashboards with active filtering</w:t>
            </w:r>
          </w:p>
        </w:tc>
      </w:tr>
      <w:tr>
        <w:tc>
          <w:tcPr>
            <w:tcW w:type="dxa" w:w="2160"/>
            <w:shd w:fill="F2F5F8"/>
            <w:tcMar>
              <w:top w:w="100" w:type="dxa"/>
              <w:bottom w:w="100" w:type="dxa"/>
              <w:left w:w="150" w:type="dxa"/>
              <w:right w:w="150" w:type="dxa"/>
            </w:tcMar>
          </w:tcPr>
          <w:p>
            <w:pPr>
              <w:jc w:val="left"/>
            </w:pPr>
            <w:r>
              <w:rPr>
                <w:rFonts w:ascii="Calibri" w:hAnsi="Calibri"/>
                <w:color w:val="333333"/>
                <w:sz w:val="20"/>
              </w:rPr>
              <w:t>Environment</w:t>
            </w:r>
          </w:p>
        </w:tc>
        <w:tc>
          <w:tcPr>
            <w:tcW w:type="dxa" w:w="2880"/>
            <w:shd w:fill="F2F5F8"/>
            <w:tcMar>
              <w:top w:w="100" w:type="dxa"/>
              <w:bottom w:w="100" w:type="dxa"/>
              <w:left w:w="150" w:type="dxa"/>
              <w:right w:w="150" w:type="dxa"/>
            </w:tcMar>
          </w:tcPr>
          <w:p>
            <w:pPr>
              <w:jc w:val="left"/>
            </w:pPr>
            <w:r>
              <w:rPr>
                <w:rFonts w:ascii="Calibri" w:hAnsi="Calibri"/>
                <w:color w:val="333333"/>
                <w:sz w:val="20"/>
              </w:rPr>
              <w:t>VS Code / Python venv</w:t>
            </w:r>
          </w:p>
        </w:tc>
        <w:tc>
          <w:tcPr>
            <w:tcW w:type="dxa" w:w="4320"/>
            <w:shd w:fill="F2F5F8"/>
            <w:tcMar>
              <w:top w:w="100" w:type="dxa"/>
              <w:bottom w:w="100" w:type="dxa"/>
              <w:left w:w="150" w:type="dxa"/>
              <w:right w:w="150" w:type="dxa"/>
            </w:tcMar>
          </w:tcPr>
          <w:p>
            <w:pPr>
              <w:jc w:val="left"/>
            </w:pPr>
            <w:r>
              <w:rPr>
                <w:rFonts w:ascii="Calibri" w:hAnsi="Calibri"/>
                <w:color w:val="333333"/>
                <w:sz w:val="20"/>
              </w:rPr>
              <w:t>Development environment and local deployment testing</w:t>
            </w:r>
          </w:p>
        </w:tc>
      </w:tr>
    </w:tbl>
    <w:p/>
    <w:p>
      <w:pPr>
        <w:keepNext/>
        <w:spacing w:before="240" w:after="80"/>
      </w:pPr>
      <w:r>
        <w:rPr>
          <w:rFonts w:ascii="Calibri" w:hAnsi="Calibri"/>
          <w:b/>
          <w:color w:val="3B5998"/>
          <w:sz w:val="26"/>
        </w:rPr>
        <w:t>Footer Attribution Code</w:t>
      </w:r>
    </w:p>
    <w:p>
      <w:pPr>
        <w:spacing w:after="120" w:line="276" w:lineRule="auto"/>
      </w:pPr>
      <w:r>
        <w:rPr>
          <w:rFonts w:ascii="Calibri" w:hAnsi="Calibri"/>
          <w:color w:val="333333"/>
          <w:sz w:val="22"/>
        </w:rPr>
        <w:t>The web application template footer was customized to reflect correct project attribution:</w:t>
      </w:r>
    </w:p>
    <w:p>
      <w:pPr>
        <w:spacing w:after="120" w:line="276" w:lineRule="auto"/>
      </w:pPr>
      <w:r>
        <w:rPr>
          <w:rFonts w:ascii="Calibri" w:hAnsi="Calibri"/>
          <w:color w:val="333333"/>
          <w:sz w:val="22"/>
        </w:rPr>
        <w:t>&lt;footer class="footer"&gt;</w:t>
        <w:br/>
        <w:t xml:space="preserve">  &lt;p&gt;Developed by Vasiha Jahagirdar | Data Analytics with Tableau&lt;/p&gt;</w:t>
        <w:br/>
        <w:t>&lt;/footer&gt;</w:t>
      </w:r>
    </w:p>
    <w:p>
      <w:pPr>
        <w:keepNext/>
        <w:spacing w:before="320" w:after="120"/>
      </w:pPr>
      <w:r>
        <w:rPr>
          <w:rFonts w:ascii="Calibri" w:hAnsi="Calibri"/>
          <w:b/>
          <w:color w:val="1F497D"/>
          <w:sz w:val="32"/>
        </w:rPr>
        <w:t>16. Summary of Key Findings</w:t>
      </w:r>
    </w:p>
    <w:p>
      <w:pPr>
        <w:spacing w:after="120" w:line="276" w:lineRule="auto"/>
      </w:pPr>
      <w:r>
        <w:rPr>
          <w:rFonts w:ascii="Calibri" w:hAnsi="Calibri"/>
          <w:color w:val="333333"/>
          <w:sz w:val="22"/>
        </w:rPr>
        <w:t>Synthesizing data across all analytical panels yields four primary structural findings regarding global educational AI adoption:</w:t>
      </w:r>
    </w:p>
    <w:p>
      <w:pPr>
        <w:pStyle w:val="ListBullet"/>
        <w:spacing w:after="80" w:line="276" w:lineRule="auto"/>
      </w:pPr>
      <w:r>
        <w:rPr>
          <w:rFonts w:ascii="Calibri" w:hAnsi="Calibri"/>
          <w:b/>
          <w:color w:val="1F497D"/>
          <w:sz w:val="22"/>
        </w:rPr>
        <w:t xml:space="preserve">1. Student Adoption Outpaces Educator Readiness: </w:t>
      </w:r>
      <w:r>
        <w:rPr>
          <w:rFonts w:ascii="Calibri" w:hAnsi="Calibri"/>
          <w:color w:val="333333"/>
          <w:sz w:val="22"/>
        </w:rPr>
        <w:t>Across all geographic regions, student adoption percentages exceed teacher adoption by an average margin of 12% to 18%. This asymmetry creates challenges around assessment integrity and pedagogical alignment.</w:t>
      </w:r>
    </w:p>
    <w:p>
      <w:pPr>
        <w:pStyle w:val="ListBullet"/>
        <w:spacing w:after="80" w:line="276" w:lineRule="auto"/>
      </w:pPr>
      <w:r>
        <w:rPr>
          <w:rFonts w:ascii="Calibri" w:hAnsi="Calibri"/>
          <w:b/>
          <w:color w:val="1F497D"/>
          <w:sz w:val="22"/>
        </w:rPr>
        <w:t xml:space="preserve">2. Policy as an Enabler of Safe Scaling: </w:t>
      </w:r>
      <w:r>
        <w:rPr>
          <w:rFonts w:ascii="Calibri" w:hAnsi="Calibri"/>
          <w:color w:val="333333"/>
          <w:sz w:val="22"/>
        </w:rPr>
        <w:t>Countries with active government policies achieve not only higher overall adoption (~31.8%) but also demonstrate more structured curriculum integration, reducing unmonitored tool usage.</w:t>
      </w:r>
    </w:p>
    <w:p>
      <w:pPr>
        <w:pStyle w:val="ListBullet"/>
        <w:spacing w:after="80" w:line="276" w:lineRule="auto"/>
      </w:pPr>
      <w:r>
        <w:rPr>
          <w:rFonts w:ascii="Calibri" w:hAnsi="Calibri"/>
          <w:b/>
          <w:color w:val="1F497D"/>
          <w:sz w:val="22"/>
        </w:rPr>
        <w:t xml:space="preserve">3. Significant Rural Infrastructure Deficit: </w:t>
      </w:r>
      <w:r>
        <w:rPr>
          <w:rFonts w:ascii="Calibri" w:hAnsi="Calibri"/>
          <w:color w:val="333333"/>
          <w:sz w:val="22"/>
        </w:rPr>
        <w:t>Rural educational institutions lag urban counterparts by up to 11.2% in active AI engagement, particularly in developing regions across Africa and South America.</w:t>
      </w:r>
    </w:p>
    <w:p>
      <w:pPr>
        <w:pStyle w:val="ListBullet"/>
        <w:spacing w:after="80" w:line="276" w:lineRule="auto"/>
      </w:pPr>
      <w:r>
        <w:rPr>
          <w:rFonts w:ascii="Calibri" w:hAnsi="Calibri"/>
          <w:b/>
          <w:color w:val="1F497D"/>
          <w:sz w:val="22"/>
        </w:rPr>
        <w:t xml:space="preserve">4. High Platform Concentration: </w:t>
      </w:r>
      <w:r>
        <w:rPr>
          <w:rFonts w:ascii="Calibri" w:hAnsi="Calibri"/>
          <w:color w:val="333333"/>
          <w:sz w:val="22"/>
        </w:rPr>
        <w:t>Three major tools (ChatGPT, Gemini, Copilot) command over 91% of general generative AI interactions in schools, underscoring the dominance of major tech platforms in academic settings.</w:t>
      </w:r>
    </w:p>
    <w:p>
      <w:pPr>
        <w:keepNext/>
        <w:spacing w:before="320" w:after="120"/>
      </w:pPr>
      <w:r>
        <w:rPr>
          <w:rFonts w:ascii="Calibri" w:hAnsi="Calibri"/>
          <w:b/>
          <w:color w:val="1F497D"/>
          <w:sz w:val="32"/>
        </w:rPr>
        <w:t>17. Strategic Recommendations</w:t>
      </w:r>
    </w:p>
    <w:p>
      <w:pPr>
        <w:spacing w:after="120" w:line="276" w:lineRule="auto"/>
      </w:pPr>
      <w:r>
        <w:rPr>
          <w:rFonts w:ascii="Calibri" w:hAnsi="Calibri"/>
          <w:color w:val="333333"/>
          <w:sz w:val="22"/>
        </w:rPr>
        <w:t>Based on the empirical findings, this report outlines four actionable recommendations for policy makers, university deans, and school administrators:</w:t>
      </w:r>
    </w:p>
    <w:p>
      <w:pPr>
        <w:pStyle w:val="ListBullet"/>
        <w:spacing w:after="80" w:line="276" w:lineRule="auto"/>
      </w:pPr>
      <w:r>
        <w:rPr>
          <w:rFonts w:ascii="Calibri" w:hAnsi="Calibri"/>
          <w:b/>
          <w:color w:val="1F497D"/>
          <w:sz w:val="22"/>
        </w:rPr>
        <w:t xml:space="preserve">1. Establish National Educational AI Governance: </w:t>
      </w:r>
      <w:r>
        <w:rPr>
          <w:rFonts w:ascii="Calibri" w:hAnsi="Calibri"/>
          <w:color w:val="333333"/>
          <w:sz w:val="22"/>
        </w:rPr>
        <w:t>Ministries of Education must move from Draft or Absent policies to Active regulatory frameworks that define ethical boundaries, data privacy standards, and appropriate usage guidelines for classrooms.</w:t>
      </w:r>
    </w:p>
    <w:p>
      <w:pPr>
        <w:pStyle w:val="ListBullet"/>
        <w:spacing w:after="80" w:line="276" w:lineRule="auto"/>
      </w:pPr>
      <w:r>
        <w:rPr>
          <w:rFonts w:ascii="Calibri" w:hAnsi="Calibri"/>
          <w:b/>
          <w:color w:val="1F497D"/>
          <w:sz w:val="22"/>
        </w:rPr>
        <w:t xml:space="preserve">2. Expand Educator Professional Development: </w:t>
      </w:r>
      <w:r>
        <w:rPr>
          <w:rFonts w:ascii="Calibri" w:hAnsi="Calibri"/>
          <w:color w:val="333333"/>
          <w:sz w:val="22"/>
        </w:rPr>
        <w:t>Institutions must invest in structured AI training programs for teachers, equipping faculty with skills to design AI-assisted lesson plans and conduct AI-resilient assessments.</w:t>
      </w:r>
    </w:p>
    <w:p>
      <w:pPr>
        <w:pStyle w:val="ListBullet"/>
        <w:spacing w:after="80" w:line="276" w:lineRule="auto"/>
      </w:pPr>
      <w:r>
        <w:rPr>
          <w:rFonts w:ascii="Calibri" w:hAnsi="Calibri"/>
          <w:b/>
          <w:color w:val="1F497D"/>
          <w:sz w:val="22"/>
        </w:rPr>
        <w:t xml:space="preserve">3. Targeted Infrastructure Investment in Rural Schools: </w:t>
      </w:r>
      <w:r>
        <w:rPr>
          <w:rFonts w:ascii="Calibri" w:hAnsi="Calibri"/>
          <w:color w:val="333333"/>
          <w:sz w:val="22"/>
        </w:rPr>
        <w:t>Government grants and EdTech initiatives should prioritize subsidizing high-speed internet connections and modern hardware devices for rural school districts to narrow the equity gap.</w:t>
      </w:r>
    </w:p>
    <w:p>
      <w:pPr>
        <w:pStyle w:val="ListBullet"/>
        <w:spacing w:after="80" w:line="276" w:lineRule="auto"/>
      </w:pPr>
      <w:r>
        <w:rPr>
          <w:rFonts w:ascii="Calibri" w:hAnsi="Calibri"/>
          <w:b/>
          <w:color w:val="1F497D"/>
          <w:sz w:val="22"/>
        </w:rPr>
        <w:t xml:space="preserve">4. Integrate Domain-Specific AI into Curriculums: </w:t>
      </w:r>
      <w:r>
        <w:rPr>
          <w:rFonts w:ascii="Calibri" w:hAnsi="Calibri"/>
          <w:color w:val="333333"/>
          <w:sz w:val="22"/>
        </w:rPr>
        <w:t>Schools should shift from relying solely on general consumer LLMs toward incorporating domain-specific, curriculum-aligned intelligent tutoring tools.</w:t>
      </w:r>
    </w:p>
    <w:p>
      <w:pPr>
        <w:keepNext/>
        <w:spacing w:before="320" w:after="120"/>
      </w:pPr>
      <w:r>
        <w:rPr>
          <w:rFonts w:ascii="Calibri" w:hAnsi="Calibri"/>
          <w:b/>
          <w:color w:val="1F497D"/>
          <w:sz w:val="32"/>
        </w:rPr>
        <w:t>18. Conclusion</w:t>
      </w:r>
    </w:p>
    <w:p>
      <w:pPr>
        <w:spacing w:after="120" w:line="276" w:lineRule="auto"/>
      </w:pPr>
      <w:r>
        <w:rPr>
          <w:rFonts w:ascii="Calibri" w:hAnsi="Calibri"/>
          <w:color w:val="333333"/>
          <w:sz w:val="22"/>
        </w:rPr>
        <w:t>The global adoption of Artificial Intelligence in education represents a transformative shift in how knowledge is acquired, processed, and taught. While AI tools offer remarkable potential to personalize learning and streamline administration, realization of these benefits depends on equitable access, thoughtful policy governance, and comprehensive teacher preparation.</w:t>
      </w:r>
    </w:p>
    <w:p>
      <w:pPr>
        <w:keepNext/>
        <w:spacing w:before="320" w:after="120"/>
      </w:pPr>
      <w:r>
        <w:rPr>
          <w:rFonts w:ascii="Calibri" w:hAnsi="Calibri"/>
          <w:b/>
          <w:color w:val="1F497D"/>
          <w:sz w:val="32"/>
        </w:rPr>
        <w:t>19. Project Sign-Off &amp; Metadata</w:t>
      </w:r>
    </w:p>
    <w:tbl>
      <w:tblPr>
        <w:tblW w:type="auto" w:w="0"/>
        <w:jc w:val="center"/>
        <w:tblLayout w:type="fixed"/>
        <w:tblLook w:firstColumn="1" w:firstRow="1" w:lastColumn="0" w:lastRow="0" w:noHBand="0" w:noVBand="1" w:val="04A0"/>
      </w:tblPr>
      <w:tblGrid>
        <w:gridCol w:w="4680"/>
        <w:gridCol w:w="4680"/>
      </w:tblGrid>
      <w:tr>
        <w:tc>
          <w:tcPr>
            <w:tcW w:type="dxa" w:w="3168"/>
            <w:shd w:fill="1F497D"/>
            <w:tcMar>
              <w:top w:w="120" w:type="dxa"/>
              <w:bottom w:w="120" w:type="dxa"/>
              <w:left w:w="150" w:type="dxa"/>
              <w:right w:w="150" w:type="dxa"/>
            </w:tcMar>
          </w:tcPr>
          <w:p>
            <w:pPr>
              <w:jc w:val="left"/>
            </w:pPr>
            <w:r>
              <w:rPr>
                <w:rFonts w:ascii="Calibri" w:hAnsi="Calibri"/>
                <w:b/>
                <w:color w:val="FFFFFF"/>
                <w:sz w:val="21"/>
              </w:rPr>
              <w:t>Project Attribute</w:t>
            </w:r>
          </w:p>
        </w:tc>
        <w:tc>
          <w:tcPr>
            <w:tcW w:type="dxa" w:w="6192"/>
            <w:shd w:fill="1F497D"/>
            <w:tcMar>
              <w:top w:w="120" w:type="dxa"/>
              <w:bottom w:w="120" w:type="dxa"/>
              <w:left w:w="150" w:type="dxa"/>
              <w:right w:w="150" w:type="dxa"/>
            </w:tcMar>
          </w:tcPr>
          <w:p>
            <w:pPr>
              <w:jc w:val="left"/>
            </w:pPr>
            <w:r>
              <w:rPr>
                <w:rFonts w:ascii="Calibri" w:hAnsi="Calibri"/>
                <w:b/>
                <w:color w:val="FFFFFF"/>
                <w:sz w:val="21"/>
              </w:rPr>
              <w:t>Details</w:t>
            </w:r>
          </w:p>
        </w:tc>
      </w:tr>
      <w:tr>
        <w:tc>
          <w:tcPr>
            <w:tcW w:type="dxa" w:w="3168"/>
            <w:shd w:fill="FFFFFF"/>
            <w:tcMar>
              <w:top w:w="100" w:type="dxa"/>
              <w:bottom w:w="100" w:type="dxa"/>
              <w:left w:w="150" w:type="dxa"/>
              <w:right w:w="150" w:type="dxa"/>
            </w:tcMar>
          </w:tcPr>
          <w:p>
            <w:pPr>
              <w:jc w:val="left"/>
            </w:pPr>
            <w:r>
              <w:rPr>
                <w:rFonts w:ascii="Calibri" w:hAnsi="Calibri"/>
                <w:color w:val="333333"/>
                <w:sz w:val="20"/>
              </w:rPr>
              <w:t>Project Title</w:t>
            </w:r>
          </w:p>
        </w:tc>
        <w:tc>
          <w:tcPr>
            <w:tcW w:type="dxa" w:w="6192"/>
            <w:shd w:fill="FFFFFF"/>
            <w:tcMar>
              <w:top w:w="100" w:type="dxa"/>
              <w:bottom w:w="100" w:type="dxa"/>
              <w:left w:w="150" w:type="dxa"/>
              <w:right w:w="150" w:type="dxa"/>
            </w:tcMar>
          </w:tcPr>
          <w:p>
            <w:pPr>
              <w:jc w:val="left"/>
            </w:pPr>
            <w:r>
              <w:rPr>
                <w:rFonts w:ascii="Calibri" w:hAnsi="Calibri"/>
                <w:color w:val="333333"/>
                <w:sz w:val="20"/>
              </w:rPr>
              <w:t>Global AI Adoption in Education: Performance Intelligence Report</w:t>
            </w:r>
          </w:p>
        </w:tc>
      </w:tr>
      <w:tr>
        <w:tc>
          <w:tcPr>
            <w:tcW w:type="dxa" w:w="3168"/>
            <w:shd w:fill="F2F5F8"/>
            <w:tcMar>
              <w:top w:w="100" w:type="dxa"/>
              <w:bottom w:w="100" w:type="dxa"/>
              <w:left w:w="150" w:type="dxa"/>
              <w:right w:w="150" w:type="dxa"/>
            </w:tcMar>
          </w:tcPr>
          <w:p>
            <w:pPr>
              <w:jc w:val="left"/>
            </w:pPr>
            <w:r>
              <w:rPr>
                <w:rFonts w:ascii="Calibri" w:hAnsi="Calibri"/>
                <w:color w:val="333333"/>
                <w:sz w:val="20"/>
              </w:rPr>
              <w:t>Lead Analyst &amp; Developer</w:t>
            </w:r>
          </w:p>
        </w:tc>
        <w:tc>
          <w:tcPr>
            <w:tcW w:type="dxa" w:w="6192"/>
            <w:shd w:fill="F2F5F8"/>
            <w:tcMar>
              <w:top w:w="100" w:type="dxa"/>
              <w:bottom w:w="100" w:type="dxa"/>
              <w:left w:w="150" w:type="dxa"/>
              <w:right w:w="150" w:type="dxa"/>
            </w:tcMar>
          </w:tcPr>
          <w:p>
            <w:pPr>
              <w:jc w:val="left"/>
            </w:pPr>
            <w:r>
              <w:rPr>
                <w:rFonts w:ascii="Calibri" w:hAnsi="Calibri"/>
                <w:color w:val="333333"/>
                <w:sz w:val="20"/>
              </w:rPr>
              <w:t>Vasiha Jahagirdar</w:t>
            </w:r>
          </w:p>
        </w:tc>
      </w:tr>
      <w:tr>
        <w:tc>
          <w:tcPr>
            <w:tcW w:type="dxa" w:w="3168"/>
            <w:shd w:fill="FFFFFF"/>
            <w:tcMar>
              <w:top w:w="100" w:type="dxa"/>
              <w:bottom w:w="100" w:type="dxa"/>
              <w:left w:w="150" w:type="dxa"/>
              <w:right w:w="150" w:type="dxa"/>
            </w:tcMar>
          </w:tcPr>
          <w:p>
            <w:pPr>
              <w:jc w:val="left"/>
            </w:pPr>
            <w:r>
              <w:rPr>
                <w:rFonts w:ascii="Calibri" w:hAnsi="Calibri"/>
                <w:color w:val="333333"/>
                <w:sz w:val="20"/>
              </w:rPr>
              <w:t>Domain</w:t>
            </w:r>
          </w:p>
        </w:tc>
        <w:tc>
          <w:tcPr>
            <w:tcW w:type="dxa" w:w="6192"/>
            <w:shd w:fill="FFFFFF"/>
            <w:tcMar>
              <w:top w:w="100" w:type="dxa"/>
              <w:bottom w:w="100" w:type="dxa"/>
              <w:left w:w="150" w:type="dxa"/>
              <w:right w:w="150" w:type="dxa"/>
            </w:tcMar>
          </w:tcPr>
          <w:p>
            <w:pPr>
              <w:jc w:val="left"/>
            </w:pPr>
            <w:r>
              <w:rPr>
                <w:rFonts w:ascii="Calibri" w:hAnsi="Calibri"/>
                <w:color w:val="333333"/>
                <w:sz w:val="20"/>
              </w:rPr>
              <w:t>Data Analytics &amp; Visual Intelligence</w:t>
            </w:r>
          </w:p>
        </w:tc>
      </w:tr>
      <w:tr>
        <w:tc>
          <w:tcPr>
            <w:tcW w:type="dxa" w:w="3168"/>
            <w:shd w:fill="F2F5F8"/>
            <w:tcMar>
              <w:top w:w="100" w:type="dxa"/>
              <w:bottom w:w="100" w:type="dxa"/>
              <w:left w:w="150" w:type="dxa"/>
              <w:right w:w="150" w:type="dxa"/>
            </w:tcMar>
          </w:tcPr>
          <w:p>
            <w:pPr>
              <w:jc w:val="left"/>
            </w:pPr>
            <w:r>
              <w:rPr>
                <w:rFonts w:ascii="Calibri" w:hAnsi="Calibri"/>
                <w:color w:val="333333"/>
                <w:sz w:val="20"/>
              </w:rPr>
              <w:t>Visualization Platform</w:t>
            </w:r>
          </w:p>
        </w:tc>
        <w:tc>
          <w:tcPr>
            <w:tcW w:type="dxa" w:w="6192"/>
            <w:shd w:fill="F2F5F8"/>
            <w:tcMar>
              <w:top w:w="100" w:type="dxa"/>
              <w:bottom w:w="100" w:type="dxa"/>
              <w:left w:w="150" w:type="dxa"/>
              <w:right w:w="150" w:type="dxa"/>
            </w:tcMar>
          </w:tcPr>
          <w:p>
            <w:pPr>
              <w:jc w:val="left"/>
            </w:pPr>
            <w:r>
              <w:rPr>
                <w:rFonts w:ascii="Calibri" w:hAnsi="Calibri"/>
                <w:color w:val="333333"/>
                <w:sz w:val="20"/>
              </w:rPr>
              <w:t>Tableau Public &amp; Embedded Flask Web Application</w:t>
            </w:r>
          </w:p>
        </w:tc>
      </w:tr>
      <w:tr>
        <w:tc>
          <w:tcPr>
            <w:tcW w:type="dxa" w:w="3168"/>
            <w:shd w:fill="FFFFFF"/>
            <w:tcMar>
              <w:top w:w="100" w:type="dxa"/>
              <w:bottom w:w="100" w:type="dxa"/>
              <w:left w:w="150" w:type="dxa"/>
              <w:right w:w="150" w:type="dxa"/>
            </w:tcMar>
          </w:tcPr>
          <w:p>
            <w:pPr>
              <w:jc w:val="left"/>
            </w:pPr>
            <w:r>
              <w:rPr>
                <w:rFonts w:ascii="Calibri" w:hAnsi="Calibri"/>
                <w:color w:val="333333"/>
                <w:sz w:val="20"/>
              </w:rPr>
              <w:t>Attribution Statement</w:t>
            </w:r>
          </w:p>
        </w:tc>
        <w:tc>
          <w:tcPr>
            <w:tcW w:type="dxa" w:w="6192"/>
            <w:shd w:fill="FFFFFF"/>
            <w:tcMar>
              <w:top w:w="100" w:type="dxa"/>
              <w:bottom w:w="100" w:type="dxa"/>
              <w:left w:w="150" w:type="dxa"/>
              <w:right w:w="150" w:type="dxa"/>
            </w:tcMar>
          </w:tcPr>
          <w:p>
            <w:pPr>
              <w:jc w:val="left"/>
            </w:pPr>
            <w:r>
              <w:rPr>
                <w:rFonts w:ascii="Calibri" w:hAnsi="Calibri"/>
                <w:color w:val="333333"/>
                <w:sz w:val="20"/>
              </w:rPr>
              <w:t>Developed by Vasiha Jahagirdar | Data Analytics with Tableau</w:t>
            </w:r>
          </w:p>
        </w:tc>
      </w:tr>
      <w:tr>
        <w:tc>
          <w:tcPr>
            <w:tcW w:type="dxa" w:w="3168"/>
            <w:shd w:fill="F2F5F8"/>
            <w:tcMar>
              <w:top w:w="100" w:type="dxa"/>
              <w:bottom w:w="100" w:type="dxa"/>
              <w:left w:w="150" w:type="dxa"/>
              <w:right w:w="150" w:type="dxa"/>
            </w:tcMar>
          </w:tcPr>
          <w:p>
            <w:pPr>
              <w:jc w:val="left"/>
            </w:pPr>
            <w:r>
              <w:rPr>
                <w:rFonts w:ascii="Calibri" w:hAnsi="Calibri"/>
                <w:color w:val="333333"/>
                <w:sz w:val="20"/>
              </w:rPr>
              <w:t>Completion Date</w:t>
            </w:r>
          </w:p>
        </w:tc>
        <w:tc>
          <w:tcPr>
            <w:tcW w:type="dxa" w:w="6192"/>
            <w:shd w:fill="F2F5F8"/>
            <w:tcMar>
              <w:top w:w="100" w:type="dxa"/>
              <w:bottom w:w="100" w:type="dxa"/>
              <w:left w:w="150" w:type="dxa"/>
              <w:right w:w="150" w:type="dxa"/>
            </w:tcMar>
          </w:tcPr>
          <w:p>
            <w:pPr>
              <w:jc w:val="left"/>
            </w:pPr>
            <w:r>
              <w:rPr>
                <w:rFonts w:ascii="Calibri" w:hAnsi="Calibri"/>
                <w:color w:val="333333"/>
                <w:sz w:val="20"/>
              </w:rPr>
              <w:t>October 2026</w:t>
            </w:r>
          </w:p>
        </w:tc>
      </w:tr>
    </w:tbl>
    <w:p/>
    <w:p>
      <w:pPr>
        <w:spacing w:after="120" w:line="276" w:lineRule="auto"/>
      </w:pPr>
      <w:r>
        <w:rPr>
          <w:rFonts w:ascii="Calibri" w:hAnsi="Calibri"/>
          <w:color w:val="333333"/>
          <w:sz w:val="22"/>
        </w:rPr>
        <w:t>This 15-page document serves as the official final documentation for the end-to-end solution of the 'Global AI Adoption in Education' analytics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