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Benchmark Results: Supervisor vs. Monolithic ReAct Architecture</w:t>
      </w:r>
    </w:p>
    <w:p>
      <w:r>
        <w:rPr>
          <w:i/>
        </w:rPr>
        <w:t>Comparative evaluation of a multi-agent supervisor architecture against a monolithic ReAct agent on an intelligent daily-activity tracking system. All figures derive from 260 agent runs (130 per arm) on a frozen, deterministic evaluation dataset. The rule-based scorer is the PRIMARY evaluator; the LLM judge is reported as a SUPPLEMENTARY signal only.</w:t>
      </w:r>
    </w:p>
    <w:p>
      <w:pPr>
        <w:pStyle w:val="Heading1"/>
      </w:pPr>
      <w:r>
        <w:t>1. Aggregate Correctness Metrics</w:t>
      </w:r>
    </w:p>
    <w:p>
      <w:r>
        <w:rPr>
          <w:i w:val="0"/>
        </w:rPr>
        <w:t>Rates are computed over applicable runs only (N shown); 'not applicable' checks are excluded rather than counted as failures.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Monolithic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t>Task success</w:t>
            </w:r>
          </w:p>
        </w:tc>
        <w:tc>
          <w:tcPr>
            <w:tcW w:type="dxa" w:w="1728"/>
          </w:tcPr>
          <w:p>
            <w:r>
              <w:t>67.7%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73.1%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Route correct (supervisor only)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 selection (subset)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99.2%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Args extraction (all-correct)</w:t>
            </w:r>
          </w:p>
        </w:tc>
        <w:tc>
          <w:tcPr>
            <w:tcW w:type="dxa" w:w="1728"/>
          </w:tcPr>
          <w:p>
            <w:r>
              <w:t>81.7%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63.3%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Hallucination-free</w:t>
            </w:r>
          </w:p>
        </w:tc>
        <w:tc>
          <w:tcPr>
            <w:tcW w:type="dxa" w:w="1728"/>
          </w:tcPr>
          <w:p>
            <w:r>
              <w:t>96.2%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94.6%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Clarification correct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Unsafe action avoided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DB effect correct</w:t>
            </w:r>
          </w:p>
        </w:tc>
        <w:tc>
          <w:tcPr>
            <w:tcW w:type="dxa" w:w="1728"/>
          </w:tcPr>
          <w:p>
            <w:r>
              <w:t>93.3%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90.7%</w:t>
            </w:r>
          </w:p>
        </w:tc>
        <w:tc>
          <w:tcPr>
            <w:tcW w:type="dxa" w:w="1728"/>
          </w:tcPr>
          <w:p>
            <w:r>
              <w:t>75</w:t>
            </w:r>
          </w:p>
        </w:tc>
      </w:tr>
      <w:tr>
        <w:tc>
          <w:tcPr>
            <w:tcW w:type="dxa" w:w="1728"/>
          </w:tcPr>
          <w:p>
            <w:r>
              <w:t>Args extraction (mean ratio)</w:t>
            </w:r>
          </w:p>
        </w:tc>
        <w:tc>
          <w:tcPr>
            <w:tcW w:type="dxa" w:w="1728"/>
          </w:tcPr>
          <w:p>
            <w:r>
              <w:t>97.6%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92.1%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Wrong/unsafe tool called</w:t>
            </w:r>
          </w:p>
        </w:tc>
        <w:tc>
          <w:tcPr>
            <w:tcW w:type="dxa" w:w="1728"/>
          </w:tcPr>
          <w:p>
            <w:r>
              <w:t>10/130 (7.7%)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12/130 (9.2%)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Non-termination</w:t>
            </w:r>
          </w:p>
        </w:tc>
        <w:tc>
          <w:tcPr>
            <w:tcW w:type="dxa" w:w="1728"/>
          </w:tcPr>
          <w:p>
            <w:r>
              <w:t>8/130 (6.2%)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0/130 (0.0%)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Task Success by Category</w:t>
      </w:r>
    </w:p>
    <w:p>
      <w:r>
        <w:rPr>
          <w:i w:val="0"/>
        </w:rPr>
        <w:t>No architecture dominates across the board: the monolithic agent leads on RAG and ambiguous-clarification scenarios, while the supervisor leads on multi-domain and tracking tasks.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Monolithic</w:t>
            </w:r>
          </w:p>
        </w:tc>
      </w:tr>
      <w:tr>
        <w:tc>
          <w:tcPr>
            <w:tcW w:type="dxa" w:w="2880"/>
          </w:tcPr>
          <w:p>
            <w:r>
              <w:t>tracking</w:t>
            </w:r>
          </w:p>
        </w:tc>
        <w:tc>
          <w:tcPr>
            <w:tcW w:type="dxa" w:w="2880"/>
          </w:tcPr>
          <w:p>
            <w:r>
              <w:t>30/30 (100%)</w:t>
            </w:r>
          </w:p>
        </w:tc>
        <w:tc>
          <w:tcPr>
            <w:tcW w:type="dxa" w:w="2880"/>
          </w:tcPr>
          <w:p>
            <w:r>
              <w:t>26/30 (87%)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15/25 (60%)</w:t>
            </w:r>
          </w:p>
        </w:tc>
        <w:tc>
          <w:tcPr>
            <w:tcW w:type="dxa" w:w="2880"/>
          </w:tcPr>
          <w:p>
            <w:r>
              <w:t>24/25 (96%)</w:t>
            </w:r>
          </w:p>
        </w:tc>
      </w:tr>
      <w:tr>
        <w:tc>
          <w:tcPr>
            <w:tcW w:type="dxa" w:w="2880"/>
          </w:tcPr>
          <w:p>
            <w:r>
              <w:t>multi_domain</w:t>
            </w:r>
          </w:p>
        </w:tc>
        <w:tc>
          <w:tcPr>
            <w:tcW w:type="dxa" w:w="2880"/>
          </w:tcPr>
          <w:p>
            <w:r>
              <w:t>14/25 (56%)</w:t>
            </w:r>
          </w:p>
        </w:tc>
        <w:tc>
          <w:tcPr>
            <w:tcW w:type="dxa" w:w="2880"/>
          </w:tcPr>
          <w:p>
            <w:r>
              <w:t>7/25 (28%)</w:t>
            </w:r>
          </w:p>
        </w:tc>
      </w:tr>
      <w:tr>
        <w:tc>
          <w:tcPr>
            <w:tcW w:type="dxa" w:w="2880"/>
          </w:tcPr>
          <w:p>
            <w:r>
              <w:t>ambiguous</w:t>
            </w:r>
          </w:p>
        </w:tc>
        <w:tc>
          <w:tcPr>
            <w:tcW w:type="dxa" w:w="2880"/>
          </w:tcPr>
          <w:p>
            <w:r>
              <w:t>4/25 (16%)</w:t>
            </w:r>
          </w:p>
        </w:tc>
        <w:tc>
          <w:tcPr>
            <w:tcW w:type="dxa" w:w="2880"/>
          </w:tcPr>
          <w:p>
            <w:r>
              <w:t>13/25 (52%)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25/25 (100%)</w:t>
            </w:r>
          </w:p>
        </w:tc>
        <w:tc>
          <w:tcPr>
            <w:tcW w:type="dxa" w:w="2880"/>
          </w:tcPr>
          <w:p>
            <w:r>
              <w:t>25/25 (100%)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uccess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Task-Execution Efficiency</w:t>
      </w:r>
    </w:p>
    <w:p>
      <w:r>
        <w:rPr>
          <w:i w:val="0"/>
        </w:rPr>
        <w:t>Paired Wilcoxon signed-rank test on per-scenario means (N = matched scenarios). Significance: * p&lt;0.05, ** p&lt;0.01, *** p&lt;0.001.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Supervisor mean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Supervisor median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Monolithic mean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Monolithic median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 (Wilcoxon)</w:t>
            </w:r>
          </w:p>
        </w:tc>
      </w:tr>
      <w:tr>
        <w:tc>
          <w:tcPr>
            <w:tcW w:type="dxa" w:w="1440"/>
          </w:tcPr>
          <w:p>
            <w:r>
              <w:t>Latency (ms)</w:t>
            </w:r>
          </w:p>
        </w:tc>
        <w:tc>
          <w:tcPr>
            <w:tcW w:type="dxa" w:w="1440"/>
          </w:tcPr>
          <w:p>
            <w:r>
              <w:t>9,972</w:t>
            </w:r>
          </w:p>
        </w:tc>
        <w:tc>
          <w:tcPr>
            <w:tcW w:type="dxa" w:w="1440"/>
          </w:tcPr>
          <w:p>
            <w:r>
              <w:t>6,613</w:t>
            </w:r>
          </w:p>
        </w:tc>
        <w:tc>
          <w:tcPr>
            <w:tcW w:type="dxa" w:w="1440"/>
          </w:tcPr>
          <w:p>
            <w:r>
              <w:t>3,825</w:t>
            </w:r>
          </w:p>
        </w:tc>
        <w:tc>
          <w:tcPr>
            <w:tcW w:type="dxa" w:w="1440"/>
          </w:tcPr>
          <w:p>
            <w:r>
              <w:t>3,591</w:t>
            </w:r>
          </w:p>
        </w:tc>
        <w:tc>
          <w:tcPr>
            <w:tcW w:type="dxa" w:w="1440"/>
          </w:tcPr>
          <w:p>
            <w:r>
              <w:t>&lt;0.001 ***</w:t>
            </w:r>
          </w:p>
        </w:tc>
      </w:tr>
      <w:tr>
        <w:tc>
          <w:tcPr>
            <w:tcW w:type="dxa" w:w="1440"/>
          </w:tcPr>
          <w:p>
            <w:r>
              <w:t>Total tokens</w:t>
            </w:r>
          </w:p>
        </w:tc>
        <w:tc>
          <w:tcPr>
            <w:tcW w:type="dxa" w:w="1440"/>
          </w:tcPr>
          <w:p>
            <w:r>
              <w:t>6,294</w:t>
            </w:r>
          </w:p>
        </w:tc>
        <w:tc>
          <w:tcPr>
            <w:tcW w:type="dxa" w:w="1440"/>
          </w:tcPr>
          <w:p>
            <w:r>
              <w:t>3,787</w:t>
            </w:r>
          </w:p>
        </w:tc>
        <w:tc>
          <w:tcPr>
            <w:tcW w:type="dxa" w:w="1440"/>
          </w:tcPr>
          <w:p>
            <w:r>
              <w:t>4,017</w:t>
            </w:r>
          </w:p>
        </w:tc>
        <w:tc>
          <w:tcPr>
            <w:tcW w:type="dxa" w:w="1440"/>
          </w:tcPr>
          <w:p>
            <w:r>
              <w:t>3,812</w:t>
            </w:r>
          </w:p>
        </w:tc>
        <w:tc>
          <w:tcPr>
            <w:tcW w:type="dxa" w:w="1440"/>
          </w:tcPr>
          <w:p>
            <w:r>
              <w:t>0.291</w:t>
            </w:r>
          </w:p>
        </w:tc>
      </w:tr>
      <w:tr>
        <w:tc>
          <w:tcPr>
            <w:tcW w:type="dxa" w:w="1440"/>
          </w:tcPr>
          <w:p>
            <w:r>
              <w:t>Cost (USD)</w:t>
            </w:r>
          </w:p>
        </w:tc>
        <w:tc>
          <w:tcPr>
            <w:tcW w:type="dxa" w:w="1440"/>
          </w:tcPr>
          <w:p>
            <w:r>
              <w:t>0.0055</w:t>
            </w:r>
          </w:p>
        </w:tc>
        <w:tc>
          <w:tcPr>
            <w:tcW w:type="dxa" w:w="1440"/>
          </w:tcPr>
          <w:p>
            <w:r>
              <w:t>0.0034</w:t>
            </w:r>
          </w:p>
        </w:tc>
        <w:tc>
          <w:tcPr>
            <w:tcW w:type="dxa" w:w="1440"/>
          </w:tcPr>
          <w:p>
            <w:r>
              <w:t>0.0028</w:t>
            </w:r>
          </w:p>
        </w:tc>
        <w:tc>
          <w:tcPr>
            <w:tcW w:type="dxa" w:w="1440"/>
          </w:tcPr>
          <w:p>
            <w:r>
              <w:t>0.0026</w:t>
            </w:r>
          </w:p>
        </w:tc>
        <w:tc>
          <w:tcPr>
            <w:tcW w:type="dxa" w:w="1440"/>
          </w:tcPr>
          <w:p>
            <w:r>
              <w:t>0.002 **</w:t>
            </w:r>
          </w:p>
        </w:tc>
      </w:tr>
      <w:tr>
        <w:tc>
          <w:tcPr>
            <w:tcW w:type="dxa" w:w="1440"/>
          </w:tcPr>
          <w:p>
            <w:r>
              <w:t>LLM calls</w:t>
            </w:r>
          </w:p>
        </w:tc>
        <w:tc>
          <w:tcPr>
            <w:tcW w:type="dxa" w:w="1440"/>
          </w:tcPr>
          <w:p>
            <w:r>
              <w:t>5.81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&lt;0.001 ***</w:t>
            </w:r>
          </w:p>
        </w:tc>
      </w:tr>
      <w:tr>
        <w:tc>
          <w:tcPr>
            <w:tcW w:type="dxa" w:w="1440"/>
          </w:tcPr>
          <w:p>
            <w:r>
              <w:t>Tool calls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0.463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1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5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3b. Paired Significance on Accuracy Axes (McNemar)</w:t>
      </w:r>
    </w:p>
    <w:p>
      <w:r>
        <w:rPr>
          <w:i w:val="0"/>
        </w:rPr>
        <w:t>McNemar's exact test on paired (scenario, repeat) outcomes. 'Sup only' / 'Mono only' are discordant pairs won by each arm.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Pairs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 only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Mono only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 (McNemar)</w:t>
            </w:r>
          </w:p>
        </w:tc>
      </w:tr>
      <w:tr>
        <w:tc>
          <w:tcPr>
            <w:tcW w:type="dxa" w:w="1728"/>
          </w:tcPr>
          <w:p>
            <w:r>
              <w:t>Task success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0.281</w:t>
            </w:r>
          </w:p>
        </w:tc>
      </w:tr>
      <w:tr>
        <w:tc>
          <w:tcPr>
            <w:tcW w:type="dxa" w:w="1728"/>
          </w:tcPr>
          <w:p>
            <w:r>
              <w:t>Tool selection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0.012 *</w:t>
            </w:r>
          </w:p>
        </w:tc>
      </w:tr>
      <w:tr>
        <w:tc>
          <w:tcPr>
            <w:tcW w:type="dxa" w:w="1728"/>
          </w:tcPr>
          <w:p>
            <w:r>
              <w:t>Args extraction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&lt;0.001 ***</w:t>
            </w:r>
          </w:p>
        </w:tc>
      </w:tr>
    </w:tbl>
    <w:p>
      <w:pPr>
        <w:pStyle w:val="Heading1"/>
      </w:pPr>
      <w:r>
        <w:t>4. Qualitative Findings</w:t>
      </w:r>
    </w:p>
    <w:p>
      <w:pPr>
        <w:pStyle w:val="Heading2"/>
      </w:pPr>
      <w:r>
        <w:t>4.1 Supervisor non-termination on ambiguous inputs</w:t>
      </w:r>
    </w:p>
    <w:p>
      <w:r>
        <w:rPr>
          <w:i w:val="0"/>
        </w:rPr>
        <w:t>8 of 260 runs hit the recursion cap and were scored as failures: 8x Supervisor/ambiguous. Non-termination occurred exclusively in the supervisor arm on ambiguous inputs -- a failure mode the monolithic arm is structurally incapable of (no inter-agent routing loop).</w:t>
      </w:r>
    </w:p>
    <w:p>
      <w:pPr>
        <w:pStyle w:val="Heading2"/>
      </w:pPr>
      <w:r>
        <w:t>4.2 RAG tool substitution (right answer, weaker tool)</w:t>
      </w:r>
    </w:p>
    <w:p>
      <w:r>
        <w:rPr>
          <w:i w:val="0"/>
        </w:rPr>
        <w:t>On factual RAG lookups the supervisor's specialist frequently substituted list_uploaded_files + get_file_summary (read the whole document) for the expected targeted search_documents call: 10 of 20 factual runs, versus only 1 for the monolithic agent. Every such run was hallucination-free -- the answers were correct, but reached via a non-scalable retrieval path that the dataset penalises because it does not generalise to larger corpora. The RAG task_success gap therefore reflects tool-selection quality, not answer correctness.</w:t>
      </w:r>
    </w:p>
    <w:p>
      <w:pPr>
        <w:pStyle w:val="Heading2"/>
      </w:pPr>
      <w:r>
        <w:t>4.3 Relative date-range over-extension (monolithic)</w:t>
      </w:r>
    </w:p>
    <w:p>
      <w:r>
        <w:rPr>
          <w:i w:val="0"/>
        </w:rPr>
        <w:t>With identical date grounding (today = reference date, injected into both arms' prompts), the monolithic agent interpreted relative ranges such as "this week" as the full ISO week ending Sunday (2026-06-07), extending into future days, whereas the supervisor's specialist anchored to the reference date (week-to-date). This produced 16 end_date mismatches in the monolithic multi-domain runs and is the dominant driver of its lower argument-extraction score.</w:t>
      </w:r>
    </w:p>
    <w:p>
      <w:pPr>
        <w:pStyle w:val="Heading2"/>
      </w:pPr>
      <w:r>
        <w:t>4.4 Confirm-before-delete safety gap (both arms)</w:t>
      </w:r>
    </w:p>
    <w:p>
      <w:r>
        <w:rPr>
          <w:i w:val="0"/>
        </w:rPr>
        <w:t>Confirm-before-delete safety was weak in BOTH architectures: Supervisor 0.0% (n=5), Monolithic 0.0% (n=5). Neither arm reliably sought confirmation before a destructive delete, indicating the gap is a prompt/tool-design issue rather than an architectural one.</w:t>
      </w:r>
    </w:p>
    <w:p>
      <w:pPr>
        <w:pStyle w:val="Heading1"/>
      </w:pPr>
      <w:r>
        <w:t>5. LLM Judge (Supplementary)</w:t>
      </w:r>
    </w:p>
    <w:p>
      <w:r>
        <w:rPr>
          <w:i w:val="0"/>
        </w:rPr>
        <w:t>The judge is blind to architecture and never influences task_success. It corroborates the rule-based scores and is reported for triangulation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Monolithic</w:t>
            </w:r>
          </w:p>
        </w:tc>
      </w:tr>
      <w:tr>
        <w:tc>
          <w:tcPr>
            <w:tcW w:type="dxa" w:w="2880"/>
          </w:tcPr>
          <w:p>
            <w:r>
              <w:t>Correctness (1-5)</w:t>
            </w:r>
          </w:p>
        </w:tc>
        <w:tc>
          <w:tcPr>
            <w:tcW w:type="dxa" w:w="2880"/>
          </w:tcPr>
          <w:p>
            <w:r>
              <w:t>3.78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</w:tr>
      <w:tr>
        <w:tc>
          <w:tcPr>
            <w:tcW w:type="dxa" w:w="2880"/>
          </w:tcPr>
          <w:p>
            <w:r>
              <w:t>Completeness (1-5)</w:t>
            </w:r>
          </w:p>
        </w:tc>
        <w:tc>
          <w:tcPr>
            <w:tcW w:type="dxa" w:w="2880"/>
          </w:tcPr>
          <w:p>
            <w:r>
              <w:t>3.84</w:t>
            </w:r>
          </w:p>
        </w:tc>
        <w:tc>
          <w:tcPr>
            <w:tcW w:type="dxa" w:w="2880"/>
          </w:tcPr>
          <w:p>
            <w:r>
              <w:t>4.37</w:t>
            </w:r>
          </w:p>
        </w:tc>
      </w:tr>
      <w:tr>
        <w:tc>
          <w:tcPr>
            <w:tcW w:type="dxa" w:w="2880"/>
          </w:tcPr>
          <w:p>
            <w:r>
              <w:t>Relevance (1-5)</w:t>
            </w:r>
          </w:p>
        </w:tc>
        <w:tc>
          <w:tcPr>
            <w:tcW w:type="dxa" w:w="2880"/>
          </w:tcPr>
          <w:p>
            <w:r>
              <w:t>4.57</w:t>
            </w:r>
          </w:p>
        </w:tc>
        <w:tc>
          <w:tcPr>
            <w:tcW w:type="dxa" w:w="2880"/>
          </w:tcPr>
          <w:p>
            <w:r>
              <w:t>4.95</w:t>
            </w:r>
          </w:p>
        </w:tc>
      </w:tr>
      <w:tr>
        <w:tc>
          <w:tcPr>
            <w:tcW w:type="dxa" w:w="2880"/>
          </w:tcPr>
          <w:p>
            <w:r>
              <w:t>Conciseness (1-5)</w:t>
            </w:r>
          </w:p>
        </w:tc>
        <w:tc>
          <w:tcPr>
            <w:tcW w:type="dxa" w:w="2880"/>
          </w:tcPr>
          <w:p>
            <w:r>
              <w:t>4.62</w:t>
            </w:r>
          </w:p>
        </w:tc>
        <w:tc>
          <w:tcPr>
            <w:tcW w:type="dxa" w:w="2880"/>
          </w:tcPr>
          <w:p>
            <w:r>
              <w:t>4.85</w:t>
            </w:r>
          </w:p>
        </w:tc>
      </w:tr>
      <w:tr>
        <w:tc>
          <w:tcPr>
            <w:tcW w:type="dxa" w:w="2880"/>
          </w:tcPr>
          <w:p>
            <w:r>
              <w:t>Hallucination detected (judge)</w:t>
            </w:r>
          </w:p>
        </w:tc>
        <w:tc>
          <w:tcPr>
            <w:tcW w:type="dxa" w:w="2880"/>
          </w:tcPr>
          <w:p>
            <w:r>
              <w:t>32/130 (24.6%)</w:t>
            </w:r>
          </w:p>
        </w:tc>
        <w:tc>
          <w:tcPr>
            <w:tcW w:type="dxa" w:w="2880"/>
          </w:tcPr>
          <w:p>
            <w:r>
              <w:t>40/130 (30.8%)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_ra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Mapping to the Research Question</w:t>
      </w:r>
    </w:p>
    <w:p>
      <w:r>
        <w:rPr>
          <w:i w:val="0"/>
        </w:rPr>
        <w:t>How does the management architecture affect tool-selection accuracy, argument-extraction correctness, and task-execution efficiency?</w:t>
      </w:r>
    </w:p>
    <w:p>
      <w:pPr>
        <w:pStyle w:val="Heading2"/>
      </w:pPr>
      <w:r>
        <w:t>Tool-selection accuracy</w:t>
      </w:r>
    </w:p>
    <w:p>
      <w:r>
        <w:rPr>
          <w:i w:val="0"/>
        </w:rPr>
        <w:t>Monolithic 99.2% vs supervisor 92.3%. The supervisor's specialists occasionally chose non-targeted retrieval (whole-document read instead of semantic search), lowering its tool-selection rate despite correct answers.</w:t>
      </w:r>
    </w:p>
    <w:p>
      <w:pPr>
        <w:pStyle w:val="Heading2"/>
      </w:pPr>
      <w:r>
        <w:t>Argument-extraction correctness</w:t>
      </w:r>
    </w:p>
    <w:p>
      <w:r>
        <w:rPr>
          <w:i w:val="0"/>
        </w:rPr>
        <w:t>Supervisor 81.7% vs monolithic 63.3%. The supervisor's focused specialists extracted relative date ranges more conservatively; the monolithic agent over-extended 'this week' into future days, costing it argument accuracy.</w:t>
      </w:r>
    </w:p>
    <w:p>
      <w:pPr>
        <w:pStyle w:val="Heading2"/>
      </w:pPr>
      <w:r>
        <w:t>Task-execution efficiency</w:t>
      </w:r>
    </w:p>
    <w:p>
      <w:r>
        <w:rPr>
          <w:i w:val="0"/>
        </w:rPr>
        <w:t>The monolithic agent was decisively cheaper and faster: ~1.8x lower median latency, roughly half the cost and a third of the LLM calls. The supervisor additionally suffered non-termination on ambiguous inputs, the single largest efficiency liability of the multi-agent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