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D24D" w14:textId="77777777" w:rsidR="00874009" w:rsidRDefault="00000000">
      <w:pPr>
        <w:pStyle w:val="Title"/>
      </w:pPr>
      <w:r>
        <w:rPr>
          <w:color w:val="1F3A5F"/>
        </w:rPr>
        <w:t>Резултати от сравнителния бенчмарк: архитектура със супервайзор срещу монолитна ReAct архитектура</w:t>
      </w:r>
    </w:p>
    <w:p w14:paraId="61618D24" w14:textId="19845688" w:rsidR="00874009" w:rsidRDefault="00000000">
      <w:r>
        <w:rPr>
          <w:i/>
        </w:rPr>
        <w:t>Сравнителна оценка на многоагентна архитектура със супервайзор спрямо монолитен ReAct агент върху интелигентна система за проследяване на ежедневни дейности. Всички стойности произлизат от 260 изпълнения на агента (по 130 за всяка архитектура) върху детерминистичен набор от данни за оценка. Базираният на правила оценител е ОСНОВНИЯТ оценител; LLM съдията се докладва само като ДОПЪЛНИТЕЛЕН сигнал.</w:t>
      </w:r>
    </w:p>
    <w:p w14:paraId="76708E9E" w14:textId="77777777" w:rsidR="00874009" w:rsidRDefault="00000000">
      <w:pPr>
        <w:pStyle w:val="Heading1"/>
      </w:pPr>
      <w:r>
        <w:t>0. Методология на оценяване и въпроси към научния ръководител</w:t>
      </w:r>
    </w:p>
    <w:p w14:paraId="571C3CDB" w14:textId="77777777" w:rsidR="00874009" w:rsidRDefault="00000000">
      <w:r>
        <w:rPr>
          <w:i/>
        </w:rPr>
        <w:t>Този раздел обобщава КАК се измерват резултатите и КОИ методологични решения се нуждаят от одобрение, преди да започне писането на дипломната работа. Всички числа по-долу се основават на 260 изпълнения (по 130 на архитектура; 26 сценария × 5 повторения × 2 архитектури) върху детерминиран, изолиран набор от данни за оценка. Базираният на правила скорер е ОСНОВНИЯТ оценител; LLM съдията е само ДОПЪЛНИТЕЛЕН.</w:t>
      </w:r>
    </w:p>
    <w:p w14:paraId="71578854" w14:textId="77777777" w:rsidR="00874009" w:rsidRDefault="00000000">
      <w:pPr>
        <w:pStyle w:val="Heading2"/>
      </w:pPr>
      <w:r>
        <w:t>0.1 Изследователски въпрос и двете архитектури</w:t>
      </w:r>
    </w:p>
    <w:p w14:paraId="4615F880" w14:textId="77777777" w:rsidR="00874009" w:rsidRDefault="00000000">
      <w:r>
        <w:t>Изследователски въпрос: как управляващата архитектура влияе върху (1) точността на избора на инструмент, (2) коректността на извличането на аргументи и (3) ефективността на изпълнението на задачите.</w:t>
      </w:r>
    </w:p>
    <w:p w14:paraId="53EB1540" w14:textId="77777777" w:rsidR="00874009" w:rsidRDefault="00000000">
      <w:pPr>
        <w:pStyle w:val="ListBullet"/>
      </w:pPr>
      <w:r>
        <w:t>Супервайзор: рутер (супервайзор) + три специализирани ReAct агента — tracking (проследяване), rag (документи), general (общи).</w:t>
      </w:r>
    </w:p>
    <w:p w14:paraId="7C9B0E6A" w14:textId="77777777" w:rsidR="00874009" w:rsidRDefault="00000000">
      <w:pPr>
        <w:pStyle w:val="ListBullet"/>
      </w:pPr>
      <w:r>
        <w:t>Монолитен: един ReAct агент с обединението на всички инструменти и обединен системен промпт.</w:t>
      </w:r>
    </w:p>
    <w:p w14:paraId="6384F45D" w14:textId="77777777" w:rsidR="00874009" w:rsidRDefault="00000000">
      <w:r>
        <w:t>За да е честно сравнението, единствената разлика между двете архитектури е управляващата структура: и двете използват един и същ езиков модел (Gemini, temperature = 0), едни и същи инструменти и едни и същи системни промптове (просто обединени при монолитния агент).</w:t>
      </w:r>
    </w:p>
    <w:p w14:paraId="7E9F775D" w14:textId="77777777" w:rsidR="00874009" w:rsidRDefault="00000000">
      <w:pPr>
        <w:pStyle w:val="Heading2"/>
      </w:pPr>
      <w:r>
        <w:t>0.2 Как се изчислява task_success (успехът на задачата)</w:t>
      </w:r>
    </w:p>
    <w:p w14:paraId="46B313FC" w14:textId="77777777" w:rsidR="00874009" w:rsidRDefault="00000000">
      <w:r>
        <w:t>Оценяването е на два слоя:</w:t>
      </w:r>
    </w:p>
    <w:p w14:paraId="5F128549" w14:textId="77777777" w:rsidR="00874009" w:rsidRDefault="00000000">
      <w:pPr>
        <w:pStyle w:val="ListBullet"/>
      </w:pPr>
      <w:r>
        <w:t>Базиран на правила скорер (ОСНОВЕН): детерминиран и „чист“ — без LLM, без вход/изход, без база данни. Той е основата на всички изводи.</w:t>
      </w:r>
    </w:p>
    <w:p w14:paraId="64901A15" w14:textId="77777777" w:rsidR="00874009" w:rsidRDefault="00000000">
      <w:pPr>
        <w:pStyle w:val="ListBullet"/>
      </w:pPr>
      <w:r>
        <w:lastRenderedPageBreak/>
        <w:t>LLM съдия (ДОПЪЛНИТЕЛЕН): дава оценки за качество (1–5) само за триангулация и НИКОГА не влияе върху task_success; той е „сляп“ спрямо архитектурата.</w:t>
      </w:r>
    </w:p>
    <w:p w14:paraId="07458C4C" w14:textId="77777777" w:rsidR="00874009" w:rsidRDefault="00000000">
      <w:r>
        <w:t>task_success е логическо И (AND) на всички ПРИЛОЖИМИ проверки за конкретния сценарий. Проверка, която „не е приложима“, се изключва (стойност None), а НЕ се брои за провал. Например route_correct (верен маршрут) се прилага само при супервайзора, тъй като монолитният агент няма рутер.</w:t>
      </w:r>
    </w:p>
    <w:p w14:paraId="1223EBF8" w14:textId="77777777" w:rsidR="00874009" w:rsidRDefault="00000000">
      <w:pPr>
        <w:pStyle w:val="Heading2"/>
      </w:pPr>
      <w:r>
        <w:t>0.3 Метрики по трите оси на изследователския въпрос</w:t>
      </w:r>
    </w:p>
    <w:p w14:paraId="072050F4" w14:textId="77777777" w:rsidR="00874009" w:rsidRDefault="00000000">
      <w:pPr>
        <w:pStyle w:val="ListBullet"/>
      </w:pPr>
      <w:r>
        <w:t>Точност на избора на инструмент: tool_selection_correct — всички очаквани инструменти са били извикани.</w:t>
      </w:r>
    </w:p>
    <w:p w14:paraId="7DCE5B88" w14:textId="77777777" w:rsidR="00874009" w:rsidRDefault="00000000">
      <w:pPr>
        <w:pStyle w:val="ListBullet"/>
      </w:pPr>
      <w:r>
        <w:t>Коректност на аргументите: args_extraction_correct — всички очаквани параметри съвпадат (плюс частично съотношение на съвпаденията).</w:t>
      </w:r>
    </w:p>
    <w:p w14:paraId="709A67C4" w14:textId="77777777" w:rsidR="00874009" w:rsidRDefault="00000000">
      <w:pPr>
        <w:pStyle w:val="ListBullet"/>
      </w:pPr>
      <w:r>
        <w:t>Ефективност: латентност, токени, цена, брой извиквания на LLM, брой извиквания на инструменти.</w:t>
      </w:r>
    </w:p>
    <w:p w14:paraId="6E8BB1AD" w14:textId="77777777" w:rsidR="00874009" w:rsidRDefault="00000000">
      <w:r>
        <w:t>Поддържащи проверки: route_correct, hallucination_free (без халюцинации), clarification_correct (коректно уточняване), unsafe_action_avoided (избягнато опасно действие), db_effect_correct (верен ефект върху БД) и non_termination (незавършване).</w:t>
      </w:r>
    </w:p>
    <w:p w14:paraId="002C3436" w14:textId="77777777" w:rsidR="00874009" w:rsidRDefault="00000000">
      <w:pPr>
        <w:pStyle w:val="Heading2"/>
      </w:pPr>
      <w:r>
        <w:t>0.4 Политика за извикване на инструменти (снизходителна)</w:t>
      </w:r>
    </w:p>
    <w:p w14:paraId="3ADBA08F" w14:textId="77777777" w:rsidR="00874009" w:rsidRDefault="00000000">
      <w:r>
        <w:t>Политиката за инструментите е умишлено СНИЗХОДИТЕЛНА (lenient) и това е важно за тълкуването на резултатите:</w:t>
      </w:r>
    </w:p>
    <w:p w14:paraId="16AB567C" w14:textId="77777777" w:rsidR="00874009" w:rsidRDefault="00000000">
      <w:pPr>
        <w:pStyle w:val="ListBullet"/>
      </w:pPr>
      <w:r>
        <w:t>tool_selection_correct е проверка за ПОДМНОЖЕСТВО: всички очаквани инструменти трябва да са извикани; ДОПЪЛНИТЕЛНИ инструменти само за четене (read-only) се толерират и не носят наказание.</w:t>
      </w:r>
    </w:p>
    <w:p w14:paraId="46218E51" w14:textId="77777777" w:rsidR="00874009" w:rsidRDefault="00000000">
      <w:pPr>
        <w:pStyle w:val="ListBullet"/>
      </w:pPr>
      <w:r>
        <w:t>Наказват се само ЗАБРАНЕНИ инструменти и НЕОЧАКВАНИ записващи/разрушителни (write/destructive) инструменти.</w:t>
      </w:r>
    </w:p>
    <w:p w14:paraId="105D86E8" w14:textId="77777777" w:rsidR="00874009" w:rsidRDefault="00000000">
      <w:pPr>
        <w:pStyle w:val="Heading2"/>
      </w:pPr>
      <w:r>
        <w:t>0.5 Пример за анотиран сценарий (категория tracking)</w:t>
      </w:r>
    </w:p>
    <w:p w14:paraId="6F0D1EB6" w14:textId="77777777" w:rsidR="00874009" w:rsidRDefault="00000000">
      <w:r>
        <w:t>Всеки сценарий носи предварително зададена „истинна стойност“ (ground truth). Пример:</w:t>
      </w:r>
    </w:p>
    <w:tbl>
      <w:tblPr>
        <w:tblStyle w:val="LightGrid-Accent1"/>
        <w:tblW w:w="0" w:type="auto"/>
        <w:tblLook w:val="04A0" w:firstRow="1" w:lastRow="0" w:firstColumn="1" w:lastColumn="0" w:noHBand="0" w:noVBand="1"/>
      </w:tblPr>
      <w:tblGrid>
        <w:gridCol w:w="4320"/>
        <w:gridCol w:w="4320"/>
      </w:tblGrid>
      <w:tr w:rsidR="00874009" w14:paraId="47CF1554" w14:textId="77777777" w:rsidTr="00874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0214E" w14:textId="77777777" w:rsidR="00874009" w:rsidRDefault="00000000">
            <w:r>
              <w:t>Поле</w:t>
            </w:r>
          </w:p>
        </w:tc>
        <w:tc>
          <w:tcPr>
            <w:tcW w:w="4320" w:type="dxa"/>
          </w:tcPr>
          <w:p w14:paraId="33EA8A79" w14:textId="77777777" w:rsidR="00874009" w:rsidRDefault="00000000">
            <w:pPr>
              <w:cnfStyle w:val="100000000000" w:firstRow="1" w:lastRow="0" w:firstColumn="0" w:lastColumn="0" w:oddVBand="0" w:evenVBand="0" w:oddHBand="0" w:evenHBand="0" w:firstRowFirstColumn="0" w:firstRowLastColumn="0" w:lastRowFirstColumn="0" w:lastRowLastColumn="0"/>
            </w:pPr>
            <w:r>
              <w:t>Стойност (истинна стойност)</w:t>
            </w:r>
          </w:p>
        </w:tc>
      </w:tr>
      <w:tr w:rsidR="00874009" w14:paraId="36F4C9AC"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721B64" w14:textId="77777777" w:rsidR="00874009" w:rsidRDefault="00000000">
            <w:r>
              <w:t>Вход (потребител)</w:t>
            </w:r>
          </w:p>
        </w:tc>
        <w:tc>
          <w:tcPr>
            <w:tcW w:w="4320" w:type="dxa"/>
          </w:tcPr>
          <w:p w14:paraId="2A91D067" w14:textId="77777777" w:rsidR="00874009" w:rsidRDefault="00000000">
            <w:pPr>
              <w:cnfStyle w:val="000000100000" w:firstRow="0" w:lastRow="0" w:firstColumn="0" w:lastColumn="0" w:oddVBand="0" w:evenVBand="0" w:oddHBand="1" w:evenHBand="0" w:firstRowFirstColumn="0" w:firstRowLastColumn="0" w:lastRowFirstColumn="0" w:lastRowLastColumn="0"/>
            </w:pPr>
            <w:r>
              <w:t>„I spent 12.50 BGN on a protein shake today, that's a fitness expense.“</w:t>
            </w:r>
          </w:p>
        </w:tc>
      </w:tr>
      <w:tr w:rsidR="00874009" w14:paraId="2E15DFB7"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9A58C" w14:textId="77777777" w:rsidR="00874009" w:rsidRDefault="00000000">
            <w:r>
              <w:t>Очакван маршрут</w:t>
            </w:r>
          </w:p>
        </w:tc>
        <w:tc>
          <w:tcPr>
            <w:tcW w:w="4320" w:type="dxa"/>
          </w:tcPr>
          <w:p w14:paraId="0980D271" w14:textId="77777777" w:rsidR="00874009" w:rsidRDefault="00000000">
            <w:pPr>
              <w:cnfStyle w:val="000000010000" w:firstRow="0" w:lastRow="0" w:firstColumn="0" w:lastColumn="0" w:oddVBand="0" w:evenVBand="0" w:oddHBand="0" w:evenHBand="1" w:firstRowFirstColumn="0" w:firstRowLastColumn="0" w:lastRowFirstColumn="0" w:lastRowLastColumn="0"/>
            </w:pPr>
            <w:r>
              <w:t>tracking</w:t>
            </w:r>
          </w:p>
        </w:tc>
      </w:tr>
      <w:tr w:rsidR="00874009" w14:paraId="70AFBF90"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343ED5" w14:textId="77777777" w:rsidR="00874009" w:rsidRDefault="00000000">
            <w:r>
              <w:t>Очакван инструмент</w:t>
            </w:r>
          </w:p>
        </w:tc>
        <w:tc>
          <w:tcPr>
            <w:tcW w:w="4320" w:type="dxa"/>
          </w:tcPr>
          <w:p w14:paraId="275B3291" w14:textId="77777777" w:rsidR="00874009" w:rsidRDefault="00000000">
            <w:pPr>
              <w:cnfStyle w:val="000000100000" w:firstRow="0" w:lastRow="0" w:firstColumn="0" w:lastColumn="0" w:oddVBand="0" w:evenVBand="0" w:oddHBand="1" w:evenHBand="0" w:firstRowFirstColumn="0" w:firstRowLastColumn="0" w:lastRowFirstColumn="0" w:lastRowLastColumn="0"/>
            </w:pPr>
            <w:r>
              <w:t>log_expense (точно веднъж)</w:t>
            </w:r>
          </w:p>
        </w:tc>
      </w:tr>
      <w:tr w:rsidR="00874009" w14:paraId="3B6B7705"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54DDD1" w14:textId="77777777" w:rsidR="00874009" w:rsidRDefault="00000000">
            <w:r>
              <w:t>Очаквани аргументи</w:t>
            </w:r>
          </w:p>
        </w:tc>
        <w:tc>
          <w:tcPr>
            <w:tcW w:w="4320" w:type="dxa"/>
          </w:tcPr>
          <w:p w14:paraId="4FCE60FC" w14:textId="77777777" w:rsidR="00874009" w:rsidRDefault="00000000">
            <w:pPr>
              <w:cnfStyle w:val="000000010000" w:firstRow="0" w:lastRow="0" w:firstColumn="0" w:lastColumn="0" w:oddVBand="0" w:evenVBand="0" w:oddHBand="0" w:evenHBand="1" w:firstRowFirstColumn="0" w:firstRowLastColumn="0" w:lastRowFirstColumn="0" w:lastRowLastColumn="0"/>
            </w:pPr>
            <w:r>
              <w:t>amount = 12.5; category = Fitness; description = Protein shake; transaction_date = 2026-06-03 (днес)</w:t>
            </w:r>
          </w:p>
        </w:tc>
      </w:tr>
      <w:tr w:rsidR="00874009" w14:paraId="5D7E654C"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C1BBA2" w14:textId="77777777" w:rsidR="00874009" w:rsidRDefault="00000000">
            <w:r>
              <w:t>Очакван ефект върху БД</w:t>
            </w:r>
          </w:p>
        </w:tc>
        <w:tc>
          <w:tcPr>
            <w:tcW w:w="4320" w:type="dxa"/>
          </w:tcPr>
          <w:p w14:paraId="3747EDE6" w14:textId="77777777" w:rsidR="00874009" w:rsidRDefault="00000000">
            <w:pPr>
              <w:cnfStyle w:val="000000100000" w:firstRow="0" w:lastRow="0" w:firstColumn="0" w:lastColumn="0" w:oddVBand="0" w:evenVBand="0" w:oddHBand="1" w:evenHBand="0" w:firstRowFirstColumn="0" w:firstRowLastColumn="0" w:lastRowFirstColumn="0" w:lastRowLastColumn="0"/>
            </w:pPr>
            <w:r>
              <w:t>expenses_added = 1</w:t>
            </w:r>
          </w:p>
        </w:tc>
      </w:tr>
      <w:tr w:rsidR="00874009" w14:paraId="79BDE9C8"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00FF28" w14:textId="77777777" w:rsidR="00874009" w:rsidRDefault="00000000">
            <w:r>
              <w:t>Критерии за успех</w:t>
            </w:r>
          </w:p>
        </w:tc>
        <w:tc>
          <w:tcPr>
            <w:tcW w:w="4320" w:type="dxa"/>
          </w:tcPr>
          <w:p w14:paraId="2249869D" w14:textId="77777777" w:rsidR="00874009" w:rsidRDefault="00000000">
            <w:pPr>
              <w:cnfStyle w:val="000000010000" w:firstRow="0" w:lastRow="0" w:firstColumn="0" w:lastColumn="0" w:oddVBand="0" w:evenVBand="0" w:oddHBand="0" w:evenHBand="1" w:firstRowFirstColumn="0" w:firstRowLastColumn="0" w:lastRowFirstColumn="0" w:lastRowLastColumn="0"/>
            </w:pPr>
            <w:r>
              <w:t xml:space="preserve">верен инструмент И всички аргументи </w:t>
            </w:r>
            <w:r>
              <w:lastRenderedPageBreak/>
              <w:t>съвпадат И +1 нов разход И без халюцинации (И верен маршрут — само при супервайзора)</w:t>
            </w:r>
          </w:p>
        </w:tc>
      </w:tr>
    </w:tbl>
    <w:p w14:paraId="05BE9911" w14:textId="04F84F97" w:rsidR="00874009" w:rsidRDefault="00000000">
      <w:pPr>
        <w:pStyle w:val="Heading2"/>
      </w:pPr>
      <w:r>
        <w:lastRenderedPageBreak/>
        <w:t>0.6 Две решения — за изрично одобрение</w:t>
      </w:r>
    </w:p>
    <w:p w14:paraId="7C02DAF1" w14:textId="71602A05" w:rsidR="00874009" w:rsidRDefault="00000000">
      <w:r>
        <w:rPr>
          <w:b/>
        </w:rPr>
        <w:t>Следните две решения определят коя архитектура „печели“ по съответната ос и са въпрос на методологична преценка. Мол</w:t>
      </w:r>
      <w:r w:rsidR="00394529">
        <w:rPr>
          <w:b/>
          <w:lang w:val="bg-BG"/>
        </w:rPr>
        <w:t>я за</w:t>
      </w:r>
      <w:r>
        <w:rPr>
          <w:b/>
        </w:rPr>
        <w:t xml:space="preserve"> одобрение, преди да започн</w:t>
      </w:r>
      <w:r w:rsidR="00394529">
        <w:rPr>
          <w:b/>
          <w:lang w:val="bg-BG"/>
        </w:rPr>
        <w:t>а</w:t>
      </w:r>
      <w:r>
        <w:rPr>
          <w:b/>
        </w:rPr>
        <w:t xml:space="preserve"> писането.</w:t>
      </w:r>
    </w:p>
    <w:tbl>
      <w:tblPr>
        <w:tblStyle w:val="LightGrid-Accent1"/>
        <w:tblW w:w="0" w:type="auto"/>
        <w:tblLook w:val="04A0" w:firstRow="1" w:lastRow="0" w:firstColumn="1" w:lastColumn="0" w:noHBand="0" w:noVBand="1"/>
      </w:tblPr>
      <w:tblGrid>
        <w:gridCol w:w="2880"/>
        <w:gridCol w:w="2880"/>
        <w:gridCol w:w="2880"/>
      </w:tblGrid>
      <w:tr w:rsidR="00874009" w14:paraId="1BE69AD1" w14:textId="77777777" w:rsidTr="00874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6517B" w14:textId="77777777" w:rsidR="00874009" w:rsidRDefault="00000000">
            <w:r>
              <w:t>Решение</w:t>
            </w:r>
          </w:p>
        </w:tc>
        <w:tc>
          <w:tcPr>
            <w:tcW w:w="2880" w:type="dxa"/>
          </w:tcPr>
          <w:p w14:paraId="65C08DF5" w14:textId="77777777" w:rsidR="00874009" w:rsidRDefault="00000000">
            <w:pPr>
              <w:cnfStyle w:val="100000000000" w:firstRow="1" w:lastRow="0" w:firstColumn="0" w:lastColumn="0" w:oddVBand="0" w:evenVBand="0" w:oddHBand="0" w:evenHBand="0" w:firstRowFirstColumn="0" w:firstRowLastColumn="0" w:lastRowFirstColumn="0" w:lastRowLastColumn="0"/>
            </w:pPr>
            <w:r>
              <w:t>Какво приехме</w:t>
            </w:r>
          </w:p>
        </w:tc>
        <w:tc>
          <w:tcPr>
            <w:tcW w:w="2880" w:type="dxa"/>
          </w:tcPr>
          <w:p w14:paraId="2712EBA3" w14:textId="77777777" w:rsidR="00874009" w:rsidRDefault="00000000">
            <w:pPr>
              <w:cnfStyle w:val="100000000000" w:firstRow="1" w:lastRow="0" w:firstColumn="0" w:lastColumn="0" w:oddVBand="0" w:evenVBand="0" w:oddHBand="0" w:evenHBand="0" w:firstRowFirstColumn="0" w:firstRowLastColumn="0" w:lastRowFirstColumn="0" w:lastRowLastColumn="0"/>
            </w:pPr>
            <w:r>
              <w:t>Ефект и алтернатива</w:t>
            </w:r>
          </w:p>
        </w:tc>
      </w:tr>
      <w:tr w:rsidR="00874009" w14:paraId="6AF630A6"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CE0C27" w14:textId="77777777" w:rsidR="00874009" w:rsidRDefault="00000000">
            <w:r>
              <w:t>#1 Тълкуване на относителни диапазони („тази седмица“)</w:t>
            </w:r>
          </w:p>
        </w:tc>
        <w:tc>
          <w:tcPr>
            <w:tcW w:w="2880" w:type="dxa"/>
          </w:tcPr>
          <w:p w14:paraId="13B53845" w14:textId="77777777" w:rsidR="00874009" w:rsidRDefault="00000000">
            <w:pPr>
              <w:cnfStyle w:val="000000100000" w:firstRow="0" w:lastRow="0" w:firstColumn="0" w:lastColumn="0" w:oddVBand="0" w:evenVBand="0" w:oddHBand="1" w:evenHBand="0" w:firstRowFirstColumn="0" w:firstRowLastColumn="0" w:lastRowFirstColumn="0" w:lastRowLastColumn="0"/>
            </w:pPr>
            <w:r>
              <w:t>Брои се „от началото на седмицата ДО текущата дата“ (до 2026-06-03). Пълната ISO седмица (до неделя, 2026-06-07) се счита за ГРЕШКА при аргументите.</w:t>
            </w:r>
          </w:p>
        </w:tc>
        <w:tc>
          <w:tcPr>
            <w:tcW w:w="2880" w:type="dxa"/>
          </w:tcPr>
          <w:p w14:paraId="2A3C6B89" w14:textId="77777777" w:rsidR="00874009" w:rsidRDefault="00000000">
            <w:pPr>
              <w:cnfStyle w:val="000000100000" w:firstRow="0" w:lastRow="0" w:firstColumn="0" w:lastColumn="0" w:oddVBand="0" w:evenVBand="0" w:oddHBand="1" w:evenHBand="0" w:firstRowFirstColumn="0" w:firstRowLastColumn="0" w:lastRowFirstColumn="0" w:lastRowLastColumn="0"/>
            </w:pPr>
            <w:r>
              <w:t>Наказва монолитния агент (16 несъответствия в end_date). Алтернатива: да се приемат и двете тълкувания → разликата изчезва. Докладва се като находка.</w:t>
            </w:r>
          </w:p>
        </w:tc>
      </w:tr>
      <w:tr w:rsidR="00874009" w14:paraId="7351215A"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52DE5" w14:textId="77777777" w:rsidR="00874009" w:rsidRDefault="00000000">
            <w:r>
              <w:t>#2 Очакван инструмент за фактологичен RAG</w:t>
            </w:r>
          </w:p>
        </w:tc>
        <w:tc>
          <w:tcPr>
            <w:tcW w:w="2880" w:type="dxa"/>
          </w:tcPr>
          <w:p w14:paraId="1EAE58B9" w14:textId="77777777" w:rsidR="00874009" w:rsidRDefault="00000000">
            <w:pPr>
              <w:cnfStyle w:val="000000010000" w:firstRow="0" w:lastRow="0" w:firstColumn="0" w:lastColumn="0" w:oddVBand="0" w:evenVBand="0" w:oddHBand="0" w:evenHBand="1" w:firstRowFirstColumn="0" w:firstRowLastColumn="0" w:lastRowFirstColumn="0" w:lastRowLastColumn="0"/>
            </w:pPr>
            <w:r>
              <w:t>search_documents (целево семантично търсене) е очакваният инструмент. Прочитането на целия документ (list_uploaded_files + get_file_summary) се счита за грешен ИЗБОР на инструмент.</w:t>
            </w:r>
          </w:p>
        </w:tc>
        <w:tc>
          <w:tcPr>
            <w:tcW w:w="2880" w:type="dxa"/>
          </w:tcPr>
          <w:p w14:paraId="218E8355" w14:textId="77777777" w:rsidR="00874009" w:rsidRDefault="00000000">
            <w:pPr>
              <w:cnfStyle w:val="000000010000" w:firstRow="0" w:lastRow="0" w:firstColumn="0" w:lastColumn="0" w:oddVBand="0" w:evenVBand="0" w:oddHBand="0" w:evenHBand="1" w:firstRowFirstColumn="0" w:firstRowLastColumn="0" w:lastRowFirstColumn="0" w:lastRowLastColumn="0"/>
            </w:pPr>
            <w:r>
              <w:t>Наказва супервайзора (10 от 20 фактологични изпълнения), макар отговорите да са верни. Алтернатива: да се приеме и четенето на целия документ → RAG разликата изчезва. Докладва се като находка.</w:t>
            </w:r>
          </w:p>
        </w:tc>
      </w:tr>
    </w:tbl>
    <w:p w14:paraId="0A7972DC" w14:textId="2545C05A" w:rsidR="00874009" w:rsidRDefault="00394529">
      <w:r>
        <w:rPr>
          <w:lang w:val="bg-BG"/>
        </w:rPr>
        <w:t xml:space="preserve">Мисля, че </w:t>
      </w:r>
      <w:r w:rsidR="00000000">
        <w:t xml:space="preserve">да запазим и двете решения „строги“ и да ги докладваме като находки (вместо да разхлабваме скорера), защото (а) „до текущата дата“ е по-коректно </w:t>
      </w:r>
      <w:r>
        <w:rPr>
          <w:lang w:val="bg-BG"/>
        </w:rPr>
        <w:t>-</w:t>
      </w:r>
      <w:r w:rsidR="00000000">
        <w:t xml:space="preserve"> не може да се отчита харчене в бъдещи дни; и (б) наборът от данни вече разграничава обобщаване (get_file_summary) от фактологично извличане (search_documents), а четенето на целия документ не мащабира за по-големи корпуси.</w:t>
      </w:r>
    </w:p>
    <w:p w14:paraId="70380A75" w14:textId="77777777" w:rsidR="00874009" w:rsidRDefault="00000000">
      <w:pPr>
        <w:pStyle w:val="Heading2"/>
      </w:pPr>
      <w:r>
        <w:t>0.7 Ограничения</w:t>
      </w:r>
    </w:p>
    <w:p w14:paraId="30F60E9C" w14:textId="77777777" w:rsidR="00874009" w:rsidRDefault="00000000">
      <w:pPr>
        <w:pStyle w:val="ListBullet"/>
      </w:pPr>
      <w:r>
        <w:t>Малки документи при RAG — благоприятстват стратегията „прочети целия документ“.</w:t>
      </w:r>
    </w:p>
    <w:p w14:paraId="6A9B43EC" w14:textId="77777777" w:rsidR="00874009" w:rsidRDefault="00000000">
      <w:pPr>
        <w:pStyle w:val="ListBullet"/>
      </w:pPr>
      <w:r>
        <w:t>N = 5 повторения на сценарий — основа за сдвоените статистически тестове.</w:t>
      </w:r>
    </w:p>
    <w:p w14:paraId="618998FD" w14:textId="77777777" w:rsidR="00874009" w:rsidRDefault="00000000">
      <w:pPr>
        <w:pStyle w:val="ListBullet"/>
      </w:pPr>
      <w:r>
        <w:t>Недетерминираност на езиковия модел въпреки temperature = 0.</w:t>
      </w:r>
    </w:p>
    <w:p w14:paraId="76BEFD18" w14:textId="77777777" w:rsidR="00874009" w:rsidRDefault="00000000">
      <w:pPr>
        <w:pStyle w:val="ListBullet"/>
      </w:pPr>
      <w:r>
        <w:t>non_termination се отчита като ПРОВАЛ (8 случая, всички при супервайзора при двусмислени входове).</w:t>
      </w:r>
    </w:p>
    <w:p w14:paraId="18008419" w14:textId="7FF11615" w:rsidR="00874009" w:rsidRDefault="00000000">
      <w:pPr>
        <w:pStyle w:val="ListBullet"/>
      </w:pPr>
      <w:r>
        <w:t xml:space="preserve">Отделна, изолирана база данни за оценка — не докосва продукционни данни. </w:t>
      </w:r>
    </w:p>
    <w:p w14:paraId="66D868A7" w14:textId="77777777" w:rsidR="00874009" w:rsidRDefault="00000000">
      <w:pPr>
        <w:pStyle w:val="Heading2"/>
      </w:pPr>
      <w:r>
        <w:t>0.8 Ключови находки и въпроси за обсъждане</w:t>
      </w:r>
    </w:p>
    <w:p w14:paraId="1733CA01" w14:textId="77777777" w:rsidR="00874009" w:rsidRDefault="00000000">
      <w:r>
        <w:t>Накратко какво показват данните (подробности в раздели 1–6):</w:t>
      </w:r>
    </w:p>
    <w:p w14:paraId="38D93B17" w14:textId="77777777" w:rsidR="00874009" w:rsidRDefault="00000000">
      <w:pPr>
        <w:pStyle w:val="ListBullet"/>
      </w:pPr>
      <w:r>
        <w:t>Общата разлика в task_success (67,7% срещу 73,1%) НЕ е статистически значима (Макнемар p = 0,281).</w:t>
      </w:r>
    </w:p>
    <w:p w14:paraId="00BCBA13" w14:textId="77777777" w:rsidR="00874009" w:rsidRDefault="00000000">
      <w:pPr>
        <w:pStyle w:val="ListBullet"/>
      </w:pPr>
      <w:r>
        <w:lastRenderedPageBreak/>
        <w:t>Значими разлики в ПРОТИВОПОЛОЖНИ посоки по подосите: монолитният е по-добър при избора на инструмент (p = 0,012); супервайзорът — при извличането на аргументи (p &lt; 0,001).</w:t>
      </w:r>
    </w:p>
    <w:p w14:paraId="633B20C6" w14:textId="77777777" w:rsidR="00874009" w:rsidRDefault="00000000">
      <w:pPr>
        <w:pStyle w:val="ListBullet"/>
      </w:pPr>
      <w:r>
        <w:t>Ефективността е значимо в полза на монолитния (латентност и брой LLM извиквания p &lt; 0,001; цена p = 0,002); токените НЕ се различават значимо (p = 0,291).</w:t>
      </w:r>
    </w:p>
    <w:p w14:paraId="6E653CC5" w14:textId="77777777" w:rsidR="00874009" w:rsidRDefault="00000000">
      <w:pPr>
        <w:pStyle w:val="ListBullet"/>
      </w:pPr>
      <w:r>
        <w:t>Четири качествени находки: незавършване при супервайзора; замяна на RAG инструмента; свръхразширяване на дати; пропуск в безопасността и при двете архитектури.</w:t>
      </w:r>
    </w:p>
    <w:p w14:paraId="3CD94C00" w14:textId="77777777" w:rsidR="00874009" w:rsidRDefault="00000000">
      <w:r>
        <w:rPr>
          <w:b/>
        </w:rPr>
        <w:t>Въпроси към научния ръководител:</w:t>
      </w:r>
    </w:p>
    <w:p w14:paraId="77456E58" w14:textId="5EE91837" w:rsidR="00874009" w:rsidRDefault="00000000">
      <w:r>
        <w:t xml:space="preserve">1. Одобрявате ли решение #1 (дати — „до текущата </w:t>
      </w:r>
      <w:proofErr w:type="gramStart"/>
      <w:r>
        <w:t>дата“ вместо</w:t>
      </w:r>
      <w:proofErr w:type="gramEnd"/>
      <w:r>
        <w:t xml:space="preserve"> пълна седмица)?</w:t>
      </w:r>
    </w:p>
    <w:p w14:paraId="3DA717B6" w14:textId="2F52E819" w:rsidR="00874009" w:rsidRDefault="00000000">
      <w:r>
        <w:t>2. Одобрявате ли решение #2 (RAG — search_documents като очакван инструмент)?</w:t>
      </w:r>
    </w:p>
    <w:p w14:paraId="5903EC43" w14:textId="481C47E6" w:rsidR="00874009" w:rsidRDefault="003A39C1">
      <w:r>
        <w:rPr>
          <w:lang w:val="bg-BG"/>
        </w:rPr>
        <w:t>3</w:t>
      </w:r>
      <w:r w:rsidR="00000000">
        <w:t>. Приемливо ли е task_success да зависи и от избора на инструмент (т.е. верен отговор с „неочакван“ инструмент да се брои за провал)?</w:t>
      </w:r>
    </w:p>
    <w:p w14:paraId="068BB71C" w14:textId="7B2D26A0" w:rsidR="00874009" w:rsidRDefault="003A39C1">
      <w:r>
        <w:rPr>
          <w:lang w:val="bg-BG"/>
        </w:rPr>
        <w:t>4</w:t>
      </w:r>
      <w:r w:rsidR="00000000">
        <w:t>. Достатъчни ли са N = 5 повторения за сдвоените тестове (Уилкоксън/Макнемар)?</w:t>
      </w:r>
    </w:p>
    <w:p w14:paraId="38FC6ECF" w14:textId="57EBE9DE" w:rsidR="00874009" w:rsidRDefault="003A39C1">
      <w:r>
        <w:rPr>
          <w:lang w:val="bg-BG"/>
        </w:rPr>
        <w:t>5</w:t>
      </w:r>
      <w:r w:rsidR="00000000">
        <w:t>. Да се докладва ли non_termination като провал (както е сега)?</w:t>
      </w:r>
    </w:p>
    <w:p w14:paraId="7EC60529" w14:textId="096EE9F8" w:rsidR="00874009" w:rsidRDefault="003A39C1">
      <w:r>
        <w:rPr>
          <w:lang w:val="bg-BG"/>
        </w:rPr>
        <w:t>6</w:t>
      </w:r>
      <w:r w:rsidR="00000000">
        <w:t>. Приемлива ли е снизходителната политика за инструментите (толериране на допълнителни извиквания само за четене)?</w:t>
      </w:r>
      <w:r w:rsidR="00000000">
        <w:br w:type="page"/>
      </w:r>
    </w:p>
    <w:p w14:paraId="0DC100F7" w14:textId="77777777" w:rsidR="00874009" w:rsidRDefault="00000000">
      <w:pPr>
        <w:pStyle w:val="Heading1"/>
      </w:pPr>
      <w:r>
        <w:lastRenderedPageBreak/>
        <w:t>1. Обобщени метрики за коректност</w:t>
      </w:r>
    </w:p>
    <w:p w14:paraId="404EBC00" w14:textId="77777777" w:rsidR="00874009" w:rsidRDefault="00000000">
      <w:r>
        <w:t>Процентите се изчисляват само върху приложимите изпълнения (показано е N); проверките „неприложимо“ се изключват, вместо да се броят като неуспехи.</w:t>
      </w:r>
    </w:p>
    <w:tbl>
      <w:tblPr>
        <w:tblStyle w:val="LightGrid-Accent1"/>
        <w:tblW w:w="0" w:type="auto"/>
        <w:tblLook w:val="04A0" w:firstRow="1" w:lastRow="0" w:firstColumn="1" w:lastColumn="0" w:noHBand="0" w:noVBand="1"/>
      </w:tblPr>
      <w:tblGrid>
        <w:gridCol w:w="1872"/>
        <w:gridCol w:w="1728"/>
        <w:gridCol w:w="1728"/>
        <w:gridCol w:w="1728"/>
        <w:gridCol w:w="1728"/>
      </w:tblGrid>
      <w:tr w:rsidR="00874009" w14:paraId="18170676" w14:textId="77777777" w:rsidTr="00874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8F35A7" w14:textId="77777777" w:rsidR="00874009" w:rsidRDefault="00000000">
            <w:r>
              <w:t>Метрика</w:t>
            </w:r>
          </w:p>
        </w:tc>
        <w:tc>
          <w:tcPr>
            <w:tcW w:w="1728" w:type="dxa"/>
          </w:tcPr>
          <w:p w14:paraId="3C09FF7D" w14:textId="77777777" w:rsidR="00874009" w:rsidRDefault="00000000">
            <w:pPr>
              <w:cnfStyle w:val="100000000000" w:firstRow="1" w:lastRow="0" w:firstColumn="0" w:lastColumn="0" w:oddVBand="0" w:evenVBand="0" w:oddHBand="0" w:evenHBand="0" w:firstRowFirstColumn="0" w:firstRowLastColumn="0" w:lastRowFirstColumn="0" w:lastRowLastColumn="0"/>
            </w:pPr>
            <w:r>
              <w:t>Супервайзор</w:t>
            </w:r>
          </w:p>
        </w:tc>
        <w:tc>
          <w:tcPr>
            <w:tcW w:w="1728" w:type="dxa"/>
          </w:tcPr>
          <w:p w14:paraId="669B449C" w14:textId="77777777" w:rsidR="00874009" w:rsidRDefault="00000000">
            <w:pPr>
              <w:cnfStyle w:val="100000000000" w:firstRow="1" w:lastRow="0" w:firstColumn="0" w:lastColumn="0" w:oddVBand="0" w:evenVBand="0" w:oddHBand="0" w:evenHBand="0" w:firstRowFirstColumn="0" w:firstRowLastColumn="0" w:lastRowFirstColumn="0" w:lastRowLastColumn="0"/>
            </w:pPr>
            <w:r>
              <w:t>N</w:t>
            </w:r>
          </w:p>
        </w:tc>
        <w:tc>
          <w:tcPr>
            <w:tcW w:w="1728" w:type="dxa"/>
          </w:tcPr>
          <w:p w14:paraId="6DA40B95" w14:textId="77777777" w:rsidR="00874009" w:rsidRDefault="00000000">
            <w:pPr>
              <w:cnfStyle w:val="100000000000" w:firstRow="1" w:lastRow="0" w:firstColumn="0" w:lastColumn="0" w:oddVBand="0" w:evenVBand="0" w:oddHBand="0" w:evenHBand="0" w:firstRowFirstColumn="0" w:firstRowLastColumn="0" w:lastRowFirstColumn="0" w:lastRowLastColumn="0"/>
            </w:pPr>
            <w:r>
              <w:t>Монолитен</w:t>
            </w:r>
          </w:p>
        </w:tc>
        <w:tc>
          <w:tcPr>
            <w:tcW w:w="1728" w:type="dxa"/>
          </w:tcPr>
          <w:p w14:paraId="495D3715" w14:textId="77777777" w:rsidR="00874009" w:rsidRDefault="00000000">
            <w:pPr>
              <w:cnfStyle w:val="100000000000" w:firstRow="1" w:lastRow="0" w:firstColumn="0" w:lastColumn="0" w:oddVBand="0" w:evenVBand="0" w:oddHBand="0" w:evenHBand="0" w:firstRowFirstColumn="0" w:firstRowLastColumn="0" w:lastRowFirstColumn="0" w:lastRowLastColumn="0"/>
            </w:pPr>
            <w:r>
              <w:t>N</w:t>
            </w:r>
          </w:p>
        </w:tc>
      </w:tr>
      <w:tr w:rsidR="00874009" w14:paraId="5EE316D3"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5F8A93" w14:textId="77777777" w:rsidR="00874009" w:rsidRDefault="00000000">
            <w:r>
              <w:t>Успех на задачата</w:t>
            </w:r>
          </w:p>
        </w:tc>
        <w:tc>
          <w:tcPr>
            <w:tcW w:w="1728" w:type="dxa"/>
          </w:tcPr>
          <w:p w14:paraId="5A53FB99" w14:textId="77777777" w:rsidR="00874009" w:rsidRDefault="00000000">
            <w:pPr>
              <w:cnfStyle w:val="000000100000" w:firstRow="0" w:lastRow="0" w:firstColumn="0" w:lastColumn="0" w:oddVBand="0" w:evenVBand="0" w:oddHBand="1" w:evenHBand="0" w:firstRowFirstColumn="0" w:firstRowLastColumn="0" w:lastRowFirstColumn="0" w:lastRowLastColumn="0"/>
            </w:pPr>
            <w:r>
              <w:t>67.7%</w:t>
            </w:r>
          </w:p>
        </w:tc>
        <w:tc>
          <w:tcPr>
            <w:tcW w:w="1728" w:type="dxa"/>
          </w:tcPr>
          <w:p w14:paraId="62E80062"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c>
          <w:tcPr>
            <w:tcW w:w="1728" w:type="dxa"/>
          </w:tcPr>
          <w:p w14:paraId="7963ADB4" w14:textId="77777777" w:rsidR="00874009" w:rsidRDefault="00000000">
            <w:pPr>
              <w:cnfStyle w:val="000000100000" w:firstRow="0" w:lastRow="0" w:firstColumn="0" w:lastColumn="0" w:oddVBand="0" w:evenVBand="0" w:oddHBand="1" w:evenHBand="0" w:firstRowFirstColumn="0" w:firstRowLastColumn="0" w:lastRowFirstColumn="0" w:lastRowLastColumn="0"/>
            </w:pPr>
            <w:r>
              <w:t>73.1%</w:t>
            </w:r>
          </w:p>
        </w:tc>
        <w:tc>
          <w:tcPr>
            <w:tcW w:w="1728" w:type="dxa"/>
          </w:tcPr>
          <w:p w14:paraId="000BC722"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r>
      <w:tr w:rsidR="00874009" w14:paraId="7509A01B"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EF94B0" w14:textId="77777777" w:rsidR="00874009" w:rsidRDefault="00000000">
            <w:r>
              <w:t>Коректно маршрутизиране (само супервайзор)</w:t>
            </w:r>
          </w:p>
        </w:tc>
        <w:tc>
          <w:tcPr>
            <w:tcW w:w="1728" w:type="dxa"/>
          </w:tcPr>
          <w:p w14:paraId="2A280AF7" w14:textId="77777777" w:rsidR="00874009" w:rsidRDefault="00000000">
            <w:pPr>
              <w:cnfStyle w:val="000000010000" w:firstRow="0" w:lastRow="0" w:firstColumn="0" w:lastColumn="0" w:oddVBand="0" w:evenVBand="0" w:oddHBand="0" w:evenHBand="1" w:firstRowFirstColumn="0" w:firstRowLastColumn="0" w:lastRowFirstColumn="0" w:lastRowLastColumn="0"/>
            </w:pPr>
            <w:r>
              <w:t>100.0%</w:t>
            </w:r>
          </w:p>
        </w:tc>
        <w:tc>
          <w:tcPr>
            <w:tcW w:w="1728" w:type="dxa"/>
          </w:tcPr>
          <w:p w14:paraId="5D397634" w14:textId="77777777" w:rsidR="00874009" w:rsidRDefault="00000000">
            <w:pPr>
              <w:cnfStyle w:val="000000010000" w:firstRow="0" w:lastRow="0" w:firstColumn="0" w:lastColumn="0" w:oddVBand="0" w:evenVBand="0" w:oddHBand="0" w:evenHBand="1" w:firstRowFirstColumn="0" w:firstRowLastColumn="0" w:lastRowFirstColumn="0" w:lastRowLastColumn="0"/>
            </w:pPr>
            <w:r>
              <w:t>130</w:t>
            </w:r>
          </w:p>
        </w:tc>
        <w:tc>
          <w:tcPr>
            <w:tcW w:w="1728" w:type="dxa"/>
          </w:tcPr>
          <w:p w14:paraId="007885E1" w14:textId="77777777" w:rsidR="00874009"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2AB4CC2D" w14:textId="77777777" w:rsidR="00874009" w:rsidRDefault="00000000">
            <w:pPr>
              <w:cnfStyle w:val="000000010000" w:firstRow="0" w:lastRow="0" w:firstColumn="0" w:lastColumn="0" w:oddVBand="0" w:evenVBand="0" w:oddHBand="0" w:evenHBand="1" w:firstRowFirstColumn="0" w:firstRowLastColumn="0" w:lastRowFirstColumn="0" w:lastRowLastColumn="0"/>
            </w:pPr>
            <w:r>
              <w:t>0</w:t>
            </w:r>
          </w:p>
        </w:tc>
      </w:tr>
      <w:tr w:rsidR="00874009" w14:paraId="6C05015C"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501546" w14:textId="77777777" w:rsidR="00874009" w:rsidRDefault="00000000">
            <w:r>
              <w:t>Избор на инструмент (подмножество)</w:t>
            </w:r>
          </w:p>
        </w:tc>
        <w:tc>
          <w:tcPr>
            <w:tcW w:w="1728" w:type="dxa"/>
          </w:tcPr>
          <w:p w14:paraId="544CD80C" w14:textId="77777777" w:rsidR="00874009" w:rsidRDefault="00000000">
            <w:pPr>
              <w:cnfStyle w:val="000000100000" w:firstRow="0" w:lastRow="0" w:firstColumn="0" w:lastColumn="0" w:oddVBand="0" w:evenVBand="0" w:oddHBand="1" w:evenHBand="0" w:firstRowFirstColumn="0" w:firstRowLastColumn="0" w:lastRowFirstColumn="0" w:lastRowLastColumn="0"/>
            </w:pPr>
            <w:r>
              <w:t>92.3%</w:t>
            </w:r>
          </w:p>
        </w:tc>
        <w:tc>
          <w:tcPr>
            <w:tcW w:w="1728" w:type="dxa"/>
          </w:tcPr>
          <w:p w14:paraId="2309385A"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c>
          <w:tcPr>
            <w:tcW w:w="1728" w:type="dxa"/>
          </w:tcPr>
          <w:p w14:paraId="33C38F11" w14:textId="77777777" w:rsidR="00874009" w:rsidRDefault="00000000">
            <w:pPr>
              <w:cnfStyle w:val="000000100000" w:firstRow="0" w:lastRow="0" w:firstColumn="0" w:lastColumn="0" w:oddVBand="0" w:evenVBand="0" w:oddHBand="1" w:evenHBand="0" w:firstRowFirstColumn="0" w:firstRowLastColumn="0" w:lastRowFirstColumn="0" w:lastRowLastColumn="0"/>
            </w:pPr>
            <w:r>
              <w:t>99.2%</w:t>
            </w:r>
          </w:p>
        </w:tc>
        <w:tc>
          <w:tcPr>
            <w:tcW w:w="1728" w:type="dxa"/>
          </w:tcPr>
          <w:p w14:paraId="705445C1"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r>
      <w:tr w:rsidR="00874009" w14:paraId="329E37C6"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121731" w14:textId="77777777" w:rsidR="00874009" w:rsidRDefault="00000000">
            <w:r>
              <w:t>Извличане на аргументи (всички верни)</w:t>
            </w:r>
          </w:p>
        </w:tc>
        <w:tc>
          <w:tcPr>
            <w:tcW w:w="1728" w:type="dxa"/>
          </w:tcPr>
          <w:p w14:paraId="2C107484" w14:textId="77777777" w:rsidR="00874009" w:rsidRDefault="00000000">
            <w:pPr>
              <w:cnfStyle w:val="000000010000" w:firstRow="0" w:lastRow="0" w:firstColumn="0" w:lastColumn="0" w:oddVBand="0" w:evenVBand="0" w:oddHBand="0" w:evenHBand="1" w:firstRowFirstColumn="0" w:firstRowLastColumn="0" w:lastRowFirstColumn="0" w:lastRowLastColumn="0"/>
            </w:pPr>
            <w:r>
              <w:t>81.7%</w:t>
            </w:r>
          </w:p>
        </w:tc>
        <w:tc>
          <w:tcPr>
            <w:tcW w:w="1728" w:type="dxa"/>
          </w:tcPr>
          <w:p w14:paraId="0E52AAE5" w14:textId="77777777" w:rsidR="00874009" w:rsidRDefault="00000000">
            <w:pPr>
              <w:cnfStyle w:val="000000010000" w:firstRow="0" w:lastRow="0" w:firstColumn="0" w:lastColumn="0" w:oddVBand="0" w:evenVBand="0" w:oddHBand="0" w:evenHBand="1" w:firstRowFirstColumn="0" w:firstRowLastColumn="0" w:lastRowFirstColumn="0" w:lastRowLastColumn="0"/>
            </w:pPr>
            <w:r>
              <w:t>60</w:t>
            </w:r>
          </w:p>
        </w:tc>
        <w:tc>
          <w:tcPr>
            <w:tcW w:w="1728" w:type="dxa"/>
          </w:tcPr>
          <w:p w14:paraId="1472DCD9" w14:textId="77777777" w:rsidR="00874009" w:rsidRDefault="00000000">
            <w:pPr>
              <w:cnfStyle w:val="000000010000" w:firstRow="0" w:lastRow="0" w:firstColumn="0" w:lastColumn="0" w:oddVBand="0" w:evenVBand="0" w:oddHBand="0" w:evenHBand="1" w:firstRowFirstColumn="0" w:firstRowLastColumn="0" w:lastRowFirstColumn="0" w:lastRowLastColumn="0"/>
            </w:pPr>
            <w:r>
              <w:t>63.3%</w:t>
            </w:r>
          </w:p>
        </w:tc>
        <w:tc>
          <w:tcPr>
            <w:tcW w:w="1728" w:type="dxa"/>
          </w:tcPr>
          <w:p w14:paraId="158F3984" w14:textId="77777777" w:rsidR="00874009" w:rsidRDefault="00000000">
            <w:pPr>
              <w:cnfStyle w:val="000000010000" w:firstRow="0" w:lastRow="0" w:firstColumn="0" w:lastColumn="0" w:oddVBand="0" w:evenVBand="0" w:oddHBand="0" w:evenHBand="1" w:firstRowFirstColumn="0" w:firstRowLastColumn="0" w:lastRowFirstColumn="0" w:lastRowLastColumn="0"/>
            </w:pPr>
            <w:r>
              <w:t>60</w:t>
            </w:r>
          </w:p>
        </w:tc>
      </w:tr>
      <w:tr w:rsidR="00874009" w14:paraId="17030255"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CE70F5" w14:textId="77777777" w:rsidR="00874009" w:rsidRDefault="00000000">
            <w:r>
              <w:t>Без халюцинации</w:t>
            </w:r>
          </w:p>
        </w:tc>
        <w:tc>
          <w:tcPr>
            <w:tcW w:w="1728" w:type="dxa"/>
          </w:tcPr>
          <w:p w14:paraId="5CD05286" w14:textId="77777777" w:rsidR="00874009" w:rsidRDefault="00000000">
            <w:pPr>
              <w:cnfStyle w:val="000000100000" w:firstRow="0" w:lastRow="0" w:firstColumn="0" w:lastColumn="0" w:oddVBand="0" w:evenVBand="0" w:oddHBand="1" w:evenHBand="0" w:firstRowFirstColumn="0" w:firstRowLastColumn="0" w:lastRowFirstColumn="0" w:lastRowLastColumn="0"/>
            </w:pPr>
            <w:r>
              <w:t>96.2%</w:t>
            </w:r>
          </w:p>
        </w:tc>
        <w:tc>
          <w:tcPr>
            <w:tcW w:w="1728" w:type="dxa"/>
          </w:tcPr>
          <w:p w14:paraId="3EFAD1B2"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c>
          <w:tcPr>
            <w:tcW w:w="1728" w:type="dxa"/>
          </w:tcPr>
          <w:p w14:paraId="374B6C89" w14:textId="77777777" w:rsidR="00874009" w:rsidRDefault="00000000">
            <w:pPr>
              <w:cnfStyle w:val="000000100000" w:firstRow="0" w:lastRow="0" w:firstColumn="0" w:lastColumn="0" w:oddVBand="0" w:evenVBand="0" w:oddHBand="1" w:evenHBand="0" w:firstRowFirstColumn="0" w:firstRowLastColumn="0" w:lastRowFirstColumn="0" w:lastRowLastColumn="0"/>
            </w:pPr>
            <w:r>
              <w:t>94.6%</w:t>
            </w:r>
          </w:p>
        </w:tc>
        <w:tc>
          <w:tcPr>
            <w:tcW w:w="1728" w:type="dxa"/>
          </w:tcPr>
          <w:p w14:paraId="638F9990"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r>
      <w:tr w:rsidR="00874009" w14:paraId="4CC77183"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7D2243" w14:textId="77777777" w:rsidR="00874009" w:rsidRDefault="00000000">
            <w:r>
              <w:t>Коректно уточнение</w:t>
            </w:r>
          </w:p>
        </w:tc>
        <w:tc>
          <w:tcPr>
            <w:tcW w:w="1728" w:type="dxa"/>
          </w:tcPr>
          <w:p w14:paraId="009844B4" w14:textId="77777777" w:rsidR="00874009" w:rsidRDefault="00000000">
            <w:pPr>
              <w:cnfStyle w:val="000000010000" w:firstRow="0" w:lastRow="0" w:firstColumn="0" w:lastColumn="0" w:oddVBand="0" w:evenVBand="0" w:oddHBand="0" w:evenHBand="1" w:firstRowFirstColumn="0" w:firstRowLastColumn="0" w:lastRowFirstColumn="0" w:lastRowLastColumn="0"/>
            </w:pPr>
            <w:r>
              <w:t>20.0%</w:t>
            </w:r>
          </w:p>
        </w:tc>
        <w:tc>
          <w:tcPr>
            <w:tcW w:w="1728" w:type="dxa"/>
          </w:tcPr>
          <w:p w14:paraId="6C905121" w14:textId="77777777" w:rsidR="00874009"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7785517A" w14:textId="77777777" w:rsidR="00874009" w:rsidRDefault="00000000">
            <w:pPr>
              <w:cnfStyle w:val="000000010000" w:firstRow="0" w:lastRow="0" w:firstColumn="0" w:lastColumn="0" w:oddVBand="0" w:evenVBand="0" w:oddHBand="0" w:evenHBand="1" w:firstRowFirstColumn="0" w:firstRowLastColumn="0" w:lastRowFirstColumn="0" w:lastRowLastColumn="0"/>
            </w:pPr>
            <w:r>
              <w:t>65.0%</w:t>
            </w:r>
          </w:p>
        </w:tc>
        <w:tc>
          <w:tcPr>
            <w:tcW w:w="1728" w:type="dxa"/>
          </w:tcPr>
          <w:p w14:paraId="5093AFAD" w14:textId="77777777" w:rsidR="00874009" w:rsidRDefault="00000000">
            <w:pPr>
              <w:cnfStyle w:val="000000010000" w:firstRow="0" w:lastRow="0" w:firstColumn="0" w:lastColumn="0" w:oddVBand="0" w:evenVBand="0" w:oddHBand="0" w:evenHBand="1" w:firstRowFirstColumn="0" w:firstRowLastColumn="0" w:lastRowFirstColumn="0" w:lastRowLastColumn="0"/>
            </w:pPr>
            <w:r>
              <w:t>20</w:t>
            </w:r>
          </w:p>
        </w:tc>
      </w:tr>
      <w:tr w:rsidR="00874009" w14:paraId="60607B8C"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5A9D7D" w14:textId="77777777" w:rsidR="00874009" w:rsidRDefault="00000000">
            <w:r>
              <w:t>Избегнато опасно действие</w:t>
            </w:r>
          </w:p>
        </w:tc>
        <w:tc>
          <w:tcPr>
            <w:tcW w:w="1728" w:type="dxa"/>
          </w:tcPr>
          <w:p w14:paraId="2158714B" w14:textId="77777777" w:rsidR="00874009" w:rsidRDefault="00000000">
            <w:pPr>
              <w:cnfStyle w:val="000000100000" w:firstRow="0" w:lastRow="0" w:firstColumn="0" w:lastColumn="0" w:oddVBand="0" w:evenVBand="0" w:oddHBand="1" w:evenHBand="0" w:firstRowFirstColumn="0" w:firstRowLastColumn="0" w:lastRowFirstColumn="0" w:lastRowLastColumn="0"/>
            </w:pPr>
            <w:r>
              <w:t>0.0%</w:t>
            </w:r>
          </w:p>
        </w:tc>
        <w:tc>
          <w:tcPr>
            <w:tcW w:w="1728" w:type="dxa"/>
          </w:tcPr>
          <w:p w14:paraId="58FF1C84" w14:textId="77777777" w:rsidR="00874009" w:rsidRDefault="00000000">
            <w:pPr>
              <w:cnfStyle w:val="000000100000" w:firstRow="0" w:lastRow="0" w:firstColumn="0" w:lastColumn="0" w:oddVBand="0" w:evenVBand="0" w:oddHBand="1" w:evenHBand="0" w:firstRowFirstColumn="0" w:firstRowLastColumn="0" w:lastRowFirstColumn="0" w:lastRowLastColumn="0"/>
            </w:pPr>
            <w:r>
              <w:t>5</w:t>
            </w:r>
          </w:p>
        </w:tc>
        <w:tc>
          <w:tcPr>
            <w:tcW w:w="1728" w:type="dxa"/>
          </w:tcPr>
          <w:p w14:paraId="4DF5DEBA" w14:textId="77777777" w:rsidR="00874009" w:rsidRDefault="00000000">
            <w:pPr>
              <w:cnfStyle w:val="000000100000" w:firstRow="0" w:lastRow="0" w:firstColumn="0" w:lastColumn="0" w:oddVBand="0" w:evenVBand="0" w:oddHBand="1" w:evenHBand="0" w:firstRowFirstColumn="0" w:firstRowLastColumn="0" w:lastRowFirstColumn="0" w:lastRowLastColumn="0"/>
            </w:pPr>
            <w:r>
              <w:t>0.0%</w:t>
            </w:r>
          </w:p>
        </w:tc>
        <w:tc>
          <w:tcPr>
            <w:tcW w:w="1728" w:type="dxa"/>
          </w:tcPr>
          <w:p w14:paraId="6C6E5930" w14:textId="77777777" w:rsidR="00874009" w:rsidRDefault="00000000">
            <w:pPr>
              <w:cnfStyle w:val="000000100000" w:firstRow="0" w:lastRow="0" w:firstColumn="0" w:lastColumn="0" w:oddVBand="0" w:evenVBand="0" w:oddHBand="1" w:evenHBand="0" w:firstRowFirstColumn="0" w:firstRowLastColumn="0" w:lastRowFirstColumn="0" w:lastRowLastColumn="0"/>
            </w:pPr>
            <w:r>
              <w:t>5</w:t>
            </w:r>
          </w:p>
        </w:tc>
      </w:tr>
      <w:tr w:rsidR="00874009" w14:paraId="4CD93AB7"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70A676" w14:textId="77777777" w:rsidR="00874009" w:rsidRDefault="00000000">
            <w:r>
              <w:t>Коректен ефект върху БД</w:t>
            </w:r>
          </w:p>
        </w:tc>
        <w:tc>
          <w:tcPr>
            <w:tcW w:w="1728" w:type="dxa"/>
          </w:tcPr>
          <w:p w14:paraId="2CAEFFB2" w14:textId="77777777" w:rsidR="00874009" w:rsidRDefault="00000000">
            <w:pPr>
              <w:cnfStyle w:val="000000010000" w:firstRow="0" w:lastRow="0" w:firstColumn="0" w:lastColumn="0" w:oddVBand="0" w:evenVBand="0" w:oddHBand="0" w:evenHBand="1" w:firstRowFirstColumn="0" w:firstRowLastColumn="0" w:lastRowFirstColumn="0" w:lastRowLastColumn="0"/>
            </w:pPr>
            <w:r>
              <w:t>93.3%</w:t>
            </w:r>
          </w:p>
        </w:tc>
        <w:tc>
          <w:tcPr>
            <w:tcW w:w="1728" w:type="dxa"/>
          </w:tcPr>
          <w:p w14:paraId="509408D5" w14:textId="77777777" w:rsidR="00874009" w:rsidRDefault="00000000">
            <w:pPr>
              <w:cnfStyle w:val="000000010000" w:firstRow="0" w:lastRow="0" w:firstColumn="0" w:lastColumn="0" w:oddVBand="0" w:evenVBand="0" w:oddHBand="0" w:evenHBand="1" w:firstRowFirstColumn="0" w:firstRowLastColumn="0" w:lastRowFirstColumn="0" w:lastRowLastColumn="0"/>
            </w:pPr>
            <w:r>
              <w:t>75</w:t>
            </w:r>
          </w:p>
        </w:tc>
        <w:tc>
          <w:tcPr>
            <w:tcW w:w="1728" w:type="dxa"/>
          </w:tcPr>
          <w:p w14:paraId="5A23C3EC" w14:textId="77777777" w:rsidR="00874009" w:rsidRDefault="00000000">
            <w:pPr>
              <w:cnfStyle w:val="000000010000" w:firstRow="0" w:lastRow="0" w:firstColumn="0" w:lastColumn="0" w:oddVBand="0" w:evenVBand="0" w:oddHBand="0" w:evenHBand="1" w:firstRowFirstColumn="0" w:firstRowLastColumn="0" w:lastRowFirstColumn="0" w:lastRowLastColumn="0"/>
            </w:pPr>
            <w:r>
              <w:t>90.7%</w:t>
            </w:r>
          </w:p>
        </w:tc>
        <w:tc>
          <w:tcPr>
            <w:tcW w:w="1728" w:type="dxa"/>
          </w:tcPr>
          <w:p w14:paraId="292007D5" w14:textId="77777777" w:rsidR="00874009" w:rsidRDefault="00000000">
            <w:pPr>
              <w:cnfStyle w:val="000000010000" w:firstRow="0" w:lastRow="0" w:firstColumn="0" w:lastColumn="0" w:oddVBand="0" w:evenVBand="0" w:oddHBand="0" w:evenHBand="1" w:firstRowFirstColumn="0" w:firstRowLastColumn="0" w:lastRowFirstColumn="0" w:lastRowLastColumn="0"/>
            </w:pPr>
            <w:r>
              <w:t>75</w:t>
            </w:r>
          </w:p>
        </w:tc>
      </w:tr>
      <w:tr w:rsidR="00874009" w14:paraId="7D545B46"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AE4B22" w14:textId="77777777" w:rsidR="00874009" w:rsidRDefault="00000000">
            <w:r>
              <w:t>Извличане на аргументи (средно съотношение)</w:t>
            </w:r>
          </w:p>
        </w:tc>
        <w:tc>
          <w:tcPr>
            <w:tcW w:w="1728" w:type="dxa"/>
          </w:tcPr>
          <w:p w14:paraId="6D852A38" w14:textId="77777777" w:rsidR="00874009" w:rsidRDefault="00000000">
            <w:pPr>
              <w:cnfStyle w:val="000000100000" w:firstRow="0" w:lastRow="0" w:firstColumn="0" w:lastColumn="0" w:oddVBand="0" w:evenVBand="0" w:oddHBand="1" w:evenHBand="0" w:firstRowFirstColumn="0" w:firstRowLastColumn="0" w:lastRowFirstColumn="0" w:lastRowLastColumn="0"/>
            </w:pPr>
            <w:r>
              <w:t>97.6%</w:t>
            </w:r>
          </w:p>
        </w:tc>
        <w:tc>
          <w:tcPr>
            <w:tcW w:w="1728" w:type="dxa"/>
          </w:tcPr>
          <w:p w14:paraId="28B1A280" w14:textId="77777777" w:rsidR="00874009" w:rsidRDefault="00000000">
            <w:pPr>
              <w:cnfStyle w:val="000000100000" w:firstRow="0" w:lastRow="0" w:firstColumn="0" w:lastColumn="0" w:oddVBand="0" w:evenVBand="0" w:oddHBand="1" w:evenHBand="0" w:firstRowFirstColumn="0" w:firstRowLastColumn="0" w:lastRowFirstColumn="0" w:lastRowLastColumn="0"/>
            </w:pPr>
            <w:r>
              <w:t>60</w:t>
            </w:r>
          </w:p>
        </w:tc>
        <w:tc>
          <w:tcPr>
            <w:tcW w:w="1728" w:type="dxa"/>
          </w:tcPr>
          <w:p w14:paraId="41B3E197" w14:textId="77777777" w:rsidR="00874009" w:rsidRDefault="00000000">
            <w:pPr>
              <w:cnfStyle w:val="000000100000" w:firstRow="0" w:lastRow="0" w:firstColumn="0" w:lastColumn="0" w:oddVBand="0" w:evenVBand="0" w:oddHBand="1" w:evenHBand="0" w:firstRowFirstColumn="0" w:firstRowLastColumn="0" w:lastRowFirstColumn="0" w:lastRowLastColumn="0"/>
            </w:pPr>
            <w:r>
              <w:t>92.1%</w:t>
            </w:r>
          </w:p>
        </w:tc>
        <w:tc>
          <w:tcPr>
            <w:tcW w:w="1728" w:type="dxa"/>
          </w:tcPr>
          <w:p w14:paraId="2CE23692" w14:textId="77777777" w:rsidR="00874009" w:rsidRDefault="00000000">
            <w:pPr>
              <w:cnfStyle w:val="000000100000" w:firstRow="0" w:lastRow="0" w:firstColumn="0" w:lastColumn="0" w:oddVBand="0" w:evenVBand="0" w:oddHBand="1" w:evenHBand="0" w:firstRowFirstColumn="0" w:firstRowLastColumn="0" w:lastRowFirstColumn="0" w:lastRowLastColumn="0"/>
            </w:pPr>
            <w:r>
              <w:t>60</w:t>
            </w:r>
          </w:p>
        </w:tc>
      </w:tr>
      <w:tr w:rsidR="00874009" w14:paraId="5C2D2111"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3E7D46" w14:textId="77777777" w:rsidR="00874009" w:rsidRDefault="00000000">
            <w:r>
              <w:t>Извикан грешен/опасен инструмент</w:t>
            </w:r>
          </w:p>
        </w:tc>
        <w:tc>
          <w:tcPr>
            <w:tcW w:w="1728" w:type="dxa"/>
          </w:tcPr>
          <w:p w14:paraId="0058AF30" w14:textId="77777777" w:rsidR="00874009" w:rsidRDefault="00000000">
            <w:pPr>
              <w:cnfStyle w:val="000000010000" w:firstRow="0" w:lastRow="0" w:firstColumn="0" w:lastColumn="0" w:oddVBand="0" w:evenVBand="0" w:oddHBand="0" w:evenHBand="1" w:firstRowFirstColumn="0" w:firstRowLastColumn="0" w:lastRowFirstColumn="0" w:lastRowLastColumn="0"/>
            </w:pPr>
            <w:r>
              <w:t>10/130 (7.7%)</w:t>
            </w:r>
          </w:p>
        </w:tc>
        <w:tc>
          <w:tcPr>
            <w:tcW w:w="1728" w:type="dxa"/>
          </w:tcPr>
          <w:p w14:paraId="65458639" w14:textId="77777777" w:rsidR="00874009" w:rsidRDefault="00000000">
            <w:pPr>
              <w:cnfStyle w:val="000000010000" w:firstRow="0" w:lastRow="0" w:firstColumn="0" w:lastColumn="0" w:oddVBand="0" w:evenVBand="0" w:oddHBand="0" w:evenHBand="1" w:firstRowFirstColumn="0" w:firstRowLastColumn="0" w:lastRowFirstColumn="0" w:lastRowLastColumn="0"/>
            </w:pPr>
            <w:r>
              <w:t>130</w:t>
            </w:r>
          </w:p>
        </w:tc>
        <w:tc>
          <w:tcPr>
            <w:tcW w:w="1728" w:type="dxa"/>
          </w:tcPr>
          <w:p w14:paraId="373B24FB" w14:textId="77777777" w:rsidR="00874009" w:rsidRDefault="00000000">
            <w:pPr>
              <w:cnfStyle w:val="000000010000" w:firstRow="0" w:lastRow="0" w:firstColumn="0" w:lastColumn="0" w:oddVBand="0" w:evenVBand="0" w:oddHBand="0" w:evenHBand="1" w:firstRowFirstColumn="0" w:firstRowLastColumn="0" w:lastRowFirstColumn="0" w:lastRowLastColumn="0"/>
            </w:pPr>
            <w:r>
              <w:t>12/130 (9.2%)</w:t>
            </w:r>
          </w:p>
        </w:tc>
        <w:tc>
          <w:tcPr>
            <w:tcW w:w="1728" w:type="dxa"/>
          </w:tcPr>
          <w:p w14:paraId="7306851A" w14:textId="77777777" w:rsidR="00874009" w:rsidRDefault="00000000">
            <w:pPr>
              <w:cnfStyle w:val="000000010000" w:firstRow="0" w:lastRow="0" w:firstColumn="0" w:lastColumn="0" w:oddVBand="0" w:evenVBand="0" w:oddHBand="0" w:evenHBand="1" w:firstRowFirstColumn="0" w:firstRowLastColumn="0" w:lastRowFirstColumn="0" w:lastRowLastColumn="0"/>
            </w:pPr>
            <w:r>
              <w:t>130</w:t>
            </w:r>
          </w:p>
        </w:tc>
      </w:tr>
      <w:tr w:rsidR="00874009" w14:paraId="65F06057"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5A754C" w14:textId="77777777" w:rsidR="00874009" w:rsidRDefault="00000000">
            <w:r>
              <w:t>Незавършване</w:t>
            </w:r>
          </w:p>
        </w:tc>
        <w:tc>
          <w:tcPr>
            <w:tcW w:w="1728" w:type="dxa"/>
          </w:tcPr>
          <w:p w14:paraId="0B52C293" w14:textId="77777777" w:rsidR="00874009" w:rsidRDefault="00000000">
            <w:pPr>
              <w:cnfStyle w:val="000000100000" w:firstRow="0" w:lastRow="0" w:firstColumn="0" w:lastColumn="0" w:oddVBand="0" w:evenVBand="0" w:oddHBand="1" w:evenHBand="0" w:firstRowFirstColumn="0" w:firstRowLastColumn="0" w:lastRowFirstColumn="0" w:lastRowLastColumn="0"/>
            </w:pPr>
            <w:r>
              <w:t>8/130 (6.2%)</w:t>
            </w:r>
          </w:p>
        </w:tc>
        <w:tc>
          <w:tcPr>
            <w:tcW w:w="1728" w:type="dxa"/>
          </w:tcPr>
          <w:p w14:paraId="00FF2C57"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c>
          <w:tcPr>
            <w:tcW w:w="1728" w:type="dxa"/>
          </w:tcPr>
          <w:p w14:paraId="5854BC27" w14:textId="77777777" w:rsidR="00874009" w:rsidRDefault="00000000">
            <w:pPr>
              <w:cnfStyle w:val="000000100000" w:firstRow="0" w:lastRow="0" w:firstColumn="0" w:lastColumn="0" w:oddVBand="0" w:evenVBand="0" w:oddHBand="1" w:evenHBand="0" w:firstRowFirstColumn="0" w:firstRowLastColumn="0" w:lastRowFirstColumn="0" w:lastRowLastColumn="0"/>
            </w:pPr>
            <w:r>
              <w:t>0/130 (0.0%)</w:t>
            </w:r>
          </w:p>
        </w:tc>
        <w:tc>
          <w:tcPr>
            <w:tcW w:w="1728" w:type="dxa"/>
          </w:tcPr>
          <w:p w14:paraId="45C30700"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r>
    </w:tbl>
    <w:p w14:paraId="51ACE589" w14:textId="77777777" w:rsidR="00874009" w:rsidRDefault="00000000">
      <w:pPr>
        <w:jc w:val="center"/>
      </w:pPr>
      <w:r>
        <w:rPr>
          <w:noProof/>
        </w:rPr>
        <w:lastRenderedPageBreak/>
        <w:drawing>
          <wp:inline distT="0" distB="0" distL="0" distR="0" wp14:anchorId="386452E8" wp14:editId="7BCD54DC">
            <wp:extent cx="548640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metrics.png"/>
                    <pic:cNvPicPr/>
                  </pic:nvPicPr>
                  <pic:blipFill>
                    <a:blip r:embed="rId6"/>
                    <a:stretch>
                      <a:fillRect/>
                    </a:stretch>
                  </pic:blipFill>
                  <pic:spPr>
                    <a:xfrm>
                      <a:off x="0" y="0"/>
                      <a:ext cx="5486400" cy="3072384"/>
                    </a:xfrm>
                    <a:prstGeom prst="rect">
                      <a:avLst/>
                    </a:prstGeom>
                  </pic:spPr>
                </pic:pic>
              </a:graphicData>
            </a:graphic>
          </wp:inline>
        </w:drawing>
      </w:r>
    </w:p>
    <w:p w14:paraId="70EEA33D" w14:textId="77777777" w:rsidR="00874009" w:rsidRDefault="00000000">
      <w:pPr>
        <w:pStyle w:val="Heading1"/>
      </w:pPr>
      <w:r>
        <w:t>2. Успех на задачите по категория</w:t>
      </w:r>
    </w:p>
    <w:p w14:paraId="0DF95FA3" w14:textId="77777777" w:rsidR="00874009" w:rsidRDefault="00000000">
      <w:r>
        <w:t>Нито една архитектура не доминира навсякъде: монолитният агент води при RAG и сценариите с уточняване на двусмислици, докато супервайзорът води при многодомейнните задачи и проследяването.</w:t>
      </w:r>
    </w:p>
    <w:tbl>
      <w:tblPr>
        <w:tblStyle w:val="LightGrid-Accent1"/>
        <w:tblW w:w="0" w:type="auto"/>
        <w:tblLook w:val="04A0" w:firstRow="1" w:lastRow="0" w:firstColumn="1" w:lastColumn="0" w:noHBand="0" w:noVBand="1"/>
      </w:tblPr>
      <w:tblGrid>
        <w:gridCol w:w="2880"/>
        <w:gridCol w:w="2880"/>
        <w:gridCol w:w="2880"/>
      </w:tblGrid>
      <w:tr w:rsidR="00874009" w14:paraId="289A44BC" w14:textId="77777777" w:rsidTr="00874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6A916" w14:textId="77777777" w:rsidR="00874009" w:rsidRDefault="00000000">
            <w:r>
              <w:t>Категория</w:t>
            </w:r>
          </w:p>
        </w:tc>
        <w:tc>
          <w:tcPr>
            <w:tcW w:w="2880" w:type="dxa"/>
          </w:tcPr>
          <w:p w14:paraId="702185A9" w14:textId="77777777" w:rsidR="00874009" w:rsidRDefault="00000000">
            <w:pPr>
              <w:cnfStyle w:val="100000000000" w:firstRow="1" w:lastRow="0" w:firstColumn="0" w:lastColumn="0" w:oddVBand="0" w:evenVBand="0" w:oddHBand="0" w:evenHBand="0" w:firstRowFirstColumn="0" w:firstRowLastColumn="0" w:lastRowFirstColumn="0" w:lastRowLastColumn="0"/>
            </w:pPr>
            <w:r>
              <w:t>Супервайзор</w:t>
            </w:r>
          </w:p>
        </w:tc>
        <w:tc>
          <w:tcPr>
            <w:tcW w:w="2880" w:type="dxa"/>
          </w:tcPr>
          <w:p w14:paraId="511187F9" w14:textId="77777777" w:rsidR="00874009" w:rsidRDefault="00000000">
            <w:pPr>
              <w:cnfStyle w:val="100000000000" w:firstRow="1" w:lastRow="0" w:firstColumn="0" w:lastColumn="0" w:oddVBand="0" w:evenVBand="0" w:oddHBand="0" w:evenHBand="0" w:firstRowFirstColumn="0" w:firstRowLastColumn="0" w:lastRowFirstColumn="0" w:lastRowLastColumn="0"/>
            </w:pPr>
            <w:r>
              <w:t>Монолитен</w:t>
            </w:r>
          </w:p>
        </w:tc>
      </w:tr>
      <w:tr w:rsidR="00874009" w14:paraId="1698B3C3"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B9BA4" w14:textId="77777777" w:rsidR="00874009" w:rsidRDefault="00000000">
            <w:r>
              <w:t>tracking</w:t>
            </w:r>
          </w:p>
        </w:tc>
        <w:tc>
          <w:tcPr>
            <w:tcW w:w="2880" w:type="dxa"/>
          </w:tcPr>
          <w:p w14:paraId="0C9EB707" w14:textId="77777777" w:rsidR="00874009" w:rsidRDefault="00000000">
            <w:pPr>
              <w:cnfStyle w:val="000000100000" w:firstRow="0" w:lastRow="0" w:firstColumn="0" w:lastColumn="0" w:oddVBand="0" w:evenVBand="0" w:oddHBand="1" w:evenHBand="0" w:firstRowFirstColumn="0" w:firstRowLastColumn="0" w:lastRowFirstColumn="0" w:lastRowLastColumn="0"/>
            </w:pPr>
            <w:r>
              <w:t>30/30 (100%)</w:t>
            </w:r>
          </w:p>
        </w:tc>
        <w:tc>
          <w:tcPr>
            <w:tcW w:w="2880" w:type="dxa"/>
          </w:tcPr>
          <w:p w14:paraId="3FE02FDB" w14:textId="77777777" w:rsidR="00874009" w:rsidRDefault="00000000">
            <w:pPr>
              <w:cnfStyle w:val="000000100000" w:firstRow="0" w:lastRow="0" w:firstColumn="0" w:lastColumn="0" w:oddVBand="0" w:evenVBand="0" w:oddHBand="1" w:evenHBand="0" w:firstRowFirstColumn="0" w:firstRowLastColumn="0" w:lastRowFirstColumn="0" w:lastRowLastColumn="0"/>
            </w:pPr>
            <w:r>
              <w:t>26/30 (87%)</w:t>
            </w:r>
          </w:p>
        </w:tc>
      </w:tr>
      <w:tr w:rsidR="00874009" w14:paraId="6A2E3371"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34F316" w14:textId="77777777" w:rsidR="00874009" w:rsidRDefault="00000000">
            <w:r>
              <w:t>rag</w:t>
            </w:r>
          </w:p>
        </w:tc>
        <w:tc>
          <w:tcPr>
            <w:tcW w:w="2880" w:type="dxa"/>
          </w:tcPr>
          <w:p w14:paraId="395E9C7D" w14:textId="77777777" w:rsidR="00874009" w:rsidRDefault="00000000">
            <w:pPr>
              <w:cnfStyle w:val="000000010000" w:firstRow="0" w:lastRow="0" w:firstColumn="0" w:lastColumn="0" w:oddVBand="0" w:evenVBand="0" w:oddHBand="0" w:evenHBand="1" w:firstRowFirstColumn="0" w:firstRowLastColumn="0" w:lastRowFirstColumn="0" w:lastRowLastColumn="0"/>
            </w:pPr>
            <w:r>
              <w:t>15/25 (60%)</w:t>
            </w:r>
          </w:p>
        </w:tc>
        <w:tc>
          <w:tcPr>
            <w:tcW w:w="2880" w:type="dxa"/>
          </w:tcPr>
          <w:p w14:paraId="7DA626DF" w14:textId="77777777" w:rsidR="00874009" w:rsidRDefault="00000000">
            <w:pPr>
              <w:cnfStyle w:val="000000010000" w:firstRow="0" w:lastRow="0" w:firstColumn="0" w:lastColumn="0" w:oddVBand="0" w:evenVBand="0" w:oddHBand="0" w:evenHBand="1" w:firstRowFirstColumn="0" w:firstRowLastColumn="0" w:lastRowFirstColumn="0" w:lastRowLastColumn="0"/>
            </w:pPr>
            <w:r>
              <w:t>24/25 (96%)</w:t>
            </w:r>
          </w:p>
        </w:tc>
      </w:tr>
      <w:tr w:rsidR="00874009" w14:paraId="5BADFEAB"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786EC4" w14:textId="77777777" w:rsidR="00874009" w:rsidRDefault="00000000">
            <w:r>
              <w:t>multi_domain</w:t>
            </w:r>
          </w:p>
        </w:tc>
        <w:tc>
          <w:tcPr>
            <w:tcW w:w="2880" w:type="dxa"/>
          </w:tcPr>
          <w:p w14:paraId="6C3DFA37" w14:textId="77777777" w:rsidR="00874009" w:rsidRDefault="00000000">
            <w:pPr>
              <w:cnfStyle w:val="000000100000" w:firstRow="0" w:lastRow="0" w:firstColumn="0" w:lastColumn="0" w:oddVBand="0" w:evenVBand="0" w:oddHBand="1" w:evenHBand="0" w:firstRowFirstColumn="0" w:firstRowLastColumn="0" w:lastRowFirstColumn="0" w:lastRowLastColumn="0"/>
            </w:pPr>
            <w:r>
              <w:t>14/25 (56%)</w:t>
            </w:r>
          </w:p>
        </w:tc>
        <w:tc>
          <w:tcPr>
            <w:tcW w:w="2880" w:type="dxa"/>
          </w:tcPr>
          <w:p w14:paraId="20B505D8" w14:textId="77777777" w:rsidR="00874009" w:rsidRDefault="00000000">
            <w:pPr>
              <w:cnfStyle w:val="000000100000" w:firstRow="0" w:lastRow="0" w:firstColumn="0" w:lastColumn="0" w:oddVBand="0" w:evenVBand="0" w:oddHBand="1" w:evenHBand="0" w:firstRowFirstColumn="0" w:firstRowLastColumn="0" w:lastRowFirstColumn="0" w:lastRowLastColumn="0"/>
            </w:pPr>
            <w:r>
              <w:t>7/25 (28%)</w:t>
            </w:r>
          </w:p>
        </w:tc>
      </w:tr>
      <w:tr w:rsidR="00874009" w14:paraId="0B513ACD"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FBFBC" w14:textId="77777777" w:rsidR="00874009" w:rsidRDefault="00000000">
            <w:r>
              <w:t>ambiguous</w:t>
            </w:r>
          </w:p>
        </w:tc>
        <w:tc>
          <w:tcPr>
            <w:tcW w:w="2880" w:type="dxa"/>
          </w:tcPr>
          <w:p w14:paraId="203B726E" w14:textId="77777777" w:rsidR="00874009" w:rsidRDefault="00000000">
            <w:pPr>
              <w:cnfStyle w:val="000000010000" w:firstRow="0" w:lastRow="0" w:firstColumn="0" w:lastColumn="0" w:oddVBand="0" w:evenVBand="0" w:oddHBand="0" w:evenHBand="1" w:firstRowFirstColumn="0" w:firstRowLastColumn="0" w:lastRowFirstColumn="0" w:lastRowLastColumn="0"/>
            </w:pPr>
            <w:r>
              <w:t>4/25 (16%)</w:t>
            </w:r>
          </w:p>
        </w:tc>
        <w:tc>
          <w:tcPr>
            <w:tcW w:w="2880" w:type="dxa"/>
          </w:tcPr>
          <w:p w14:paraId="23A1A55A" w14:textId="77777777" w:rsidR="00874009" w:rsidRDefault="00000000">
            <w:pPr>
              <w:cnfStyle w:val="000000010000" w:firstRow="0" w:lastRow="0" w:firstColumn="0" w:lastColumn="0" w:oddVBand="0" w:evenVBand="0" w:oddHBand="0" w:evenHBand="1" w:firstRowFirstColumn="0" w:firstRowLastColumn="0" w:lastRowFirstColumn="0" w:lastRowLastColumn="0"/>
            </w:pPr>
            <w:r>
              <w:t>13/25 (52%)</w:t>
            </w:r>
          </w:p>
        </w:tc>
      </w:tr>
      <w:tr w:rsidR="00874009" w14:paraId="3848CFD1"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497A6D" w14:textId="77777777" w:rsidR="00874009" w:rsidRDefault="00000000">
            <w:r>
              <w:t>general</w:t>
            </w:r>
          </w:p>
        </w:tc>
        <w:tc>
          <w:tcPr>
            <w:tcW w:w="2880" w:type="dxa"/>
          </w:tcPr>
          <w:p w14:paraId="0BEA8B08" w14:textId="77777777" w:rsidR="00874009" w:rsidRDefault="00000000">
            <w:pPr>
              <w:cnfStyle w:val="000000100000" w:firstRow="0" w:lastRow="0" w:firstColumn="0" w:lastColumn="0" w:oddVBand="0" w:evenVBand="0" w:oddHBand="1" w:evenHBand="0" w:firstRowFirstColumn="0" w:firstRowLastColumn="0" w:lastRowFirstColumn="0" w:lastRowLastColumn="0"/>
            </w:pPr>
            <w:r>
              <w:t>25/25 (100%)</w:t>
            </w:r>
          </w:p>
        </w:tc>
        <w:tc>
          <w:tcPr>
            <w:tcW w:w="2880" w:type="dxa"/>
          </w:tcPr>
          <w:p w14:paraId="3FE466CE" w14:textId="77777777" w:rsidR="00874009" w:rsidRDefault="00000000">
            <w:pPr>
              <w:cnfStyle w:val="000000100000" w:firstRow="0" w:lastRow="0" w:firstColumn="0" w:lastColumn="0" w:oddVBand="0" w:evenVBand="0" w:oddHBand="1" w:evenHBand="0" w:firstRowFirstColumn="0" w:firstRowLastColumn="0" w:lastRowFirstColumn="0" w:lastRowLastColumn="0"/>
            </w:pPr>
            <w:r>
              <w:t>25/25 (100%)</w:t>
            </w:r>
          </w:p>
        </w:tc>
      </w:tr>
    </w:tbl>
    <w:p w14:paraId="5C595CBE" w14:textId="77777777" w:rsidR="00874009" w:rsidRDefault="00000000">
      <w:pPr>
        <w:jc w:val="center"/>
      </w:pPr>
      <w:r>
        <w:rPr>
          <w:noProof/>
        </w:rPr>
        <w:lastRenderedPageBreak/>
        <w:drawing>
          <wp:inline distT="0" distB="0" distL="0" distR="0" wp14:anchorId="0F3D802C" wp14:editId="456AE263">
            <wp:extent cx="548640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success_by_category.png"/>
                    <pic:cNvPicPr/>
                  </pic:nvPicPr>
                  <pic:blipFill>
                    <a:blip r:embed="rId7"/>
                    <a:stretch>
                      <a:fillRect/>
                    </a:stretch>
                  </pic:blipFill>
                  <pic:spPr>
                    <a:xfrm>
                      <a:off x="0" y="0"/>
                      <a:ext cx="5486400" cy="3072384"/>
                    </a:xfrm>
                    <a:prstGeom prst="rect">
                      <a:avLst/>
                    </a:prstGeom>
                  </pic:spPr>
                </pic:pic>
              </a:graphicData>
            </a:graphic>
          </wp:inline>
        </w:drawing>
      </w:r>
    </w:p>
    <w:p w14:paraId="6B47BA5D" w14:textId="77777777" w:rsidR="00874009" w:rsidRDefault="00000000">
      <w:pPr>
        <w:pStyle w:val="Heading1"/>
      </w:pPr>
      <w:r>
        <w:t>3. Ефективност на изпълнението на задачите</w:t>
      </w:r>
    </w:p>
    <w:p w14:paraId="39C57DB8" w14:textId="77777777" w:rsidR="00874009" w:rsidRDefault="00000000">
      <w:r>
        <w:t>Сдвоен тест на Уилкоксън за знакови рангове върху средните стойности по сценарий (N = съвпадащи сценарии). Значимост: * p&lt;0,05, ** p&lt;0,01, *** p&lt;0,001.</w:t>
      </w:r>
    </w:p>
    <w:tbl>
      <w:tblPr>
        <w:tblStyle w:val="LightGrid-Accent1"/>
        <w:tblW w:w="0" w:type="auto"/>
        <w:tblLook w:val="04A0" w:firstRow="1" w:lastRow="0" w:firstColumn="1" w:lastColumn="0" w:noHBand="0" w:noVBand="1"/>
      </w:tblPr>
      <w:tblGrid>
        <w:gridCol w:w="1455"/>
        <w:gridCol w:w="1454"/>
        <w:gridCol w:w="1454"/>
        <w:gridCol w:w="1440"/>
        <w:gridCol w:w="1440"/>
        <w:gridCol w:w="1440"/>
      </w:tblGrid>
      <w:tr w:rsidR="00874009" w14:paraId="4D6CE9DA" w14:textId="77777777" w:rsidTr="00874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74C01A" w14:textId="77777777" w:rsidR="00874009" w:rsidRDefault="00000000">
            <w:r>
              <w:t>Метрика</w:t>
            </w:r>
          </w:p>
        </w:tc>
        <w:tc>
          <w:tcPr>
            <w:tcW w:w="1440" w:type="dxa"/>
          </w:tcPr>
          <w:p w14:paraId="61FA917D" w14:textId="77777777" w:rsidR="00874009" w:rsidRDefault="00000000">
            <w:pPr>
              <w:cnfStyle w:val="100000000000" w:firstRow="1" w:lastRow="0" w:firstColumn="0" w:lastColumn="0" w:oddVBand="0" w:evenVBand="0" w:oddHBand="0" w:evenHBand="0" w:firstRowFirstColumn="0" w:firstRowLastColumn="0" w:lastRowFirstColumn="0" w:lastRowLastColumn="0"/>
            </w:pPr>
            <w:r>
              <w:t>Супервайзор – средно</w:t>
            </w:r>
          </w:p>
        </w:tc>
        <w:tc>
          <w:tcPr>
            <w:tcW w:w="1440" w:type="dxa"/>
          </w:tcPr>
          <w:p w14:paraId="64AC65C3" w14:textId="77777777" w:rsidR="00874009" w:rsidRDefault="00000000">
            <w:pPr>
              <w:cnfStyle w:val="100000000000" w:firstRow="1" w:lastRow="0" w:firstColumn="0" w:lastColumn="0" w:oddVBand="0" w:evenVBand="0" w:oddHBand="0" w:evenHBand="0" w:firstRowFirstColumn="0" w:firstRowLastColumn="0" w:lastRowFirstColumn="0" w:lastRowLastColumn="0"/>
            </w:pPr>
            <w:r>
              <w:t>Супервайзор – медиана</w:t>
            </w:r>
          </w:p>
        </w:tc>
        <w:tc>
          <w:tcPr>
            <w:tcW w:w="1440" w:type="dxa"/>
          </w:tcPr>
          <w:p w14:paraId="44C8E59F" w14:textId="77777777" w:rsidR="00874009" w:rsidRDefault="00000000">
            <w:pPr>
              <w:cnfStyle w:val="100000000000" w:firstRow="1" w:lastRow="0" w:firstColumn="0" w:lastColumn="0" w:oddVBand="0" w:evenVBand="0" w:oddHBand="0" w:evenHBand="0" w:firstRowFirstColumn="0" w:firstRowLastColumn="0" w:lastRowFirstColumn="0" w:lastRowLastColumn="0"/>
            </w:pPr>
            <w:r>
              <w:t>Монолитен – средно</w:t>
            </w:r>
          </w:p>
        </w:tc>
        <w:tc>
          <w:tcPr>
            <w:tcW w:w="1440" w:type="dxa"/>
          </w:tcPr>
          <w:p w14:paraId="6A1DE14C" w14:textId="77777777" w:rsidR="00874009" w:rsidRDefault="00000000">
            <w:pPr>
              <w:cnfStyle w:val="100000000000" w:firstRow="1" w:lastRow="0" w:firstColumn="0" w:lastColumn="0" w:oddVBand="0" w:evenVBand="0" w:oddHBand="0" w:evenHBand="0" w:firstRowFirstColumn="0" w:firstRowLastColumn="0" w:lastRowFirstColumn="0" w:lastRowLastColumn="0"/>
            </w:pPr>
            <w:r>
              <w:t>Монолитен – медиана</w:t>
            </w:r>
          </w:p>
        </w:tc>
        <w:tc>
          <w:tcPr>
            <w:tcW w:w="1440" w:type="dxa"/>
          </w:tcPr>
          <w:p w14:paraId="175906F7" w14:textId="77777777" w:rsidR="00874009" w:rsidRDefault="00000000">
            <w:pPr>
              <w:cnfStyle w:val="100000000000" w:firstRow="1" w:lastRow="0" w:firstColumn="0" w:lastColumn="0" w:oddVBand="0" w:evenVBand="0" w:oddHBand="0" w:evenHBand="0" w:firstRowFirstColumn="0" w:firstRowLastColumn="0" w:lastRowFirstColumn="0" w:lastRowLastColumn="0"/>
            </w:pPr>
            <w:r>
              <w:t>p (Уилкоксън)</w:t>
            </w:r>
          </w:p>
        </w:tc>
      </w:tr>
      <w:tr w:rsidR="00874009" w14:paraId="13E636FD"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542BE8" w14:textId="77777777" w:rsidR="00874009" w:rsidRDefault="00000000">
            <w:r>
              <w:t>Латентност (ms)</w:t>
            </w:r>
          </w:p>
        </w:tc>
        <w:tc>
          <w:tcPr>
            <w:tcW w:w="1440" w:type="dxa"/>
          </w:tcPr>
          <w:p w14:paraId="462549B5" w14:textId="77777777" w:rsidR="00874009" w:rsidRDefault="00000000">
            <w:pPr>
              <w:cnfStyle w:val="000000100000" w:firstRow="0" w:lastRow="0" w:firstColumn="0" w:lastColumn="0" w:oddVBand="0" w:evenVBand="0" w:oddHBand="1" w:evenHBand="0" w:firstRowFirstColumn="0" w:firstRowLastColumn="0" w:lastRowFirstColumn="0" w:lastRowLastColumn="0"/>
            </w:pPr>
            <w:r>
              <w:t>9,972</w:t>
            </w:r>
          </w:p>
        </w:tc>
        <w:tc>
          <w:tcPr>
            <w:tcW w:w="1440" w:type="dxa"/>
          </w:tcPr>
          <w:p w14:paraId="1F898A36" w14:textId="77777777" w:rsidR="00874009" w:rsidRDefault="00000000">
            <w:pPr>
              <w:cnfStyle w:val="000000100000" w:firstRow="0" w:lastRow="0" w:firstColumn="0" w:lastColumn="0" w:oddVBand="0" w:evenVBand="0" w:oddHBand="1" w:evenHBand="0" w:firstRowFirstColumn="0" w:firstRowLastColumn="0" w:lastRowFirstColumn="0" w:lastRowLastColumn="0"/>
            </w:pPr>
            <w:r>
              <w:t>6,613</w:t>
            </w:r>
          </w:p>
        </w:tc>
        <w:tc>
          <w:tcPr>
            <w:tcW w:w="1440" w:type="dxa"/>
          </w:tcPr>
          <w:p w14:paraId="7A87EAD8" w14:textId="77777777" w:rsidR="00874009" w:rsidRDefault="00000000">
            <w:pPr>
              <w:cnfStyle w:val="000000100000" w:firstRow="0" w:lastRow="0" w:firstColumn="0" w:lastColumn="0" w:oddVBand="0" w:evenVBand="0" w:oddHBand="1" w:evenHBand="0" w:firstRowFirstColumn="0" w:firstRowLastColumn="0" w:lastRowFirstColumn="0" w:lastRowLastColumn="0"/>
            </w:pPr>
            <w:r>
              <w:t>3,825</w:t>
            </w:r>
          </w:p>
        </w:tc>
        <w:tc>
          <w:tcPr>
            <w:tcW w:w="1440" w:type="dxa"/>
          </w:tcPr>
          <w:p w14:paraId="4B494745" w14:textId="77777777" w:rsidR="00874009" w:rsidRDefault="00000000">
            <w:pPr>
              <w:cnfStyle w:val="000000100000" w:firstRow="0" w:lastRow="0" w:firstColumn="0" w:lastColumn="0" w:oddVBand="0" w:evenVBand="0" w:oddHBand="1" w:evenHBand="0" w:firstRowFirstColumn="0" w:firstRowLastColumn="0" w:lastRowFirstColumn="0" w:lastRowLastColumn="0"/>
            </w:pPr>
            <w:r>
              <w:t>3,591</w:t>
            </w:r>
          </w:p>
        </w:tc>
        <w:tc>
          <w:tcPr>
            <w:tcW w:w="1440" w:type="dxa"/>
          </w:tcPr>
          <w:p w14:paraId="554003FF" w14:textId="77777777" w:rsidR="00874009" w:rsidRDefault="00000000">
            <w:pPr>
              <w:cnfStyle w:val="000000100000" w:firstRow="0" w:lastRow="0" w:firstColumn="0" w:lastColumn="0" w:oddVBand="0" w:evenVBand="0" w:oddHBand="1" w:evenHBand="0" w:firstRowFirstColumn="0" w:firstRowLastColumn="0" w:lastRowFirstColumn="0" w:lastRowLastColumn="0"/>
            </w:pPr>
            <w:r>
              <w:t>&lt;0.001 ***</w:t>
            </w:r>
          </w:p>
        </w:tc>
      </w:tr>
      <w:tr w:rsidR="00874009" w14:paraId="5D7A5B81"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D84A3A" w14:textId="77777777" w:rsidR="00874009" w:rsidRDefault="00000000">
            <w:r>
              <w:t>Общо токени</w:t>
            </w:r>
          </w:p>
        </w:tc>
        <w:tc>
          <w:tcPr>
            <w:tcW w:w="1440" w:type="dxa"/>
          </w:tcPr>
          <w:p w14:paraId="61A43D07" w14:textId="77777777" w:rsidR="00874009" w:rsidRDefault="00000000">
            <w:pPr>
              <w:cnfStyle w:val="000000010000" w:firstRow="0" w:lastRow="0" w:firstColumn="0" w:lastColumn="0" w:oddVBand="0" w:evenVBand="0" w:oddHBand="0" w:evenHBand="1" w:firstRowFirstColumn="0" w:firstRowLastColumn="0" w:lastRowFirstColumn="0" w:lastRowLastColumn="0"/>
            </w:pPr>
            <w:r>
              <w:t>6,294</w:t>
            </w:r>
          </w:p>
        </w:tc>
        <w:tc>
          <w:tcPr>
            <w:tcW w:w="1440" w:type="dxa"/>
          </w:tcPr>
          <w:p w14:paraId="74C62AF4" w14:textId="77777777" w:rsidR="00874009" w:rsidRDefault="00000000">
            <w:pPr>
              <w:cnfStyle w:val="000000010000" w:firstRow="0" w:lastRow="0" w:firstColumn="0" w:lastColumn="0" w:oddVBand="0" w:evenVBand="0" w:oddHBand="0" w:evenHBand="1" w:firstRowFirstColumn="0" w:firstRowLastColumn="0" w:lastRowFirstColumn="0" w:lastRowLastColumn="0"/>
            </w:pPr>
            <w:r>
              <w:t>3,787</w:t>
            </w:r>
          </w:p>
        </w:tc>
        <w:tc>
          <w:tcPr>
            <w:tcW w:w="1440" w:type="dxa"/>
          </w:tcPr>
          <w:p w14:paraId="716ADBAF" w14:textId="77777777" w:rsidR="00874009" w:rsidRDefault="00000000">
            <w:pPr>
              <w:cnfStyle w:val="000000010000" w:firstRow="0" w:lastRow="0" w:firstColumn="0" w:lastColumn="0" w:oddVBand="0" w:evenVBand="0" w:oddHBand="0" w:evenHBand="1" w:firstRowFirstColumn="0" w:firstRowLastColumn="0" w:lastRowFirstColumn="0" w:lastRowLastColumn="0"/>
            </w:pPr>
            <w:r>
              <w:t>4,017</w:t>
            </w:r>
          </w:p>
        </w:tc>
        <w:tc>
          <w:tcPr>
            <w:tcW w:w="1440" w:type="dxa"/>
          </w:tcPr>
          <w:p w14:paraId="2B7AAAF5" w14:textId="77777777" w:rsidR="00874009" w:rsidRDefault="00000000">
            <w:pPr>
              <w:cnfStyle w:val="000000010000" w:firstRow="0" w:lastRow="0" w:firstColumn="0" w:lastColumn="0" w:oddVBand="0" w:evenVBand="0" w:oddHBand="0" w:evenHBand="1" w:firstRowFirstColumn="0" w:firstRowLastColumn="0" w:lastRowFirstColumn="0" w:lastRowLastColumn="0"/>
            </w:pPr>
            <w:r>
              <w:t>3,812</w:t>
            </w:r>
          </w:p>
        </w:tc>
        <w:tc>
          <w:tcPr>
            <w:tcW w:w="1440" w:type="dxa"/>
          </w:tcPr>
          <w:p w14:paraId="1BFD3F84" w14:textId="77777777" w:rsidR="00874009" w:rsidRDefault="00000000">
            <w:pPr>
              <w:cnfStyle w:val="000000010000" w:firstRow="0" w:lastRow="0" w:firstColumn="0" w:lastColumn="0" w:oddVBand="0" w:evenVBand="0" w:oddHBand="0" w:evenHBand="1" w:firstRowFirstColumn="0" w:firstRowLastColumn="0" w:lastRowFirstColumn="0" w:lastRowLastColumn="0"/>
            </w:pPr>
            <w:r>
              <w:t>0.291</w:t>
            </w:r>
          </w:p>
        </w:tc>
      </w:tr>
      <w:tr w:rsidR="00874009" w14:paraId="2DBD664D"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1558AD" w14:textId="77777777" w:rsidR="00874009" w:rsidRDefault="00000000">
            <w:r>
              <w:t>Цена (USD)</w:t>
            </w:r>
          </w:p>
        </w:tc>
        <w:tc>
          <w:tcPr>
            <w:tcW w:w="1440" w:type="dxa"/>
          </w:tcPr>
          <w:p w14:paraId="5FF7C581" w14:textId="77777777" w:rsidR="00874009" w:rsidRDefault="00000000">
            <w:pPr>
              <w:cnfStyle w:val="000000100000" w:firstRow="0" w:lastRow="0" w:firstColumn="0" w:lastColumn="0" w:oddVBand="0" w:evenVBand="0" w:oddHBand="1" w:evenHBand="0" w:firstRowFirstColumn="0" w:firstRowLastColumn="0" w:lastRowFirstColumn="0" w:lastRowLastColumn="0"/>
            </w:pPr>
            <w:r>
              <w:t>0.0055</w:t>
            </w:r>
          </w:p>
        </w:tc>
        <w:tc>
          <w:tcPr>
            <w:tcW w:w="1440" w:type="dxa"/>
          </w:tcPr>
          <w:p w14:paraId="3F60CBD7" w14:textId="77777777" w:rsidR="00874009" w:rsidRDefault="00000000">
            <w:pPr>
              <w:cnfStyle w:val="000000100000" w:firstRow="0" w:lastRow="0" w:firstColumn="0" w:lastColumn="0" w:oddVBand="0" w:evenVBand="0" w:oddHBand="1" w:evenHBand="0" w:firstRowFirstColumn="0" w:firstRowLastColumn="0" w:lastRowFirstColumn="0" w:lastRowLastColumn="0"/>
            </w:pPr>
            <w:r>
              <w:t>0.0034</w:t>
            </w:r>
          </w:p>
        </w:tc>
        <w:tc>
          <w:tcPr>
            <w:tcW w:w="1440" w:type="dxa"/>
          </w:tcPr>
          <w:p w14:paraId="7F78D91C" w14:textId="77777777" w:rsidR="00874009" w:rsidRDefault="00000000">
            <w:pPr>
              <w:cnfStyle w:val="000000100000" w:firstRow="0" w:lastRow="0" w:firstColumn="0" w:lastColumn="0" w:oddVBand="0" w:evenVBand="0" w:oddHBand="1" w:evenHBand="0" w:firstRowFirstColumn="0" w:firstRowLastColumn="0" w:lastRowFirstColumn="0" w:lastRowLastColumn="0"/>
            </w:pPr>
            <w:r>
              <w:t>0.0028</w:t>
            </w:r>
          </w:p>
        </w:tc>
        <w:tc>
          <w:tcPr>
            <w:tcW w:w="1440" w:type="dxa"/>
          </w:tcPr>
          <w:p w14:paraId="5A2DF77D" w14:textId="77777777" w:rsidR="00874009" w:rsidRDefault="00000000">
            <w:pPr>
              <w:cnfStyle w:val="000000100000" w:firstRow="0" w:lastRow="0" w:firstColumn="0" w:lastColumn="0" w:oddVBand="0" w:evenVBand="0" w:oddHBand="1" w:evenHBand="0" w:firstRowFirstColumn="0" w:firstRowLastColumn="0" w:lastRowFirstColumn="0" w:lastRowLastColumn="0"/>
            </w:pPr>
            <w:r>
              <w:t>0.0026</w:t>
            </w:r>
          </w:p>
        </w:tc>
        <w:tc>
          <w:tcPr>
            <w:tcW w:w="1440" w:type="dxa"/>
          </w:tcPr>
          <w:p w14:paraId="307C5B0A" w14:textId="77777777" w:rsidR="00874009" w:rsidRDefault="00000000">
            <w:pPr>
              <w:cnfStyle w:val="000000100000" w:firstRow="0" w:lastRow="0" w:firstColumn="0" w:lastColumn="0" w:oddVBand="0" w:evenVBand="0" w:oddHBand="1" w:evenHBand="0" w:firstRowFirstColumn="0" w:firstRowLastColumn="0" w:lastRowFirstColumn="0" w:lastRowLastColumn="0"/>
            </w:pPr>
            <w:r>
              <w:t>0.002 **</w:t>
            </w:r>
          </w:p>
        </w:tc>
      </w:tr>
      <w:tr w:rsidR="00874009" w14:paraId="2A707F90"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0A5F61" w14:textId="77777777" w:rsidR="00874009" w:rsidRDefault="00000000">
            <w:r>
              <w:t>Извиквания на LLM</w:t>
            </w:r>
          </w:p>
        </w:tc>
        <w:tc>
          <w:tcPr>
            <w:tcW w:w="1440" w:type="dxa"/>
          </w:tcPr>
          <w:p w14:paraId="66F9EA0C" w14:textId="77777777" w:rsidR="00874009" w:rsidRDefault="00000000">
            <w:pPr>
              <w:cnfStyle w:val="000000010000" w:firstRow="0" w:lastRow="0" w:firstColumn="0" w:lastColumn="0" w:oddVBand="0" w:evenVBand="0" w:oddHBand="0" w:evenHBand="1" w:firstRowFirstColumn="0" w:firstRowLastColumn="0" w:lastRowFirstColumn="0" w:lastRowLastColumn="0"/>
            </w:pPr>
            <w:r>
              <w:t>5.81</w:t>
            </w:r>
          </w:p>
        </w:tc>
        <w:tc>
          <w:tcPr>
            <w:tcW w:w="1440" w:type="dxa"/>
          </w:tcPr>
          <w:p w14:paraId="1C94B816" w14:textId="77777777" w:rsidR="00874009" w:rsidRDefault="00000000">
            <w:pPr>
              <w:cnfStyle w:val="000000010000" w:firstRow="0" w:lastRow="0" w:firstColumn="0" w:lastColumn="0" w:oddVBand="0" w:evenVBand="0" w:oddHBand="0" w:evenHBand="1" w:firstRowFirstColumn="0" w:firstRowLastColumn="0" w:lastRowFirstColumn="0" w:lastRowLastColumn="0"/>
            </w:pPr>
            <w:r>
              <w:t>4.00</w:t>
            </w:r>
          </w:p>
        </w:tc>
        <w:tc>
          <w:tcPr>
            <w:tcW w:w="1440" w:type="dxa"/>
          </w:tcPr>
          <w:p w14:paraId="1066E2C9" w14:textId="77777777" w:rsidR="00874009" w:rsidRDefault="00000000">
            <w:pPr>
              <w:cnfStyle w:val="000000010000" w:firstRow="0" w:lastRow="0" w:firstColumn="0" w:lastColumn="0" w:oddVBand="0" w:evenVBand="0" w:oddHBand="0" w:evenHBand="1" w:firstRowFirstColumn="0" w:firstRowLastColumn="0" w:lastRowFirstColumn="0" w:lastRowLastColumn="0"/>
            </w:pPr>
            <w:r>
              <w:t>2.05</w:t>
            </w:r>
          </w:p>
        </w:tc>
        <w:tc>
          <w:tcPr>
            <w:tcW w:w="1440" w:type="dxa"/>
          </w:tcPr>
          <w:p w14:paraId="5616F4BD" w14:textId="77777777" w:rsidR="00874009" w:rsidRDefault="00000000">
            <w:pPr>
              <w:cnfStyle w:val="000000010000" w:firstRow="0" w:lastRow="0" w:firstColumn="0" w:lastColumn="0" w:oddVBand="0" w:evenVBand="0" w:oddHBand="0" w:evenHBand="1" w:firstRowFirstColumn="0" w:firstRowLastColumn="0" w:lastRowFirstColumn="0" w:lastRowLastColumn="0"/>
            </w:pPr>
            <w:r>
              <w:t>2.00</w:t>
            </w:r>
          </w:p>
        </w:tc>
        <w:tc>
          <w:tcPr>
            <w:tcW w:w="1440" w:type="dxa"/>
          </w:tcPr>
          <w:p w14:paraId="49B7C795" w14:textId="77777777" w:rsidR="00874009" w:rsidRDefault="00000000">
            <w:pPr>
              <w:cnfStyle w:val="000000010000" w:firstRow="0" w:lastRow="0" w:firstColumn="0" w:lastColumn="0" w:oddVBand="0" w:evenVBand="0" w:oddHBand="0" w:evenHBand="1" w:firstRowFirstColumn="0" w:firstRowLastColumn="0" w:lastRowFirstColumn="0" w:lastRowLastColumn="0"/>
            </w:pPr>
            <w:r>
              <w:t>&lt;0.001 ***</w:t>
            </w:r>
          </w:p>
        </w:tc>
      </w:tr>
      <w:tr w:rsidR="00874009" w14:paraId="7A287CDF"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DA8863" w14:textId="77777777" w:rsidR="00874009" w:rsidRDefault="00000000">
            <w:r>
              <w:t>Извиквания на инструменти</w:t>
            </w:r>
          </w:p>
        </w:tc>
        <w:tc>
          <w:tcPr>
            <w:tcW w:w="1440" w:type="dxa"/>
          </w:tcPr>
          <w:p w14:paraId="32AF05F9" w14:textId="77777777" w:rsidR="00874009" w:rsidRDefault="00000000">
            <w:pPr>
              <w:cnfStyle w:val="000000100000" w:firstRow="0" w:lastRow="0" w:firstColumn="0" w:lastColumn="0" w:oddVBand="0" w:evenVBand="0" w:oddHBand="1" w:evenHBand="0" w:firstRowFirstColumn="0" w:firstRowLastColumn="0" w:lastRowFirstColumn="0" w:lastRowLastColumn="0"/>
            </w:pPr>
            <w:r>
              <w:t>1.99</w:t>
            </w:r>
          </w:p>
        </w:tc>
        <w:tc>
          <w:tcPr>
            <w:tcW w:w="1440" w:type="dxa"/>
          </w:tcPr>
          <w:p w14:paraId="7F84EA49" w14:textId="77777777" w:rsidR="00874009"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291CE1A4" w14:textId="77777777" w:rsidR="00874009" w:rsidRDefault="00000000">
            <w:pPr>
              <w:cnfStyle w:val="000000100000" w:firstRow="0" w:lastRow="0" w:firstColumn="0" w:lastColumn="0" w:oddVBand="0" w:evenVBand="0" w:oddHBand="1" w:evenHBand="0" w:firstRowFirstColumn="0" w:firstRowLastColumn="0" w:lastRowFirstColumn="0" w:lastRowLastColumn="0"/>
            </w:pPr>
            <w:r>
              <w:t>1.32</w:t>
            </w:r>
          </w:p>
        </w:tc>
        <w:tc>
          <w:tcPr>
            <w:tcW w:w="1440" w:type="dxa"/>
          </w:tcPr>
          <w:p w14:paraId="54091270" w14:textId="77777777" w:rsidR="00874009"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7B1545ED" w14:textId="77777777" w:rsidR="00874009" w:rsidRDefault="00000000">
            <w:pPr>
              <w:cnfStyle w:val="000000100000" w:firstRow="0" w:lastRow="0" w:firstColumn="0" w:lastColumn="0" w:oddVBand="0" w:evenVBand="0" w:oddHBand="1" w:evenHBand="0" w:firstRowFirstColumn="0" w:firstRowLastColumn="0" w:lastRowFirstColumn="0" w:lastRowLastColumn="0"/>
            </w:pPr>
            <w:r>
              <w:t>0.463</w:t>
            </w:r>
          </w:p>
        </w:tc>
      </w:tr>
    </w:tbl>
    <w:p w14:paraId="7E4B66E0" w14:textId="77777777" w:rsidR="00874009" w:rsidRDefault="00000000">
      <w:pPr>
        <w:jc w:val="center"/>
      </w:pPr>
      <w:r>
        <w:rPr>
          <w:noProof/>
        </w:rPr>
        <w:lastRenderedPageBreak/>
        <w:drawing>
          <wp:inline distT="0" distB="0" distL="0" distR="0" wp14:anchorId="307BD7F7" wp14:editId="1A18FD11">
            <wp:extent cx="5486400" cy="4001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_panel.png"/>
                    <pic:cNvPicPr/>
                  </pic:nvPicPr>
                  <pic:blipFill>
                    <a:blip r:embed="rId8"/>
                    <a:stretch>
                      <a:fillRect/>
                    </a:stretch>
                  </pic:blipFill>
                  <pic:spPr>
                    <a:xfrm>
                      <a:off x="0" y="0"/>
                      <a:ext cx="5486400" cy="4001845"/>
                    </a:xfrm>
                    <a:prstGeom prst="rect">
                      <a:avLst/>
                    </a:prstGeom>
                  </pic:spPr>
                </pic:pic>
              </a:graphicData>
            </a:graphic>
          </wp:inline>
        </w:drawing>
      </w:r>
    </w:p>
    <w:p w14:paraId="2DB6A6EC" w14:textId="77777777" w:rsidR="00874009" w:rsidRDefault="00000000">
      <w:pPr>
        <w:jc w:val="center"/>
      </w:pPr>
      <w:r>
        <w:rPr>
          <w:noProof/>
        </w:rPr>
        <w:drawing>
          <wp:inline distT="0" distB="0" distL="0" distR="0" wp14:anchorId="4BB142F3" wp14:editId="6A6252F2">
            <wp:extent cx="5486400" cy="3545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box.png"/>
                    <pic:cNvPicPr/>
                  </pic:nvPicPr>
                  <pic:blipFill>
                    <a:blip r:embed="rId9"/>
                    <a:stretch>
                      <a:fillRect/>
                    </a:stretch>
                  </pic:blipFill>
                  <pic:spPr>
                    <a:xfrm>
                      <a:off x="0" y="0"/>
                      <a:ext cx="5486400" cy="3545058"/>
                    </a:xfrm>
                    <a:prstGeom prst="rect">
                      <a:avLst/>
                    </a:prstGeom>
                  </pic:spPr>
                </pic:pic>
              </a:graphicData>
            </a:graphic>
          </wp:inline>
        </w:drawing>
      </w:r>
    </w:p>
    <w:p w14:paraId="532E75D6" w14:textId="77777777" w:rsidR="00874009" w:rsidRDefault="00000000">
      <w:pPr>
        <w:pStyle w:val="Heading2"/>
      </w:pPr>
      <w:r>
        <w:lastRenderedPageBreak/>
        <w:t>3б. Сдвоена значимост по осите на точността (Макнемар)</w:t>
      </w:r>
    </w:p>
    <w:p w14:paraId="386B853C" w14:textId="77777777" w:rsidR="00874009" w:rsidRDefault="00000000">
      <w:r>
        <w:t>Точен тест на Макнемар върху сдвоени резултати (сценарий, повторение). „Само Сув.“ / „Само Моно.“ са несъгласуваните двойки, спечелени от всяка архитектура.</w:t>
      </w:r>
    </w:p>
    <w:tbl>
      <w:tblPr>
        <w:tblStyle w:val="LightGrid-Accent1"/>
        <w:tblW w:w="0" w:type="auto"/>
        <w:tblLook w:val="04A0" w:firstRow="1" w:lastRow="0" w:firstColumn="1" w:lastColumn="0" w:noHBand="0" w:noVBand="1"/>
      </w:tblPr>
      <w:tblGrid>
        <w:gridCol w:w="1728"/>
        <w:gridCol w:w="1728"/>
        <w:gridCol w:w="1728"/>
        <w:gridCol w:w="1728"/>
        <w:gridCol w:w="1728"/>
      </w:tblGrid>
      <w:tr w:rsidR="00874009" w14:paraId="499DA59D" w14:textId="77777777" w:rsidTr="00874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E31741" w14:textId="77777777" w:rsidR="00874009" w:rsidRDefault="00000000">
            <w:r>
              <w:t>Метрика</w:t>
            </w:r>
          </w:p>
        </w:tc>
        <w:tc>
          <w:tcPr>
            <w:tcW w:w="1728" w:type="dxa"/>
          </w:tcPr>
          <w:p w14:paraId="15FFE4E5" w14:textId="77777777" w:rsidR="00874009" w:rsidRDefault="00000000">
            <w:pPr>
              <w:cnfStyle w:val="100000000000" w:firstRow="1" w:lastRow="0" w:firstColumn="0" w:lastColumn="0" w:oddVBand="0" w:evenVBand="0" w:oddHBand="0" w:evenHBand="0" w:firstRowFirstColumn="0" w:firstRowLastColumn="0" w:lastRowFirstColumn="0" w:lastRowLastColumn="0"/>
            </w:pPr>
            <w:r>
              <w:t>Двойки</w:t>
            </w:r>
          </w:p>
        </w:tc>
        <w:tc>
          <w:tcPr>
            <w:tcW w:w="1728" w:type="dxa"/>
          </w:tcPr>
          <w:p w14:paraId="14FCD539" w14:textId="77777777" w:rsidR="00874009" w:rsidRDefault="00000000">
            <w:pPr>
              <w:cnfStyle w:val="100000000000" w:firstRow="1" w:lastRow="0" w:firstColumn="0" w:lastColumn="0" w:oddVBand="0" w:evenVBand="0" w:oddHBand="0" w:evenHBand="0" w:firstRowFirstColumn="0" w:firstRowLastColumn="0" w:lastRowFirstColumn="0" w:lastRowLastColumn="0"/>
            </w:pPr>
            <w:r>
              <w:t>Само Сув.</w:t>
            </w:r>
          </w:p>
        </w:tc>
        <w:tc>
          <w:tcPr>
            <w:tcW w:w="1728" w:type="dxa"/>
          </w:tcPr>
          <w:p w14:paraId="428CAFBE" w14:textId="77777777" w:rsidR="00874009" w:rsidRDefault="00000000">
            <w:pPr>
              <w:cnfStyle w:val="100000000000" w:firstRow="1" w:lastRow="0" w:firstColumn="0" w:lastColumn="0" w:oddVBand="0" w:evenVBand="0" w:oddHBand="0" w:evenHBand="0" w:firstRowFirstColumn="0" w:firstRowLastColumn="0" w:lastRowFirstColumn="0" w:lastRowLastColumn="0"/>
            </w:pPr>
            <w:r>
              <w:t>Само Моно.</w:t>
            </w:r>
          </w:p>
        </w:tc>
        <w:tc>
          <w:tcPr>
            <w:tcW w:w="1728" w:type="dxa"/>
          </w:tcPr>
          <w:p w14:paraId="2A3EE32B" w14:textId="77777777" w:rsidR="00874009" w:rsidRDefault="00000000">
            <w:pPr>
              <w:cnfStyle w:val="100000000000" w:firstRow="1" w:lastRow="0" w:firstColumn="0" w:lastColumn="0" w:oddVBand="0" w:evenVBand="0" w:oddHBand="0" w:evenHBand="0" w:firstRowFirstColumn="0" w:firstRowLastColumn="0" w:lastRowFirstColumn="0" w:lastRowLastColumn="0"/>
            </w:pPr>
            <w:r>
              <w:t>p (Макнемар)</w:t>
            </w:r>
          </w:p>
        </w:tc>
      </w:tr>
      <w:tr w:rsidR="00874009" w14:paraId="7F53EA4D"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E74C54" w14:textId="77777777" w:rsidR="00874009" w:rsidRDefault="00000000">
            <w:r>
              <w:t>Успех на задачата</w:t>
            </w:r>
          </w:p>
        </w:tc>
        <w:tc>
          <w:tcPr>
            <w:tcW w:w="1728" w:type="dxa"/>
          </w:tcPr>
          <w:p w14:paraId="2768199E" w14:textId="77777777" w:rsidR="00874009" w:rsidRDefault="00000000">
            <w:pPr>
              <w:cnfStyle w:val="000000100000" w:firstRow="0" w:lastRow="0" w:firstColumn="0" w:lastColumn="0" w:oddVBand="0" w:evenVBand="0" w:oddHBand="1" w:evenHBand="0" w:firstRowFirstColumn="0" w:firstRowLastColumn="0" w:lastRowFirstColumn="0" w:lastRowLastColumn="0"/>
            </w:pPr>
            <w:r>
              <w:t>130</w:t>
            </w:r>
          </w:p>
        </w:tc>
        <w:tc>
          <w:tcPr>
            <w:tcW w:w="1728" w:type="dxa"/>
          </w:tcPr>
          <w:p w14:paraId="5FAB99D7" w14:textId="77777777" w:rsidR="00874009" w:rsidRDefault="00000000">
            <w:pPr>
              <w:cnfStyle w:val="000000100000" w:firstRow="0" w:lastRow="0" w:firstColumn="0" w:lastColumn="0" w:oddVBand="0" w:evenVBand="0" w:oddHBand="1" w:evenHBand="0" w:firstRowFirstColumn="0" w:firstRowLastColumn="0" w:lastRowFirstColumn="0" w:lastRowLastColumn="0"/>
            </w:pPr>
            <w:r>
              <w:t>12</w:t>
            </w:r>
          </w:p>
        </w:tc>
        <w:tc>
          <w:tcPr>
            <w:tcW w:w="1728" w:type="dxa"/>
          </w:tcPr>
          <w:p w14:paraId="5539A5F8" w14:textId="77777777" w:rsidR="00874009" w:rsidRDefault="00000000">
            <w:pPr>
              <w:cnfStyle w:val="000000100000" w:firstRow="0" w:lastRow="0" w:firstColumn="0" w:lastColumn="0" w:oddVBand="0" w:evenVBand="0" w:oddHBand="1" w:evenHBand="0" w:firstRowFirstColumn="0" w:firstRowLastColumn="0" w:lastRowFirstColumn="0" w:lastRowLastColumn="0"/>
            </w:pPr>
            <w:r>
              <w:t>19</w:t>
            </w:r>
          </w:p>
        </w:tc>
        <w:tc>
          <w:tcPr>
            <w:tcW w:w="1728" w:type="dxa"/>
          </w:tcPr>
          <w:p w14:paraId="1FA10545" w14:textId="77777777" w:rsidR="00874009" w:rsidRDefault="00000000">
            <w:pPr>
              <w:cnfStyle w:val="000000100000" w:firstRow="0" w:lastRow="0" w:firstColumn="0" w:lastColumn="0" w:oddVBand="0" w:evenVBand="0" w:oddHBand="1" w:evenHBand="0" w:firstRowFirstColumn="0" w:firstRowLastColumn="0" w:lastRowFirstColumn="0" w:lastRowLastColumn="0"/>
            </w:pPr>
            <w:r>
              <w:t>0.281</w:t>
            </w:r>
          </w:p>
        </w:tc>
      </w:tr>
      <w:tr w:rsidR="00874009" w14:paraId="4E341E9E"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507BB1" w14:textId="77777777" w:rsidR="00874009" w:rsidRDefault="00000000">
            <w:r>
              <w:t>Избор на инструмент</w:t>
            </w:r>
          </w:p>
        </w:tc>
        <w:tc>
          <w:tcPr>
            <w:tcW w:w="1728" w:type="dxa"/>
          </w:tcPr>
          <w:p w14:paraId="17A6088D" w14:textId="77777777" w:rsidR="00874009" w:rsidRDefault="00000000">
            <w:pPr>
              <w:cnfStyle w:val="000000010000" w:firstRow="0" w:lastRow="0" w:firstColumn="0" w:lastColumn="0" w:oddVBand="0" w:evenVBand="0" w:oddHBand="0" w:evenHBand="1" w:firstRowFirstColumn="0" w:firstRowLastColumn="0" w:lastRowFirstColumn="0" w:lastRowLastColumn="0"/>
            </w:pPr>
            <w:r>
              <w:t>130</w:t>
            </w:r>
          </w:p>
        </w:tc>
        <w:tc>
          <w:tcPr>
            <w:tcW w:w="1728" w:type="dxa"/>
          </w:tcPr>
          <w:p w14:paraId="57A2B521" w14:textId="77777777" w:rsidR="00874009" w:rsidRDefault="00000000">
            <w:pPr>
              <w:cnfStyle w:val="000000010000" w:firstRow="0" w:lastRow="0" w:firstColumn="0" w:lastColumn="0" w:oddVBand="0" w:evenVBand="0" w:oddHBand="0" w:evenHBand="1" w:firstRowFirstColumn="0" w:firstRowLastColumn="0" w:lastRowFirstColumn="0" w:lastRowLastColumn="0"/>
            </w:pPr>
            <w:r>
              <w:t>1</w:t>
            </w:r>
          </w:p>
        </w:tc>
        <w:tc>
          <w:tcPr>
            <w:tcW w:w="1728" w:type="dxa"/>
          </w:tcPr>
          <w:p w14:paraId="180B9DC4" w14:textId="77777777" w:rsidR="00874009" w:rsidRDefault="00000000">
            <w:pPr>
              <w:cnfStyle w:val="000000010000" w:firstRow="0" w:lastRow="0" w:firstColumn="0" w:lastColumn="0" w:oddVBand="0" w:evenVBand="0" w:oddHBand="0" w:evenHBand="1" w:firstRowFirstColumn="0" w:firstRowLastColumn="0" w:lastRowFirstColumn="0" w:lastRowLastColumn="0"/>
            </w:pPr>
            <w:r>
              <w:t>10</w:t>
            </w:r>
          </w:p>
        </w:tc>
        <w:tc>
          <w:tcPr>
            <w:tcW w:w="1728" w:type="dxa"/>
          </w:tcPr>
          <w:p w14:paraId="10B01577" w14:textId="77777777" w:rsidR="00874009" w:rsidRDefault="00000000">
            <w:pPr>
              <w:cnfStyle w:val="000000010000" w:firstRow="0" w:lastRow="0" w:firstColumn="0" w:lastColumn="0" w:oddVBand="0" w:evenVBand="0" w:oddHBand="0" w:evenHBand="1" w:firstRowFirstColumn="0" w:firstRowLastColumn="0" w:lastRowFirstColumn="0" w:lastRowLastColumn="0"/>
            </w:pPr>
            <w:r>
              <w:t>0.012 *</w:t>
            </w:r>
          </w:p>
        </w:tc>
      </w:tr>
      <w:tr w:rsidR="00874009" w14:paraId="6FD8140F"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876991" w14:textId="77777777" w:rsidR="00874009" w:rsidRDefault="00000000">
            <w:r>
              <w:t>Извличане на аргументи</w:t>
            </w:r>
          </w:p>
        </w:tc>
        <w:tc>
          <w:tcPr>
            <w:tcW w:w="1728" w:type="dxa"/>
          </w:tcPr>
          <w:p w14:paraId="25E9B52C" w14:textId="77777777" w:rsidR="00874009" w:rsidRDefault="00000000">
            <w:pPr>
              <w:cnfStyle w:val="000000100000" w:firstRow="0" w:lastRow="0" w:firstColumn="0" w:lastColumn="0" w:oddVBand="0" w:evenVBand="0" w:oddHBand="1" w:evenHBand="0" w:firstRowFirstColumn="0" w:firstRowLastColumn="0" w:lastRowFirstColumn="0" w:lastRowLastColumn="0"/>
            </w:pPr>
            <w:r>
              <w:t>60</w:t>
            </w:r>
          </w:p>
        </w:tc>
        <w:tc>
          <w:tcPr>
            <w:tcW w:w="1728" w:type="dxa"/>
          </w:tcPr>
          <w:p w14:paraId="11D81621" w14:textId="77777777" w:rsidR="00874009" w:rsidRDefault="00000000">
            <w:pPr>
              <w:cnfStyle w:val="000000100000" w:firstRow="0" w:lastRow="0" w:firstColumn="0" w:lastColumn="0" w:oddVBand="0" w:evenVBand="0" w:oddHBand="1" w:evenHBand="0" w:firstRowFirstColumn="0" w:firstRowLastColumn="0" w:lastRowFirstColumn="0" w:lastRowLastColumn="0"/>
            </w:pPr>
            <w:r>
              <w:t>11</w:t>
            </w:r>
          </w:p>
        </w:tc>
        <w:tc>
          <w:tcPr>
            <w:tcW w:w="1728" w:type="dxa"/>
          </w:tcPr>
          <w:p w14:paraId="29D5ABDC" w14:textId="77777777" w:rsidR="00874009"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052ECF6C" w14:textId="77777777" w:rsidR="00874009" w:rsidRDefault="00000000">
            <w:pPr>
              <w:cnfStyle w:val="000000100000" w:firstRow="0" w:lastRow="0" w:firstColumn="0" w:lastColumn="0" w:oddVBand="0" w:evenVBand="0" w:oddHBand="1" w:evenHBand="0" w:firstRowFirstColumn="0" w:firstRowLastColumn="0" w:lastRowFirstColumn="0" w:lastRowLastColumn="0"/>
            </w:pPr>
            <w:r>
              <w:t>&lt;0.001 ***</w:t>
            </w:r>
          </w:p>
        </w:tc>
      </w:tr>
    </w:tbl>
    <w:p w14:paraId="4F867BA2" w14:textId="77777777" w:rsidR="00874009" w:rsidRDefault="00000000">
      <w:pPr>
        <w:pStyle w:val="Heading1"/>
      </w:pPr>
      <w:r>
        <w:t>4. Качествени наблюдения</w:t>
      </w:r>
    </w:p>
    <w:p w14:paraId="7541DD2D" w14:textId="77777777" w:rsidR="00874009" w:rsidRDefault="00000000">
      <w:pPr>
        <w:pStyle w:val="Heading2"/>
      </w:pPr>
      <w:r>
        <w:t>4.1 Незавършване при супервайзора при двусмислени входове</w:t>
      </w:r>
    </w:p>
    <w:p w14:paraId="7ACEF3B1" w14:textId="77777777" w:rsidR="00874009" w:rsidRDefault="00000000">
      <w:r>
        <w:t>8 от 260 изпълнения достигнаха лимита на рекурсия и бяха оценени като неуспехи: 8× Супервайзор/двусмислени. Незавършването се случи изключително при архитектурата със супервайзор при двусмислени входове – режим на отказ, който монолитната архитектура е структурно неспособна да прояви (няма цикъл на маршрутизиране между агенти).</w:t>
      </w:r>
    </w:p>
    <w:p w14:paraId="7067C050" w14:textId="77777777" w:rsidR="00874009" w:rsidRDefault="00000000">
      <w:pPr>
        <w:pStyle w:val="Heading2"/>
      </w:pPr>
      <w:r>
        <w:t>4.2 Замяна на RAG инструмента (верен отговор, по-слаб инструмент)</w:t>
      </w:r>
    </w:p>
    <w:p w14:paraId="5749B65F" w14:textId="77777777" w:rsidR="00874009" w:rsidRDefault="00000000">
      <w:r>
        <w:t>При фактологичните RAG заявки специалистът на супервайзора често заместваше очакваното целево извикване search_documents с list_uploaded_files + get_file_summary (прочитане на целия документ): 10 от 20 фактологични изпълнения, спрямо само 1 при монолитния агент. Всяко такова изпълнение беше без халюцинации – отговорите бяха верни, но достигнати чрез немащабируем път на извличане, който наборът от данни наказва, защото не се обобщава за по-големи корпуси. Затова разликата в task_success при RAG отразява качеството на избора на инструмент, а не коректността на отговора.</w:t>
      </w:r>
    </w:p>
    <w:p w14:paraId="41E63759" w14:textId="77777777" w:rsidR="00874009" w:rsidRDefault="00000000">
      <w:pPr>
        <w:pStyle w:val="Heading2"/>
      </w:pPr>
      <w:r>
        <w:t>4.3 Свръхразширяване на относителните времеви диапазони (монолитен)</w:t>
      </w:r>
    </w:p>
    <w:p w14:paraId="37E62D32" w14:textId="77777777" w:rsidR="00874009" w:rsidRDefault="00000000">
      <w:r>
        <w:t>При идентично закотвяне на датите (днес = референтна дата, вмъкната в промптовете на двете архитектури), монолитният агент интерпретираше относителни диапазони като „тази седмица“ като пълната ISO седмица, завършваща в неделя (2026-06-07), разпростирайки се в бъдещи дни, докато специалистът на супервайзора се закотвяше към референтната дата (от началото на седмицата до днес). Това доведе до 16 несъответствия в end_date при монолитните многодомейнни изпълнения и е основният фактор за по-ниската му оценка при извличането на аргументи.</w:t>
      </w:r>
    </w:p>
    <w:p w14:paraId="1460A52B" w14:textId="77777777" w:rsidR="00874009" w:rsidRDefault="00000000">
      <w:pPr>
        <w:pStyle w:val="Heading2"/>
      </w:pPr>
      <w:r>
        <w:lastRenderedPageBreak/>
        <w:t>4.4 Пропуск в безопасността „потвърди преди изтриване“ (и двете архитектури)</w:t>
      </w:r>
    </w:p>
    <w:p w14:paraId="5AAD1978" w14:textId="77777777" w:rsidR="00874009" w:rsidRDefault="00000000">
      <w:r>
        <w:t>Безопасността „потвърди преди изтриване“ беше слаба при ДВЕТЕ архитектури: Супервайзор 0,0% (n=5), Монолитен 0,0% (n=5). Нито една от двете не търсеше надеждно потвърждение преди деструктивно изтриване, което показва, че пропускът е въпрос на дизайн на промпта/инструмента, а не архитектурен проблем.</w:t>
      </w:r>
    </w:p>
    <w:p w14:paraId="3DB6E8EF" w14:textId="77777777" w:rsidR="00874009" w:rsidRDefault="00000000">
      <w:pPr>
        <w:pStyle w:val="Heading1"/>
      </w:pPr>
      <w:r>
        <w:t>5. LLM съдия (допълнителен)</w:t>
      </w:r>
    </w:p>
    <w:p w14:paraId="2D12F896" w14:textId="77777777" w:rsidR="00874009" w:rsidRDefault="00000000">
      <w:r>
        <w:t>Съдията не знае коя е архитектурата и никога не влияе върху task_success. Той потвърждава базираните на правила оценки и се докладва единствено с цел триангулация.</w:t>
      </w:r>
    </w:p>
    <w:tbl>
      <w:tblPr>
        <w:tblStyle w:val="LightGrid-Accent1"/>
        <w:tblW w:w="0" w:type="auto"/>
        <w:tblLook w:val="04A0" w:firstRow="1" w:lastRow="0" w:firstColumn="1" w:lastColumn="0" w:noHBand="0" w:noVBand="1"/>
      </w:tblPr>
      <w:tblGrid>
        <w:gridCol w:w="2880"/>
        <w:gridCol w:w="2880"/>
        <w:gridCol w:w="2880"/>
      </w:tblGrid>
      <w:tr w:rsidR="00874009" w14:paraId="325147A4" w14:textId="77777777" w:rsidTr="00874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D74B36" w14:textId="77777777" w:rsidR="00874009" w:rsidRDefault="00000000">
            <w:r>
              <w:t>Измерение</w:t>
            </w:r>
          </w:p>
        </w:tc>
        <w:tc>
          <w:tcPr>
            <w:tcW w:w="2880" w:type="dxa"/>
          </w:tcPr>
          <w:p w14:paraId="1D6D43B7" w14:textId="77777777" w:rsidR="00874009" w:rsidRDefault="00000000">
            <w:pPr>
              <w:cnfStyle w:val="100000000000" w:firstRow="1" w:lastRow="0" w:firstColumn="0" w:lastColumn="0" w:oddVBand="0" w:evenVBand="0" w:oddHBand="0" w:evenHBand="0" w:firstRowFirstColumn="0" w:firstRowLastColumn="0" w:lastRowFirstColumn="0" w:lastRowLastColumn="0"/>
            </w:pPr>
            <w:r>
              <w:t>Супервайзор</w:t>
            </w:r>
          </w:p>
        </w:tc>
        <w:tc>
          <w:tcPr>
            <w:tcW w:w="2880" w:type="dxa"/>
          </w:tcPr>
          <w:p w14:paraId="03CB88F1" w14:textId="77777777" w:rsidR="00874009" w:rsidRDefault="00000000">
            <w:pPr>
              <w:cnfStyle w:val="100000000000" w:firstRow="1" w:lastRow="0" w:firstColumn="0" w:lastColumn="0" w:oddVBand="0" w:evenVBand="0" w:oddHBand="0" w:evenHBand="0" w:firstRowFirstColumn="0" w:firstRowLastColumn="0" w:lastRowFirstColumn="0" w:lastRowLastColumn="0"/>
            </w:pPr>
            <w:r>
              <w:t>Монолитен</w:t>
            </w:r>
          </w:p>
        </w:tc>
      </w:tr>
      <w:tr w:rsidR="00874009" w14:paraId="3B79BB71"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3619FE" w14:textId="77777777" w:rsidR="00874009" w:rsidRDefault="00000000">
            <w:r>
              <w:t>Коректност (1-5)</w:t>
            </w:r>
          </w:p>
        </w:tc>
        <w:tc>
          <w:tcPr>
            <w:tcW w:w="2880" w:type="dxa"/>
          </w:tcPr>
          <w:p w14:paraId="7D90270C" w14:textId="77777777" w:rsidR="00874009" w:rsidRDefault="00000000">
            <w:pPr>
              <w:cnfStyle w:val="000000100000" w:firstRow="0" w:lastRow="0" w:firstColumn="0" w:lastColumn="0" w:oddVBand="0" w:evenVBand="0" w:oddHBand="1" w:evenHBand="0" w:firstRowFirstColumn="0" w:firstRowLastColumn="0" w:lastRowFirstColumn="0" w:lastRowLastColumn="0"/>
            </w:pPr>
            <w:r>
              <w:t>3.78</w:t>
            </w:r>
          </w:p>
        </w:tc>
        <w:tc>
          <w:tcPr>
            <w:tcW w:w="2880" w:type="dxa"/>
          </w:tcPr>
          <w:p w14:paraId="1E36E847" w14:textId="77777777" w:rsidR="00874009" w:rsidRDefault="00000000">
            <w:pPr>
              <w:cnfStyle w:val="000000100000" w:firstRow="0" w:lastRow="0" w:firstColumn="0" w:lastColumn="0" w:oddVBand="0" w:evenVBand="0" w:oddHBand="1" w:evenHBand="0" w:firstRowFirstColumn="0" w:firstRowLastColumn="0" w:lastRowFirstColumn="0" w:lastRowLastColumn="0"/>
            </w:pPr>
            <w:r>
              <w:t>4.25</w:t>
            </w:r>
          </w:p>
        </w:tc>
      </w:tr>
      <w:tr w:rsidR="00874009" w14:paraId="5D106BC5"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8BB1D" w14:textId="77777777" w:rsidR="00874009" w:rsidRDefault="00000000">
            <w:r>
              <w:t>Пълнота (1-5)</w:t>
            </w:r>
          </w:p>
        </w:tc>
        <w:tc>
          <w:tcPr>
            <w:tcW w:w="2880" w:type="dxa"/>
          </w:tcPr>
          <w:p w14:paraId="77CF11F0" w14:textId="77777777" w:rsidR="00874009" w:rsidRDefault="00000000">
            <w:pPr>
              <w:cnfStyle w:val="000000010000" w:firstRow="0" w:lastRow="0" w:firstColumn="0" w:lastColumn="0" w:oddVBand="0" w:evenVBand="0" w:oddHBand="0" w:evenHBand="1" w:firstRowFirstColumn="0" w:firstRowLastColumn="0" w:lastRowFirstColumn="0" w:lastRowLastColumn="0"/>
            </w:pPr>
            <w:r>
              <w:t>3.84</w:t>
            </w:r>
          </w:p>
        </w:tc>
        <w:tc>
          <w:tcPr>
            <w:tcW w:w="2880" w:type="dxa"/>
          </w:tcPr>
          <w:p w14:paraId="5DF00C30" w14:textId="77777777" w:rsidR="00874009" w:rsidRDefault="00000000">
            <w:pPr>
              <w:cnfStyle w:val="000000010000" w:firstRow="0" w:lastRow="0" w:firstColumn="0" w:lastColumn="0" w:oddVBand="0" w:evenVBand="0" w:oddHBand="0" w:evenHBand="1" w:firstRowFirstColumn="0" w:firstRowLastColumn="0" w:lastRowFirstColumn="0" w:lastRowLastColumn="0"/>
            </w:pPr>
            <w:r>
              <w:t>4.37</w:t>
            </w:r>
          </w:p>
        </w:tc>
      </w:tr>
      <w:tr w:rsidR="00874009" w14:paraId="7658AACD"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0358B4" w14:textId="77777777" w:rsidR="00874009" w:rsidRDefault="00000000">
            <w:r>
              <w:t>Релевантност (1-5)</w:t>
            </w:r>
          </w:p>
        </w:tc>
        <w:tc>
          <w:tcPr>
            <w:tcW w:w="2880" w:type="dxa"/>
          </w:tcPr>
          <w:p w14:paraId="4D6EE00F" w14:textId="77777777" w:rsidR="00874009" w:rsidRDefault="00000000">
            <w:pPr>
              <w:cnfStyle w:val="000000100000" w:firstRow="0" w:lastRow="0" w:firstColumn="0" w:lastColumn="0" w:oddVBand="0" w:evenVBand="0" w:oddHBand="1" w:evenHBand="0" w:firstRowFirstColumn="0" w:firstRowLastColumn="0" w:lastRowFirstColumn="0" w:lastRowLastColumn="0"/>
            </w:pPr>
            <w:r>
              <w:t>4.57</w:t>
            </w:r>
          </w:p>
        </w:tc>
        <w:tc>
          <w:tcPr>
            <w:tcW w:w="2880" w:type="dxa"/>
          </w:tcPr>
          <w:p w14:paraId="31968427" w14:textId="77777777" w:rsidR="00874009" w:rsidRDefault="00000000">
            <w:pPr>
              <w:cnfStyle w:val="000000100000" w:firstRow="0" w:lastRow="0" w:firstColumn="0" w:lastColumn="0" w:oddVBand="0" w:evenVBand="0" w:oddHBand="1" w:evenHBand="0" w:firstRowFirstColumn="0" w:firstRowLastColumn="0" w:lastRowFirstColumn="0" w:lastRowLastColumn="0"/>
            </w:pPr>
            <w:r>
              <w:t>4.95</w:t>
            </w:r>
          </w:p>
        </w:tc>
      </w:tr>
      <w:tr w:rsidR="00874009" w14:paraId="5F814FBA" w14:textId="77777777" w:rsidTr="008740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9D641F" w14:textId="77777777" w:rsidR="00874009" w:rsidRDefault="00000000">
            <w:r>
              <w:t>Сбитост (1-5)</w:t>
            </w:r>
          </w:p>
        </w:tc>
        <w:tc>
          <w:tcPr>
            <w:tcW w:w="2880" w:type="dxa"/>
          </w:tcPr>
          <w:p w14:paraId="2B16D799" w14:textId="77777777" w:rsidR="00874009" w:rsidRDefault="00000000">
            <w:pPr>
              <w:cnfStyle w:val="000000010000" w:firstRow="0" w:lastRow="0" w:firstColumn="0" w:lastColumn="0" w:oddVBand="0" w:evenVBand="0" w:oddHBand="0" w:evenHBand="1" w:firstRowFirstColumn="0" w:firstRowLastColumn="0" w:lastRowFirstColumn="0" w:lastRowLastColumn="0"/>
            </w:pPr>
            <w:r>
              <w:t>4.62</w:t>
            </w:r>
          </w:p>
        </w:tc>
        <w:tc>
          <w:tcPr>
            <w:tcW w:w="2880" w:type="dxa"/>
          </w:tcPr>
          <w:p w14:paraId="2659D65C" w14:textId="77777777" w:rsidR="00874009" w:rsidRDefault="00000000">
            <w:pPr>
              <w:cnfStyle w:val="000000010000" w:firstRow="0" w:lastRow="0" w:firstColumn="0" w:lastColumn="0" w:oddVBand="0" w:evenVBand="0" w:oddHBand="0" w:evenHBand="1" w:firstRowFirstColumn="0" w:firstRowLastColumn="0" w:lastRowFirstColumn="0" w:lastRowLastColumn="0"/>
            </w:pPr>
            <w:r>
              <w:t>4.85</w:t>
            </w:r>
          </w:p>
        </w:tc>
      </w:tr>
      <w:tr w:rsidR="00874009" w14:paraId="29F4AF00" w14:textId="77777777" w:rsidTr="00874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DC7745" w14:textId="77777777" w:rsidR="00874009" w:rsidRDefault="00000000">
            <w:r>
              <w:t>Открита халюцинация (съдия)</w:t>
            </w:r>
          </w:p>
        </w:tc>
        <w:tc>
          <w:tcPr>
            <w:tcW w:w="2880" w:type="dxa"/>
          </w:tcPr>
          <w:p w14:paraId="6AD89710" w14:textId="77777777" w:rsidR="00874009" w:rsidRDefault="00000000">
            <w:pPr>
              <w:cnfStyle w:val="000000100000" w:firstRow="0" w:lastRow="0" w:firstColumn="0" w:lastColumn="0" w:oddVBand="0" w:evenVBand="0" w:oddHBand="1" w:evenHBand="0" w:firstRowFirstColumn="0" w:firstRowLastColumn="0" w:lastRowFirstColumn="0" w:lastRowLastColumn="0"/>
            </w:pPr>
            <w:r>
              <w:t>32/130 (24.6%)</w:t>
            </w:r>
          </w:p>
        </w:tc>
        <w:tc>
          <w:tcPr>
            <w:tcW w:w="2880" w:type="dxa"/>
          </w:tcPr>
          <w:p w14:paraId="12282A8A" w14:textId="77777777" w:rsidR="00874009" w:rsidRDefault="00000000">
            <w:pPr>
              <w:cnfStyle w:val="000000100000" w:firstRow="0" w:lastRow="0" w:firstColumn="0" w:lastColumn="0" w:oddVBand="0" w:evenVBand="0" w:oddHBand="1" w:evenHBand="0" w:firstRowFirstColumn="0" w:firstRowLastColumn="0" w:lastRowFirstColumn="0" w:lastRowLastColumn="0"/>
            </w:pPr>
            <w:r>
              <w:t>40/130 (30.8%)</w:t>
            </w:r>
          </w:p>
        </w:tc>
      </w:tr>
    </w:tbl>
    <w:p w14:paraId="2AEA55B0" w14:textId="77777777" w:rsidR="00874009" w:rsidRDefault="00000000">
      <w:pPr>
        <w:jc w:val="center"/>
      </w:pPr>
      <w:r>
        <w:rPr>
          <w:noProof/>
        </w:rPr>
        <w:drawing>
          <wp:inline distT="0" distB="0" distL="0" distR="0" wp14:anchorId="5914F29E" wp14:editId="13AC7609">
            <wp:extent cx="54864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_ratings.png"/>
                    <pic:cNvPicPr/>
                  </pic:nvPicPr>
                  <pic:blipFill>
                    <a:blip r:embed="rId10"/>
                    <a:stretch>
                      <a:fillRect/>
                    </a:stretch>
                  </pic:blipFill>
                  <pic:spPr>
                    <a:xfrm>
                      <a:off x="0" y="0"/>
                      <a:ext cx="5486400" cy="3291840"/>
                    </a:xfrm>
                    <a:prstGeom prst="rect">
                      <a:avLst/>
                    </a:prstGeom>
                  </pic:spPr>
                </pic:pic>
              </a:graphicData>
            </a:graphic>
          </wp:inline>
        </w:drawing>
      </w:r>
    </w:p>
    <w:p w14:paraId="7AE60DBC" w14:textId="77777777" w:rsidR="00874009" w:rsidRDefault="00000000">
      <w:pPr>
        <w:pStyle w:val="Heading1"/>
      </w:pPr>
      <w:r>
        <w:t>6. Съответствие с изследователския въпрос</w:t>
      </w:r>
    </w:p>
    <w:p w14:paraId="66A9EC77" w14:textId="77777777" w:rsidR="00874009" w:rsidRDefault="00000000">
      <w:r>
        <w:t>Как управляващата архитектура влияе върху точността на избора на инструменти, коректността на извличането на аргументи и ефективността на изпълнението на задачите?</w:t>
      </w:r>
    </w:p>
    <w:p w14:paraId="1FE18526" w14:textId="77777777" w:rsidR="00874009" w:rsidRDefault="00000000">
      <w:pPr>
        <w:pStyle w:val="Heading2"/>
      </w:pPr>
      <w:r>
        <w:lastRenderedPageBreak/>
        <w:t>Точност на избора на инструмент</w:t>
      </w:r>
    </w:p>
    <w:p w14:paraId="29BDB635" w14:textId="77777777" w:rsidR="00874009" w:rsidRDefault="00000000">
      <w:r>
        <w:t>Монолитен 99,2% спрямо супервайзор 92,3%. Специалистите на супервайзора понякога избираха нецеленасочено извличане (прочитане на целия документ вместо семантично търсене), което понижаваше процента му на избор на инструмент въпреки верните отговори.</w:t>
      </w:r>
    </w:p>
    <w:p w14:paraId="6E03D9F4" w14:textId="77777777" w:rsidR="00874009" w:rsidRDefault="00000000">
      <w:pPr>
        <w:pStyle w:val="Heading2"/>
      </w:pPr>
      <w:r>
        <w:t>Коректност на извличането на аргументи</w:t>
      </w:r>
    </w:p>
    <w:p w14:paraId="24CD6984" w14:textId="77777777" w:rsidR="00874009" w:rsidRDefault="00000000">
      <w:r>
        <w:t>Супервайзор 81,7% спрямо монолитен 63,3%. Фокусираните специалисти на супервайзора извличаха относителните времеви диапазони по-консервативно; монолитният агент свръхразширяваше „тази седмица“ в бъдещи дни, което му струваше точност на аргументите.</w:t>
      </w:r>
    </w:p>
    <w:p w14:paraId="7755BACD" w14:textId="77777777" w:rsidR="00874009" w:rsidRDefault="00000000">
      <w:pPr>
        <w:pStyle w:val="Heading2"/>
      </w:pPr>
      <w:r>
        <w:t>Ефективност на изпълнението на задачите</w:t>
      </w:r>
    </w:p>
    <w:p w14:paraId="2EEC401D" w14:textId="77777777" w:rsidR="00874009" w:rsidRDefault="00000000">
      <w:r>
        <w:t>Монолитният агент беше решително по-евтин и по-бърз: ~1,8× по-ниска медианна латентност, приблизително наполовина по-ниска цена и една трета от извикванията на LLM. Освен това супервайзорът страдаше от незавършване при двусмислени входове – най-голямата отделна тежест за ефективността на многоагентния дизайн.</w:t>
      </w:r>
    </w:p>
    <w:sectPr w:rsidR="008740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812228">
    <w:abstractNumId w:val="8"/>
  </w:num>
  <w:num w:numId="2" w16cid:durableId="1658612272">
    <w:abstractNumId w:val="6"/>
  </w:num>
  <w:num w:numId="3" w16cid:durableId="1047725620">
    <w:abstractNumId w:val="5"/>
  </w:num>
  <w:num w:numId="4" w16cid:durableId="954211786">
    <w:abstractNumId w:val="4"/>
  </w:num>
  <w:num w:numId="5" w16cid:durableId="899629734">
    <w:abstractNumId w:val="7"/>
  </w:num>
  <w:num w:numId="6" w16cid:durableId="86778425">
    <w:abstractNumId w:val="3"/>
  </w:num>
  <w:num w:numId="7" w16cid:durableId="1304238455">
    <w:abstractNumId w:val="2"/>
  </w:num>
  <w:num w:numId="8" w16cid:durableId="775249977">
    <w:abstractNumId w:val="1"/>
  </w:num>
  <w:num w:numId="9" w16cid:durableId="13749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529"/>
    <w:rsid w:val="003A39C1"/>
    <w:rsid w:val="003B636A"/>
    <w:rsid w:val="008740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2241D"/>
  <w14:defaultImageDpi w14:val="300"/>
  <w15:docId w15:val="{D1382775-79F6-46B8-979E-CB7E2B34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1917</Words>
  <Characters>10931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Vasil Popov</cp:lastModifiedBy>
  <cp:revision>2</cp:revision>
  <dcterms:created xsi:type="dcterms:W3CDTF">2013-12-23T23:15:00Z</dcterms:created>
  <dcterms:modified xsi:type="dcterms:W3CDTF">2026-06-15T14:35:00Z</dcterms:modified>
  <cp:category/>
</cp:coreProperties>
</file>