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DD5" w:rsidRPr="00D175BE" w:rsidRDefault="008D3BA4" w:rsidP="00651DD5">
      <w:pPr>
        <w:spacing w:line="480" w:lineRule="auto"/>
        <w:contextualSpacing/>
        <w:jc w:val="center"/>
        <w:rPr>
          <w:b/>
        </w:rPr>
      </w:pPr>
      <w:r>
        <w:rPr>
          <w:b/>
        </w:rPr>
        <w:t xml:space="preserve"> </w:t>
      </w:r>
      <w:r w:rsidR="00651DD5" w:rsidRPr="00D175BE">
        <w:rPr>
          <w:b/>
        </w:rPr>
        <w:t xml:space="preserve">PLANT REGENERATION FROM CALLUS CULTURES IN </w:t>
      </w:r>
      <w:r w:rsidR="00651DD5">
        <w:rPr>
          <w:b/>
        </w:rPr>
        <w:t xml:space="preserve">ENDANGERED ORCHID </w:t>
      </w:r>
      <w:r w:rsidR="00651DD5" w:rsidRPr="00D175BE">
        <w:rPr>
          <w:b/>
          <w:i/>
        </w:rPr>
        <w:t>Bulbophyllum auricomum</w:t>
      </w:r>
      <w:r w:rsidR="00651DD5" w:rsidRPr="00D175BE">
        <w:rPr>
          <w:b/>
        </w:rPr>
        <w:t xml:space="preserve"> Lindl.</w:t>
      </w:r>
    </w:p>
    <w:p w:rsidR="00651DD5" w:rsidRPr="00AE0946" w:rsidRDefault="00651DD5" w:rsidP="00651DD5">
      <w:pPr>
        <w:spacing w:line="480" w:lineRule="auto"/>
        <w:jc w:val="center"/>
        <w:rPr>
          <w:iCs/>
          <w:color w:val="333333"/>
          <w:lang w:val="it-IT"/>
        </w:rPr>
      </w:pPr>
      <w:r w:rsidRPr="00A94B2E">
        <w:rPr>
          <w:b/>
          <w:lang w:val="it-IT"/>
        </w:rPr>
        <w:t xml:space="preserve"> </w:t>
      </w:r>
      <w:r w:rsidRPr="00A94B2E">
        <w:rPr>
          <w:b/>
          <w:iCs/>
          <w:color w:val="333333"/>
          <w:lang w:val="it-IT"/>
        </w:rPr>
        <w:t>Myo Ma Ma Than</w:t>
      </w:r>
      <w:r w:rsidRPr="00A94B2E">
        <w:rPr>
          <w:b/>
          <w:iCs/>
          <w:color w:val="333333"/>
          <w:vertAlign w:val="superscript"/>
          <w:lang w:val="it-IT"/>
        </w:rPr>
        <w:t>1,3</w:t>
      </w:r>
      <w:r w:rsidRPr="00A94B2E">
        <w:rPr>
          <w:b/>
          <w:iCs/>
          <w:color w:val="333333"/>
          <w:lang w:val="it-IT"/>
        </w:rPr>
        <w:t>, Amita Pal</w:t>
      </w:r>
      <w:r w:rsidRPr="00A94B2E">
        <w:rPr>
          <w:b/>
          <w:iCs/>
          <w:color w:val="333333"/>
          <w:vertAlign w:val="superscript"/>
          <w:lang w:val="it-IT"/>
        </w:rPr>
        <w:t>2</w:t>
      </w:r>
      <w:r>
        <w:rPr>
          <w:b/>
          <w:iCs/>
          <w:color w:val="333333"/>
          <w:lang w:val="it-IT"/>
        </w:rPr>
        <w:t xml:space="preserve">, </w:t>
      </w:r>
      <w:r w:rsidRPr="00A94B2E">
        <w:rPr>
          <w:b/>
          <w:iCs/>
          <w:color w:val="333333"/>
          <w:lang w:val="it-IT"/>
        </w:rPr>
        <w:t>Sumita Jha</w:t>
      </w:r>
      <w:r w:rsidRPr="00A94B2E">
        <w:rPr>
          <w:b/>
          <w:iCs/>
          <w:color w:val="333333"/>
          <w:vertAlign w:val="superscript"/>
          <w:lang w:val="it-IT"/>
        </w:rPr>
        <w:t>1</w:t>
      </w:r>
      <w:r w:rsidRPr="00AE0946">
        <w:rPr>
          <w:iCs/>
          <w:color w:val="333333"/>
          <w:vertAlign w:val="superscript"/>
          <w:lang w:val="it-IT"/>
        </w:rPr>
        <w:t>*</w:t>
      </w:r>
    </w:p>
    <w:p w:rsidR="00651DD5" w:rsidRPr="00D175BE" w:rsidRDefault="00651DD5" w:rsidP="00651DD5">
      <w:pPr>
        <w:spacing w:line="480" w:lineRule="auto"/>
        <w:jc w:val="center"/>
        <w:rPr>
          <w:iCs/>
          <w:color w:val="333333"/>
        </w:rPr>
      </w:pPr>
      <w:r w:rsidRPr="00D175BE">
        <w:rPr>
          <w:iCs/>
          <w:color w:val="333333"/>
          <w:vertAlign w:val="superscript"/>
        </w:rPr>
        <w:t>1</w:t>
      </w:r>
      <w:r w:rsidRPr="00D175BE">
        <w:rPr>
          <w:iCs/>
          <w:color w:val="333333"/>
        </w:rPr>
        <w:t xml:space="preserve"> Centre of Advanced Study, Department of Botany, University of Calcutta,</w:t>
      </w:r>
    </w:p>
    <w:p w:rsidR="00651DD5" w:rsidRPr="00D175BE" w:rsidRDefault="00651DD5" w:rsidP="00651DD5">
      <w:pPr>
        <w:spacing w:line="480" w:lineRule="auto"/>
        <w:jc w:val="center"/>
        <w:rPr>
          <w:iCs/>
          <w:color w:val="333333"/>
        </w:rPr>
      </w:pPr>
      <w:r w:rsidRPr="00D175BE">
        <w:rPr>
          <w:iCs/>
          <w:color w:val="333333"/>
        </w:rPr>
        <w:t xml:space="preserve">35, Ballygunge Circular Road, Kolkata-700 019, India </w:t>
      </w:r>
    </w:p>
    <w:p w:rsidR="00651DD5" w:rsidRPr="00D175BE" w:rsidRDefault="00651DD5" w:rsidP="00651DD5">
      <w:pPr>
        <w:spacing w:line="480" w:lineRule="auto"/>
        <w:jc w:val="center"/>
        <w:rPr>
          <w:iCs/>
          <w:color w:val="333333"/>
        </w:rPr>
      </w:pPr>
      <w:r w:rsidRPr="00D175BE">
        <w:rPr>
          <w:iCs/>
          <w:color w:val="333333"/>
          <w:vertAlign w:val="superscript"/>
        </w:rPr>
        <w:t>2</w:t>
      </w:r>
      <w:r w:rsidRPr="00D175BE">
        <w:rPr>
          <w:iCs/>
          <w:color w:val="333333"/>
        </w:rPr>
        <w:t xml:space="preserve"> Division of Plant Biology, Bose Institute, P1/12 CIT Scheme VIIM, </w:t>
      </w:r>
    </w:p>
    <w:p w:rsidR="00651DD5" w:rsidRPr="00D175BE" w:rsidRDefault="00651DD5" w:rsidP="00651DD5">
      <w:pPr>
        <w:spacing w:line="480" w:lineRule="auto"/>
        <w:jc w:val="center"/>
        <w:rPr>
          <w:iCs/>
          <w:color w:val="333333"/>
        </w:rPr>
      </w:pPr>
      <w:r w:rsidRPr="00D175BE">
        <w:rPr>
          <w:iCs/>
          <w:color w:val="333333"/>
        </w:rPr>
        <w:t>Kolkata-700 054, India</w:t>
      </w:r>
    </w:p>
    <w:p w:rsidR="00651DD5" w:rsidRPr="00D175BE" w:rsidRDefault="00651DD5" w:rsidP="00651DD5">
      <w:pPr>
        <w:spacing w:line="480" w:lineRule="auto"/>
        <w:jc w:val="center"/>
        <w:rPr>
          <w:iCs/>
          <w:color w:val="333333"/>
        </w:rPr>
      </w:pPr>
      <w:r w:rsidRPr="00D175BE">
        <w:rPr>
          <w:iCs/>
          <w:color w:val="333333"/>
          <w:vertAlign w:val="superscript"/>
        </w:rPr>
        <w:t xml:space="preserve">3 </w:t>
      </w:r>
      <w:r w:rsidRPr="00D175BE">
        <w:rPr>
          <w:iCs/>
          <w:color w:val="333333"/>
        </w:rPr>
        <w:t>Mingalardon Orchid Garden, Yangon, Myanmar</w:t>
      </w:r>
    </w:p>
    <w:p w:rsidR="00651DD5" w:rsidRPr="00D175BE" w:rsidRDefault="00651DD5" w:rsidP="00651DD5">
      <w:pPr>
        <w:autoSpaceDE w:val="0"/>
        <w:autoSpaceDN w:val="0"/>
        <w:adjustRightInd w:val="0"/>
        <w:spacing w:line="480" w:lineRule="auto"/>
        <w:jc w:val="center"/>
        <w:rPr>
          <w:lang w:val="pt-BR"/>
        </w:rPr>
      </w:pPr>
      <w:r w:rsidRPr="00D175BE">
        <w:rPr>
          <w:vertAlign w:val="superscript"/>
          <w:lang w:val="pt-BR"/>
        </w:rPr>
        <w:t>*</w:t>
      </w:r>
      <w:r w:rsidRPr="00D175BE">
        <w:rPr>
          <w:lang w:val="pt-BR"/>
        </w:rPr>
        <w:t xml:space="preserve">E-mail: </w:t>
      </w:r>
      <w:hyperlink r:id="rId7" w:history="1">
        <w:r w:rsidRPr="00D175BE">
          <w:rPr>
            <w:rStyle w:val="Hyperlink"/>
            <w:lang w:val="pt-BR"/>
          </w:rPr>
          <w:t>sjbot@caluniv.ac.in</w:t>
        </w:r>
      </w:hyperlink>
      <w:r w:rsidR="00DA2FA1">
        <w:t>;</w:t>
      </w:r>
      <w:r w:rsidR="001F4466">
        <w:t xml:space="preserve"> </w:t>
      </w:r>
      <w:r w:rsidR="00DA2FA1">
        <w:t>sumitajha.cu@gmail.com</w:t>
      </w:r>
    </w:p>
    <w:p w:rsidR="00651DD5" w:rsidRPr="002A4F3C" w:rsidRDefault="00651DD5" w:rsidP="00651DD5">
      <w:pPr>
        <w:autoSpaceDE w:val="0"/>
        <w:autoSpaceDN w:val="0"/>
        <w:adjustRightInd w:val="0"/>
        <w:spacing w:line="480" w:lineRule="auto"/>
        <w:jc w:val="center"/>
        <w:rPr>
          <w:lang w:val="pt-BR"/>
        </w:rPr>
      </w:pPr>
      <w:r w:rsidRPr="002A4F3C">
        <w:rPr>
          <w:lang w:val="pt-BR"/>
        </w:rPr>
        <w:t>Telephone no.: 91-33-2461-5445</w:t>
      </w:r>
    </w:p>
    <w:p w:rsidR="00651DD5" w:rsidRPr="00D175BE" w:rsidRDefault="00651DD5" w:rsidP="00651DD5">
      <w:pPr>
        <w:autoSpaceDE w:val="0"/>
        <w:autoSpaceDN w:val="0"/>
        <w:adjustRightInd w:val="0"/>
        <w:spacing w:line="480" w:lineRule="auto"/>
        <w:jc w:val="center"/>
      </w:pPr>
      <w:r w:rsidRPr="00D175BE">
        <w:t>Fax:  91-33-2461-4849</w:t>
      </w:r>
    </w:p>
    <w:p w:rsidR="00651DD5" w:rsidRPr="00D175BE" w:rsidRDefault="00651DD5" w:rsidP="00651DD5">
      <w:pPr>
        <w:spacing w:line="480" w:lineRule="auto"/>
        <w:contextualSpacing/>
        <w:jc w:val="center"/>
        <w:rPr>
          <w:b/>
        </w:rPr>
      </w:pPr>
    </w:p>
    <w:p w:rsidR="00651DD5" w:rsidRPr="00D175BE" w:rsidRDefault="00651DD5" w:rsidP="00651DD5">
      <w:pPr>
        <w:spacing w:line="480" w:lineRule="auto"/>
        <w:contextualSpacing/>
        <w:jc w:val="center"/>
        <w:rPr>
          <w:b/>
        </w:rPr>
      </w:pPr>
    </w:p>
    <w:p w:rsidR="00651DD5" w:rsidRPr="00D175BE" w:rsidRDefault="00651DD5" w:rsidP="00651DD5">
      <w:pPr>
        <w:spacing w:line="480" w:lineRule="auto"/>
        <w:rPr>
          <w:b/>
        </w:rPr>
      </w:pPr>
    </w:p>
    <w:p w:rsidR="00651DD5" w:rsidRPr="00D175BE" w:rsidRDefault="00651DD5" w:rsidP="00651DD5">
      <w:pPr>
        <w:spacing w:line="480" w:lineRule="auto"/>
        <w:rPr>
          <w:b/>
        </w:rPr>
      </w:pPr>
    </w:p>
    <w:p w:rsidR="00651DD5" w:rsidRPr="00D175BE" w:rsidRDefault="00651DD5" w:rsidP="00651DD5">
      <w:pPr>
        <w:spacing w:line="480" w:lineRule="auto"/>
        <w:rPr>
          <w:b/>
        </w:rPr>
      </w:pPr>
    </w:p>
    <w:p w:rsidR="00651DD5" w:rsidRPr="00D175BE" w:rsidRDefault="00651DD5" w:rsidP="00651DD5">
      <w:pPr>
        <w:spacing w:line="480" w:lineRule="auto"/>
        <w:rPr>
          <w:b/>
        </w:rPr>
      </w:pPr>
    </w:p>
    <w:p w:rsidR="00651DD5" w:rsidRPr="00D175BE" w:rsidRDefault="00651DD5" w:rsidP="00651DD5">
      <w:pPr>
        <w:spacing w:line="480" w:lineRule="auto"/>
        <w:rPr>
          <w:b/>
        </w:rPr>
      </w:pPr>
    </w:p>
    <w:p w:rsidR="00651DD5" w:rsidRPr="00D175BE" w:rsidRDefault="00651DD5" w:rsidP="00651DD5">
      <w:pPr>
        <w:spacing w:line="480" w:lineRule="auto"/>
        <w:rPr>
          <w:b/>
        </w:rPr>
      </w:pPr>
    </w:p>
    <w:p w:rsidR="00651DD5" w:rsidRPr="00D175BE" w:rsidRDefault="00651DD5" w:rsidP="00651DD5">
      <w:pPr>
        <w:spacing w:line="480" w:lineRule="auto"/>
        <w:rPr>
          <w:b/>
        </w:rPr>
      </w:pPr>
    </w:p>
    <w:p w:rsidR="00651DD5" w:rsidRPr="00D175BE" w:rsidRDefault="00651DD5" w:rsidP="00651DD5">
      <w:pPr>
        <w:spacing w:line="480" w:lineRule="auto"/>
        <w:rPr>
          <w:b/>
        </w:rPr>
      </w:pPr>
    </w:p>
    <w:p w:rsidR="00651DD5" w:rsidRPr="00D175BE" w:rsidRDefault="00651DD5" w:rsidP="00651DD5">
      <w:pPr>
        <w:spacing w:line="480" w:lineRule="auto"/>
        <w:rPr>
          <w:b/>
        </w:rPr>
      </w:pPr>
    </w:p>
    <w:p w:rsidR="00651DD5" w:rsidRPr="00D175BE" w:rsidRDefault="00651DD5" w:rsidP="00651DD5">
      <w:pPr>
        <w:spacing w:line="480" w:lineRule="auto"/>
        <w:rPr>
          <w:b/>
        </w:rPr>
      </w:pPr>
    </w:p>
    <w:p w:rsidR="00651DD5" w:rsidRPr="00D175BE" w:rsidRDefault="00651DD5" w:rsidP="00651DD5">
      <w:pPr>
        <w:spacing w:line="480" w:lineRule="auto"/>
        <w:jc w:val="both"/>
        <w:rPr>
          <w:b/>
        </w:rPr>
      </w:pPr>
      <w:r w:rsidRPr="00D175BE">
        <w:rPr>
          <w:b/>
        </w:rPr>
        <w:lastRenderedPageBreak/>
        <w:t>A</w:t>
      </w:r>
      <w:r w:rsidR="00ED68BA" w:rsidRPr="00D175BE">
        <w:rPr>
          <w:b/>
        </w:rPr>
        <w:t>BSTRACT</w:t>
      </w:r>
    </w:p>
    <w:p w:rsidR="00651DD5" w:rsidRPr="003C2A91" w:rsidRDefault="00651DD5" w:rsidP="00651DD5">
      <w:pPr>
        <w:spacing w:line="480" w:lineRule="auto"/>
        <w:jc w:val="both"/>
      </w:pPr>
      <w:r>
        <w:t>C</w:t>
      </w:r>
      <w:r w:rsidRPr="003C2A91">
        <w:t xml:space="preserve">allus cultures </w:t>
      </w:r>
      <w:r w:rsidR="00423686">
        <w:t xml:space="preserve">of </w:t>
      </w:r>
      <w:r w:rsidR="007336C0" w:rsidRPr="00423686">
        <w:rPr>
          <w:i/>
        </w:rPr>
        <w:t>Bulbophyllum auricomum</w:t>
      </w:r>
      <w:r w:rsidR="007336C0">
        <w:t xml:space="preserve"> </w:t>
      </w:r>
      <w:r w:rsidR="00423686">
        <w:t>were</w:t>
      </w:r>
      <w:r w:rsidRPr="003C2A91">
        <w:t xml:space="preserve"> successfully established from longitudinally bisected </w:t>
      </w:r>
      <w:r w:rsidRPr="00D175BE">
        <w:t>protocorm-like-bod</w:t>
      </w:r>
      <w:r w:rsidR="000A0185">
        <w:t>ies</w:t>
      </w:r>
      <w:r>
        <w:t xml:space="preserve"> (</w:t>
      </w:r>
      <w:r w:rsidRPr="003C2A91">
        <w:t>PLB</w:t>
      </w:r>
      <w:r>
        <w:t>)</w:t>
      </w:r>
      <w:r w:rsidR="000A0185">
        <w:t xml:space="preserve">. </w:t>
      </w:r>
      <w:r w:rsidR="00BB77DD" w:rsidRPr="003C2A91">
        <w:t xml:space="preserve">Calli were induced </w:t>
      </w:r>
      <w:r w:rsidR="00BB77DD">
        <w:t>from</w:t>
      </w:r>
      <w:r w:rsidR="00BB77DD" w:rsidRPr="003C2A91">
        <w:t xml:space="preserve"> PLB within one month of culture. </w:t>
      </w:r>
      <w:r>
        <w:t>Morphologically, t</w:t>
      </w:r>
      <w:r w:rsidRPr="003C2A91">
        <w:t xml:space="preserve">wo </w:t>
      </w:r>
      <w:r>
        <w:t>types of calli (</w:t>
      </w:r>
      <w:r w:rsidRPr="003C2A91">
        <w:t>yellowish friable and yellowish green friable</w:t>
      </w:r>
      <w:r>
        <w:t>)</w:t>
      </w:r>
      <w:r w:rsidRPr="003C2A91">
        <w:t xml:space="preserve"> were obtained from explants when cultured on basal medium supplemented with 2,4-</w:t>
      </w:r>
      <w:r w:rsidRPr="009F4F89">
        <w:t>dichlorophenoxyacetic acid</w:t>
      </w:r>
      <w:r w:rsidRPr="003C2A91">
        <w:t xml:space="preserve"> </w:t>
      </w:r>
      <w:r w:rsidR="00D41996">
        <w:t>(2,</w:t>
      </w:r>
      <w:r>
        <w:t xml:space="preserve">4-D) </w:t>
      </w:r>
      <w:r w:rsidR="00B04631">
        <w:t>alone</w:t>
      </w:r>
      <w:r>
        <w:t xml:space="preserve"> </w:t>
      </w:r>
      <w:r w:rsidRPr="003C2A91">
        <w:t>or</w:t>
      </w:r>
      <w:r>
        <w:t xml:space="preserve"> combined with</w:t>
      </w:r>
      <w:r w:rsidRPr="003C2A91">
        <w:t xml:space="preserve"> </w:t>
      </w:r>
      <w:r w:rsidRPr="00D175BE">
        <w:t>1-phenyl-3-(1,2,3-thiadiazol-5-yl)-urea</w:t>
      </w:r>
      <w:r>
        <w:t xml:space="preserve"> (</w:t>
      </w:r>
      <w:r w:rsidRPr="003C2A91">
        <w:t>TDZ</w:t>
      </w:r>
      <w:r>
        <w:t>)</w:t>
      </w:r>
      <w:r w:rsidRPr="003C2A91">
        <w:t>. The frequency of callus induction varied with concentrations and combinations of exogenous</w:t>
      </w:r>
      <w:r>
        <w:t xml:space="preserve">ly applied plant growth </w:t>
      </w:r>
      <w:r w:rsidR="006422B7">
        <w:t xml:space="preserve">regulators </w:t>
      </w:r>
      <w:r>
        <w:t>(</w:t>
      </w:r>
      <w:r w:rsidRPr="003C2A91">
        <w:t>PGRs</w:t>
      </w:r>
      <w:r>
        <w:t>);</w:t>
      </w:r>
      <w:r w:rsidRPr="003C2A91">
        <w:t xml:space="preserve"> and </w:t>
      </w:r>
      <w:r>
        <w:t>hundred percent callus induction was achieved o</w:t>
      </w:r>
      <w:r w:rsidRPr="003C2A91">
        <w:t xml:space="preserve">n </w:t>
      </w:r>
      <w:r>
        <w:t xml:space="preserve">MS </w:t>
      </w:r>
      <w:r w:rsidRPr="003C2A91">
        <w:t xml:space="preserve">basal medium supplemented with 1.0 </w:t>
      </w:r>
      <w:r>
        <w:t>mgl</w:t>
      </w:r>
      <w:r w:rsidRPr="00396011">
        <w:rPr>
          <w:vertAlign w:val="superscript"/>
        </w:rPr>
        <w:t>-1</w:t>
      </w:r>
      <w:r>
        <w:t xml:space="preserve"> </w:t>
      </w:r>
      <w:r w:rsidRPr="003C2A91">
        <w:t xml:space="preserve">TDZ </w:t>
      </w:r>
      <w:r>
        <w:t>and</w:t>
      </w:r>
      <w:r w:rsidRPr="003C2A91">
        <w:t xml:space="preserve"> 2.0 </w:t>
      </w:r>
      <w:r>
        <w:t>mgl</w:t>
      </w:r>
      <w:r w:rsidRPr="00396011">
        <w:rPr>
          <w:vertAlign w:val="superscript"/>
        </w:rPr>
        <w:t>-1</w:t>
      </w:r>
      <w:r w:rsidRPr="003C2A91">
        <w:t xml:space="preserve"> </w:t>
      </w:r>
      <w:r w:rsidR="00E21E9D">
        <w:t>2,</w:t>
      </w:r>
      <w:r>
        <w:t>4-D</w:t>
      </w:r>
      <w:r w:rsidRPr="003C2A91">
        <w:t xml:space="preserve">. The proliferated calli maintained their totipotency for more than one year (through subcultures). Two types of morphologically distinct calli (obtained via various callus induction treatments) were cultured on basal medium supplemented with 0.1 </w:t>
      </w:r>
      <w:r>
        <w:t>mgl</w:t>
      </w:r>
      <w:r w:rsidRPr="00396011">
        <w:rPr>
          <w:vertAlign w:val="superscript"/>
        </w:rPr>
        <w:t>-1</w:t>
      </w:r>
      <w:r w:rsidRPr="003C2A91">
        <w:t xml:space="preserve"> TDZ for shoot regeneration. </w:t>
      </w:r>
      <w:r w:rsidR="004C3184">
        <w:t xml:space="preserve">Hundred </w:t>
      </w:r>
      <w:r w:rsidRPr="003C2A91">
        <w:t xml:space="preserve">percent regeneration frequency and </w:t>
      </w:r>
      <w:r>
        <w:t>maximum</w:t>
      </w:r>
      <w:r w:rsidRPr="003C2A91">
        <w:t xml:space="preserve"> shoot bud </w:t>
      </w:r>
      <w:r>
        <w:t>regeneration</w:t>
      </w:r>
      <w:r w:rsidR="000948AA">
        <w:t xml:space="preserve"> (46 shoot buds/100 mg </w:t>
      </w:r>
      <w:r w:rsidRPr="003C2A91">
        <w:t>callus)</w:t>
      </w:r>
      <w:r w:rsidR="000948AA">
        <w:t xml:space="preserve"> were </w:t>
      </w:r>
      <w:r w:rsidR="00AB124B">
        <w:t>observed</w:t>
      </w:r>
      <w:r w:rsidR="00FB73FA">
        <w:t xml:space="preserve"> </w:t>
      </w:r>
      <w:r w:rsidR="00FB73FA" w:rsidRPr="00D175BE">
        <w:t xml:space="preserve">in calli induced on </w:t>
      </w:r>
      <w:r w:rsidR="00FB73FA">
        <w:t xml:space="preserve">MS </w:t>
      </w:r>
      <w:r w:rsidR="00FB73FA" w:rsidRPr="00D175BE">
        <w:t xml:space="preserve">basal medium supplemented with 1.0 </w:t>
      </w:r>
      <w:r w:rsidR="00FB73FA">
        <w:t>mgl</w:t>
      </w:r>
      <w:r w:rsidR="00FB73FA" w:rsidRPr="00396011">
        <w:rPr>
          <w:vertAlign w:val="superscript"/>
        </w:rPr>
        <w:t>-1</w:t>
      </w:r>
      <w:r w:rsidR="00FB73FA" w:rsidRPr="00D175BE">
        <w:t xml:space="preserve"> TDZ and 0.5 </w:t>
      </w:r>
      <w:r w:rsidR="00FB73FA">
        <w:t>mgl</w:t>
      </w:r>
      <w:r w:rsidR="00FB73FA" w:rsidRPr="00396011">
        <w:rPr>
          <w:vertAlign w:val="superscript"/>
        </w:rPr>
        <w:t>-1</w:t>
      </w:r>
      <w:r w:rsidR="00FB73FA" w:rsidRPr="00D175BE">
        <w:t xml:space="preserve"> 2,4-D (</w:t>
      </w:r>
      <w:r w:rsidR="00FB73FA">
        <w:t xml:space="preserve">Callus line C10). </w:t>
      </w:r>
      <w:r w:rsidRPr="009F4F89">
        <w:t xml:space="preserve">PLB regeneration was </w:t>
      </w:r>
      <w:r w:rsidR="00B711A5">
        <w:t>observ</w:t>
      </w:r>
      <w:r w:rsidRPr="009F4F89">
        <w:t>ed in four callus lines</w:t>
      </w:r>
      <w:r>
        <w:t xml:space="preserve"> </w:t>
      </w:r>
      <w:r w:rsidRPr="003C2A91">
        <w:t>produc</w:t>
      </w:r>
      <w:r w:rsidR="005357BE">
        <w:t xml:space="preserve">ing </w:t>
      </w:r>
      <w:r w:rsidRPr="003C2A91">
        <w:t>shoot buds within one month</w:t>
      </w:r>
      <w:r>
        <w:t>,</w:t>
      </w:r>
      <w:r w:rsidRPr="003C2A91">
        <w:t xml:space="preserve"> when transferred to </w:t>
      </w:r>
      <w:r>
        <w:t>fresh</w:t>
      </w:r>
      <w:r w:rsidRPr="003C2A91">
        <w:t xml:space="preserve"> </w:t>
      </w:r>
      <w:r>
        <w:t xml:space="preserve">MS </w:t>
      </w:r>
      <w:r w:rsidRPr="003C2A91">
        <w:t xml:space="preserve">basal medium containing 0.1 </w:t>
      </w:r>
      <w:r>
        <w:t>mgl</w:t>
      </w:r>
      <w:r w:rsidRPr="00396011">
        <w:rPr>
          <w:vertAlign w:val="superscript"/>
        </w:rPr>
        <w:t>-1</w:t>
      </w:r>
      <w:r w:rsidR="00101597">
        <w:rPr>
          <w:vertAlign w:val="superscript"/>
        </w:rPr>
        <w:t xml:space="preserve"> </w:t>
      </w:r>
      <w:r w:rsidRPr="003C2A91">
        <w:t>TDZ. The regenera</w:t>
      </w:r>
      <w:r>
        <w:t>ted shoots from different calli</w:t>
      </w:r>
      <w:r w:rsidRPr="003C2A91">
        <w:t xml:space="preserve"> lines developed into complete plantlets when cultured on half-strength MS medium without </w:t>
      </w:r>
      <w:r>
        <w:t xml:space="preserve">any </w:t>
      </w:r>
      <w:r w:rsidRPr="003C2A91">
        <w:t xml:space="preserve">PGRs. </w:t>
      </w:r>
    </w:p>
    <w:p w:rsidR="00651DD5" w:rsidRPr="00D175BE" w:rsidRDefault="00651DD5" w:rsidP="00651DD5">
      <w:pPr>
        <w:spacing w:line="480" w:lineRule="auto"/>
        <w:rPr>
          <w:b/>
        </w:rPr>
      </w:pPr>
      <w:r w:rsidRPr="00D175BE">
        <w:rPr>
          <w:b/>
        </w:rPr>
        <w:t>Key words</w:t>
      </w:r>
      <w:r w:rsidRPr="00D175BE">
        <w:t xml:space="preserve">: </w:t>
      </w:r>
      <w:r w:rsidRPr="00D60CEB">
        <w:t xml:space="preserve">callus induction, orchid, </w:t>
      </w:r>
      <w:r w:rsidR="00D60CEB" w:rsidRPr="00D60CEB">
        <w:t xml:space="preserve">plant growth </w:t>
      </w:r>
      <w:r w:rsidR="00D60CEB" w:rsidRPr="00FB4217">
        <w:t xml:space="preserve">regulators, </w:t>
      </w:r>
      <w:r w:rsidRPr="00FB4217">
        <w:t>protocorm-like</w:t>
      </w:r>
      <w:r w:rsidRPr="00D60CEB">
        <w:t>-bodies</w:t>
      </w:r>
      <w:r w:rsidR="00FB4217">
        <w:t>, shoot regeneration</w:t>
      </w:r>
      <w:r w:rsidRPr="00D175BE">
        <w:t xml:space="preserve"> </w:t>
      </w:r>
    </w:p>
    <w:p w:rsidR="00651DD5" w:rsidRPr="00D175BE" w:rsidRDefault="00651DD5" w:rsidP="00651DD5">
      <w:pPr>
        <w:spacing w:line="480" w:lineRule="auto"/>
        <w:rPr>
          <w:b/>
        </w:rPr>
      </w:pPr>
    </w:p>
    <w:p w:rsidR="00651DD5" w:rsidRPr="00D175BE" w:rsidRDefault="00ED68BA" w:rsidP="00651DD5">
      <w:pPr>
        <w:spacing w:line="480" w:lineRule="auto"/>
        <w:rPr>
          <w:b/>
        </w:rPr>
      </w:pPr>
      <w:r w:rsidRPr="00D175BE">
        <w:rPr>
          <w:b/>
        </w:rPr>
        <w:t>INTRODUCTION</w:t>
      </w:r>
    </w:p>
    <w:p w:rsidR="00651DD5" w:rsidRPr="00D175BE" w:rsidRDefault="00651DD5" w:rsidP="00651DD5">
      <w:pPr>
        <w:autoSpaceDE w:val="0"/>
        <w:autoSpaceDN w:val="0"/>
        <w:adjustRightInd w:val="0"/>
        <w:spacing w:line="480" w:lineRule="auto"/>
        <w:jc w:val="both"/>
      </w:pPr>
      <w:r w:rsidRPr="00D175BE">
        <w:rPr>
          <w:i/>
        </w:rPr>
        <w:lastRenderedPageBreak/>
        <w:t>Bulbophyllum auricomum</w:t>
      </w:r>
      <w:r w:rsidRPr="00E67A2C">
        <w:t xml:space="preserve"> </w:t>
      </w:r>
      <w:r>
        <w:t>Lindl.</w:t>
      </w:r>
      <w:r w:rsidR="00027136">
        <w:t xml:space="preserve">, </w:t>
      </w:r>
      <w:r w:rsidR="00860B2B" w:rsidRPr="00027136">
        <w:t xml:space="preserve">the royal flower of Myanmar is an epiphytic, deciduous, endangered orchid distributed in Thailand, Sumatra and Java. It flowers once a year and the blooms have an attractive perfume. </w:t>
      </w:r>
      <w:r w:rsidR="005357BE">
        <w:t xml:space="preserve">It is </w:t>
      </w:r>
      <w:r w:rsidR="005357BE" w:rsidRPr="00D175BE">
        <w:t>mostly use</w:t>
      </w:r>
      <w:r w:rsidR="005357BE">
        <w:t>d commercially</w:t>
      </w:r>
      <w:r w:rsidR="005357BE" w:rsidRPr="00D175BE">
        <w:t xml:space="preserve"> for cut-flower and ornamental purpose.</w:t>
      </w:r>
      <w:r w:rsidR="005357BE">
        <w:t xml:space="preserve"> </w:t>
      </w:r>
      <w:r w:rsidR="00860B2B" w:rsidRPr="00027136">
        <w:t>Due to its ornamental value</w:t>
      </w:r>
      <w:r w:rsidR="00B37597">
        <w:t xml:space="preserve"> and commercial importance</w:t>
      </w:r>
      <w:r w:rsidR="00860B2B" w:rsidRPr="00027136">
        <w:t>, the species has been over-exploited from the wild in the past and became endangered</w:t>
      </w:r>
      <w:r>
        <w:t xml:space="preserve"> (Than et al. 2009, 2011).</w:t>
      </w:r>
      <w:r w:rsidRPr="00D175BE">
        <w:t xml:space="preserve"> The need for mass propagation of selected elite genotypes of rare and economically important orchids has led to the development of several </w:t>
      </w:r>
      <w:r w:rsidRPr="00D175BE">
        <w:rPr>
          <w:i/>
        </w:rPr>
        <w:t>in vitro</w:t>
      </w:r>
      <w:r w:rsidRPr="00D175BE">
        <w:t xml:space="preserve"> propagation methods</w:t>
      </w:r>
      <w:r w:rsidR="00014A24">
        <w:t xml:space="preserve"> </w:t>
      </w:r>
      <w:r w:rsidR="00BA746C" w:rsidRPr="0008530B">
        <w:t>(Arditti</w:t>
      </w:r>
      <w:r w:rsidR="00014A24" w:rsidRPr="0008530B">
        <w:t xml:space="preserve"> 2008)</w:t>
      </w:r>
      <w:r w:rsidRPr="0008530B">
        <w:t>. Plant</w:t>
      </w:r>
      <w:r w:rsidRPr="00D175BE">
        <w:t xml:space="preserve"> tissues such as axillary buds, leaves, shoot tips, root tips, stem segments, protocorms, protocorm-like-bodies (PLB), rhizomes and pseudobulbs have been widely used as explants to induce callus and, subsequently to regenerate plantlets in different orchids species (Chen and Chang</w:t>
      </w:r>
      <w:r>
        <w:t xml:space="preserve"> </w:t>
      </w:r>
      <w:r w:rsidRPr="00D175BE">
        <w:t>2000a</w:t>
      </w:r>
      <w:r>
        <w:t>,</w:t>
      </w:r>
      <w:r w:rsidRPr="00D175BE">
        <w:t xml:space="preserve"> Huan et al. 2004</w:t>
      </w:r>
      <w:r>
        <w:t>,</w:t>
      </w:r>
      <w:r w:rsidRPr="00D175BE">
        <w:t xml:space="preserve"> Zhao et al. 2008</w:t>
      </w:r>
      <w:r>
        <w:t>, Tan et al. 2011</w:t>
      </w:r>
      <w:r w:rsidRPr="00D175BE">
        <w:t xml:space="preserve">). </w:t>
      </w:r>
    </w:p>
    <w:p w:rsidR="00651DD5" w:rsidRPr="00D175BE" w:rsidRDefault="00651DD5" w:rsidP="00651DD5">
      <w:pPr>
        <w:autoSpaceDE w:val="0"/>
        <w:autoSpaceDN w:val="0"/>
        <w:adjustRightInd w:val="0"/>
        <w:spacing w:line="480" w:lineRule="auto"/>
        <w:jc w:val="both"/>
      </w:pPr>
      <w:r w:rsidRPr="00D175BE">
        <w:t xml:space="preserve">Although callus exhibited great importance for mass propagation in many </w:t>
      </w:r>
      <w:r>
        <w:t xml:space="preserve">plant </w:t>
      </w:r>
      <w:r w:rsidRPr="00D175BE">
        <w:t>species, studies on callus induction in orchids are limited, perhaps due to their slow growth and necrot</w:t>
      </w:r>
      <w:r>
        <w:t>ic tendency (Kerbauy 1984, 1991,</w:t>
      </w:r>
      <w:r w:rsidRPr="00D175BE">
        <w:t xml:space="preserve"> Begum et al. 1994</w:t>
      </w:r>
      <w:r>
        <w:t>,</w:t>
      </w:r>
      <w:r w:rsidRPr="00D175BE">
        <w:t xml:space="preserve"> </w:t>
      </w:r>
      <w:r w:rsidR="0008530B">
        <w:t>Chang and Chang 1998</w:t>
      </w:r>
      <w:r>
        <w:t>,</w:t>
      </w:r>
      <w:r w:rsidR="003008AD">
        <w:t xml:space="preserve"> </w:t>
      </w:r>
      <w:r w:rsidRPr="00D175BE">
        <w:t>Roy and Banerjee 2001). Therefore, success of callus culture, where callus could be maintained for prolonged period through subculturing and subsequently regenerated into plantlet, has been limite</w:t>
      </w:r>
      <w:r>
        <w:t xml:space="preserve">d to a few orchids (Ishii et al. </w:t>
      </w:r>
      <w:r w:rsidRPr="00D175BE">
        <w:t>1998). Efforts to establish totipotent callus lines of orchids have been succeeded for some orchid species in recent years (Chen et al.</w:t>
      </w:r>
      <w:r>
        <w:t xml:space="preserve"> 2000,</w:t>
      </w:r>
      <w:r w:rsidRPr="00D175BE">
        <w:t xml:space="preserve"> Lu</w:t>
      </w:r>
      <w:r>
        <w:t xml:space="preserve"> 2004,</w:t>
      </w:r>
      <w:r w:rsidRPr="00D175BE">
        <w:t xml:space="preserve"> Zhao et al. 2008</w:t>
      </w:r>
      <w:r>
        <w:t xml:space="preserve">, Tan et al. </w:t>
      </w:r>
      <w:r w:rsidRPr="005258A5">
        <w:t>2011). However</w:t>
      </w:r>
      <w:r w:rsidRPr="00D175BE">
        <w:t xml:space="preserve">, there is no report on callus induction or indirect organogenesis in </w:t>
      </w:r>
      <w:r w:rsidRPr="00D175BE">
        <w:rPr>
          <w:i/>
        </w:rPr>
        <w:t>B. auricomum</w:t>
      </w:r>
      <w:r w:rsidRPr="00D175BE">
        <w:t xml:space="preserve">. The objective of the present study was to </w:t>
      </w:r>
      <w:r>
        <w:t>develop a reliable and efficient</w:t>
      </w:r>
      <w:r w:rsidRPr="00D175BE">
        <w:t xml:space="preserve"> protocol for plant regeneration from callus cultures of </w:t>
      </w:r>
      <w:r w:rsidRPr="00D175BE">
        <w:rPr>
          <w:i/>
        </w:rPr>
        <w:t>B. auricomum</w:t>
      </w:r>
      <w:r w:rsidRPr="00D175BE">
        <w:t xml:space="preserve">.   </w:t>
      </w:r>
    </w:p>
    <w:p w:rsidR="00651DD5" w:rsidRDefault="00651DD5" w:rsidP="00651DD5">
      <w:pPr>
        <w:spacing w:line="480" w:lineRule="auto"/>
        <w:rPr>
          <w:b/>
        </w:rPr>
      </w:pPr>
    </w:p>
    <w:p w:rsidR="00651DD5" w:rsidRPr="00D175BE" w:rsidRDefault="00ED68BA" w:rsidP="00651DD5">
      <w:pPr>
        <w:spacing w:line="480" w:lineRule="auto"/>
        <w:rPr>
          <w:b/>
        </w:rPr>
      </w:pPr>
      <w:r w:rsidRPr="00D175BE">
        <w:rPr>
          <w:b/>
        </w:rPr>
        <w:t>MATERIALS AND METHODS</w:t>
      </w:r>
    </w:p>
    <w:p w:rsidR="00651DD5" w:rsidRPr="00ED68BA" w:rsidRDefault="00651DD5" w:rsidP="00651DD5">
      <w:pPr>
        <w:spacing w:line="480" w:lineRule="auto"/>
        <w:rPr>
          <w:b/>
          <w:i/>
        </w:rPr>
      </w:pPr>
      <w:r w:rsidRPr="00ED68BA">
        <w:rPr>
          <w:b/>
          <w:i/>
        </w:rPr>
        <w:lastRenderedPageBreak/>
        <w:t>Plant material</w:t>
      </w:r>
    </w:p>
    <w:p w:rsidR="00651DD5" w:rsidRPr="007B4212" w:rsidRDefault="00A91459" w:rsidP="00651DD5">
      <w:pPr>
        <w:autoSpaceDE w:val="0"/>
        <w:autoSpaceDN w:val="0"/>
        <w:adjustRightInd w:val="0"/>
        <w:spacing w:line="480" w:lineRule="auto"/>
        <w:jc w:val="both"/>
        <w:rPr>
          <w:rFonts w:ascii="TimesNewRomanPSMT" w:hAnsi="TimesNewRomanPSMT" w:cs="TimesNewRomanPSMT"/>
          <w:sz w:val="20"/>
          <w:szCs w:val="20"/>
        </w:rPr>
      </w:pPr>
      <w:r>
        <w:rPr>
          <w:rFonts w:ascii="TimesNewRomanPSMT" w:hAnsi="TimesNewRomanPSMT" w:cs="TimesNewRomanPSMT"/>
        </w:rPr>
        <w:t>Approximately three-</w:t>
      </w:r>
      <w:r w:rsidR="00CF07F2">
        <w:rPr>
          <w:rFonts w:ascii="TimesNewRomanPSMT" w:hAnsi="TimesNewRomanPSMT" w:cs="TimesNewRomanPSMT"/>
        </w:rPr>
        <w:t>month-</w:t>
      </w:r>
      <w:r>
        <w:rPr>
          <w:rFonts w:ascii="TimesNewRomanPSMT" w:hAnsi="TimesNewRomanPSMT" w:cs="TimesNewRomanPSMT"/>
        </w:rPr>
        <w:t>old i</w:t>
      </w:r>
      <w:r w:rsidR="00651DD5">
        <w:rPr>
          <w:rFonts w:ascii="TimesNewRomanPSMT" w:hAnsi="TimesNewRomanPSMT" w:cs="TimesNewRomanPSMT"/>
        </w:rPr>
        <w:t xml:space="preserve">mmature capsules of </w:t>
      </w:r>
      <w:r w:rsidR="00651DD5">
        <w:rPr>
          <w:rFonts w:ascii="TimesNewRomanPS-ItalicMT" w:hAnsi="TimesNewRomanPS-ItalicMT" w:cs="TimesNewRomanPS-ItalicMT"/>
          <w:i/>
          <w:iCs/>
        </w:rPr>
        <w:t>B. auricomum</w:t>
      </w:r>
      <w:r w:rsidR="00651DD5">
        <w:rPr>
          <w:rFonts w:ascii="TimesNewRomanPS-ItalicMT" w:hAnsi="TimesNewRomanPS-ItalicMT" w:cs="TimesNewRomanPS-ItalicMT"/>
          <w:iCs/>
        </w:rPr>
        <w:t xml:space="preserve"> Lindl.</w:t>
      </w:r>
      <w:r w:rsidR="00651DD5">
        <w:rPr>
          <w:rFonts w:ascii="TimesNewRomanPS-ItalicMT" w:hAnsi="TimesNewRomanPS-ItalicMT" w:cs="TimesNewRomanPS-ItalicMT"/>
          <w:i/>
          <w:iCs/>
        </w:rPr>
        <w:t xml:space="preserve"> </w:t>
      </w:r>
      <w:r w:rsidR="00651DD5">
        <w:rPr>
          <w:rFonts w:ascii="TimesNewRomanPSMT" w:hAnsi="TimesNewRomanPSMT" w:cs="TimesNewRomanPSMT"/>
        </w:rPr>
        <w:t xml:space="preserve">were collected </w:t>
      </w:r>
      <w:r w:rsidR="00651DD5" w:rsidRPr="00810D69">
        <w:t xml:space="preserve">from </w:t>
      </w:r>
      <w:r>
        <w:t xml:space="preserve">wild populations found in the </w:t>
      </w:r>
      <w:r w:rsidR="00651DD5">
        <w:t>Ya</w:t>
      </w:r>
      <w:r w:rsidR="00651DD5" w:rsidRPr="00810D69">
        <w:t>khine</w:t>
      </w:r>
      <w:r w:rsidR="00651DD5">
        <w:t xml:space="preserve"> </w:t>
      </w:r>
      <w:r w:rsidR="00651DD5" w:rsidRPr="00810D69">
        <w:t>Yoma mountain ranges in Myanmar during March, 2007</w:t>
      </w:r>
      <w:r>
        <w:t>. Immature capsule were</w:t>
      </w:r>
      <w:r w:rsidR="00651DD5">
        <w:rPr>
          <w:rFonts w:ascii="TimesNewRomanPSMT" w:hAnsi="TimesNewRomanPSMT" w:cs="TimesNewRomanPSMT"/>
        </w:rPr>
        <w:t xml:space="preserve"> surface sterilized with 15% teepol solution for 30 min</w:t>
      </w:r>
      <w:r>
        <w:rPr>
          <w:rFonts w:ascii="TimesNewRomanPSMT" w:hAnsi="TimesNewRomanPSMT" w:cs="TimesNewRomanPSMT"/>
        </w:rPr>
        <w:t xml:space="preserve"> followed by 1 min treatment with </w:t>
      </w:r>
      <w:r w:rsidR="00651DD5">
        <w:rPr>
          <w:rFonts w:ascii="TimesNewRomanPSMT" w:hAnsi="TimesNewRomanPSMT" w:cs="TimesNewRomanPSMT"/>
        </w:rPr>
        <w:t xml:space="preserve">70% ethanol and flamed for 10-15 sec. </w:t>
      </w:r>
      <w:r>
        <w:rPr>
          <w:rFonts w:ascii="TimesNewRomanPSMT" w:hAnsi="TimesNewRomanPSMT" w:cs="TimesNewRomanPSMT"/>
        </w:rPr>
        <w:t>S</w:t>
      </w:r>
      <w:r w:rsidR="00651DD5">
        <w:rPr>
          <w:rFonts w:ascii="TimesNewRomanPSMT" w:hAnsi="TimesNewRomanPSMT" w:cs="TimesNewRomanPSMT"/>
        </w:rPr>
        <w:t>terilized capsules were dissected</w:t>
      </w:r>
      <w:r w:rsidR="00651DD5" w:rsidRPr="005026E2">
        <w:rPr>
          <w:rFonts w:ascii="TimesNewRomanPSMT" w:hAnsi="TimesNewRomanPSMT" w:cs="TimesNewRomanPSMT"/>
        </w:rPr>
        <w:t xml:space="preserve"> </w:t>
      </w:r>
      <w:r w:rsidR="00651DD5">
        <w:rPr>
          <w:rFonts w:ascii="TimesNewRomanPSMT" w:hAnsi="TimesNewRomanPSMT" w:cs="TimesNewRomanPSMT"/>
        </w:rPr>
        <w:t xml:space="preserve">longitudinally and the seeds were </w:t>
      </w:r>
      <w:r w:rsidR="00553349">
        <w:rPr>
          <w:rFonts w:ascii="TimesNewRomanPSMT" w:hAnsi="TimesNewRomanPSMT" w:cs="TimesNewRomanPSMT"/>
        </w:rPr>
        <w:t xml:space="preserve">extracted and </w:t>
      </w:r>
      <w:r w:rsidR="00651DD5">
        <w:rPr>
          <w:rFonts w:ascii="TimesNewRomanPSMT" w:hAnsi="TimesNewRomanPSMT" w:cs="TimesNewRomanPSMT"/>
        </w:rPr>
        <w:t>aseptically cultured on modified KC (Knudson 1946) medium gelled with 0.75% w/v agar</w:t>
      </w:r>
      <w:r w:rsidR="00A23283">
        <w:rPr>
          <w:rFonts w:ascii="TimesNewRomanPSMT" w:hAnsi="TimesNewRomanPSMT" w:cs="TimesNewRomanPSMT"/>
        </w:rPr>
        <w:t xml:space="preserve"> (Than et al. 2009). </w:t>
      </w:r>
      <w:r w:rsidR="00EA0C6C">
        <w:rPr>
          <w:rFonts w:ascii="TimesNewRomanPSMT" w:hAnsi="TimesNewRomanPSMT" w:cs="TimesNewRomanPSMT"/>
        </w:rPr>
        <w:t xml:space="preserve">Within three to four weeks </w:t>
      </w:r>
      <w:r w:rsidR="009C6657" w:rsidRPr="00991E09">
        <w:rPr>
          <w:rFonts w:ascii="TimesNewRomanPSMT" w:hAnsi="TimesNewRomanPSMT" w:cs="TimesNewRomanPSMT"/>
        </w:rPr>
        <w:t>greenish PLB</w:t>
      </w:r>
      <w:r w:rsidR="00651DD5" w:rsidRPr="00991E09">
        <w:rPr>
          <w:rFonts w:ascii="TimesNewRomanPSMT" w:hAnsi="TimesNewRomanPSMT" w:cs="TimesNewRomanPSMT"/>
        </w:rPr>
        <w:t xml:space="preserve"> </w:t>
      </w:r>
      <w:r w:rsidR="005D4312" w:rsidRPr="00991E09">
        <w:rPr>
          <w:rFonts w:ascii="TimesNewRomanPSMT" w:hAnsi="TimesNewRomanPSMT" w:cs="TimesNewRomanPSMT"/>
        </w:rPr>
        <w:t xml:space="preserve">were collected and inoculated </w:t>
      </w:r>
      <w:r w:rsidR="00651DD5" w:rsidRPr="00991E09">
        <w:t xml:space="preserve">on MS (Murashige and Skoog 1962) nutrient medium </w:t>
      </w:r>
      <w:r w:rsidR="005D4312" w:rsidRPr="00991E09">
        <w:t xml:space="preserve">and </w:t>
      </w:r>
      <w:r w:rsidR="00651DD5" w:rsidRPr="00991E09">
        <w:t>subcultur</w:t>
      </w:r>
      <w:r w:rsidR="005D4312" w:rsidRPr="00991E09">
        <w:t>ed e</w:t>
      </w:r>
      <w:r w:rsidR="00651DD5" w:rsidRPr="00991E09">
        <w:t xml:space="preserve">very two months </w:t>
      </w:r>
      <w:r w:rsidR="005D4312" w:rsidRPr="00991E09">
        <w:t>before</w:t>
      </w:r>
      <w:r w:rsidR="00651DD5" w:rsidRPr="00991E09">
        <w:t xml:space="preserve"> used as explants for callus induction.</w:t>
      </w:r>
    </w:p>
    <w:p w:rsidR="00651DD5" w:rsidRPr="00ED68BA" w:rsidRDefault="00651DD5" w:rsidP="00651DD5">
      <w:pPr>
        <w:spacing w:line="480" w:lineRule="auto"/>
        <w:jc w:val="both"/>
        <w:rPr>
          <w:b/>
          <w:i/>
        </w:rPr>
      </w:pPr>
      <w:r w:rsidRPr="00ED68BA">
        <w:rPr>
          <w:b/>
          <w:i/>
        </w:rPr>
        <w:t xml:space="preserve">Initiation and establishment of callus culture </w:t>
      </w:r>
    </w:p>
    <w:p w:rsidR="00651DD5" w:rsidRPr="00D175BE" w:rsidRDefault="00A53738" w:rsidP="00651DD5">
      <w:pPr>
        <w:spacing w:line="480" w:lineRule="auto"/>
        <w:jc w:val="both"/>
      </w:pPr>
      <w:r>
        <w:t xml:space="preserve">Two to three mm </w:t>
      </w:r>
      <w:r w:rsidR="00647CCA">
        <w:t>PLB</w:t>
      </w:r>
      <w:r w:rsidR="00651DD5" w:rsidRPr="00D175BE">
        <w:t xml:space="preserve"> were bisected</w:t>
      </w:r>
      <w:r w:rsidR="00651DD5">
        <w:t xml:space="preserve"> longitudinally and </w:t>
      </w:r>
      <w:r w:rsidR="00651DD5" w:rsidRPr="00D175BE">
        <w:t xml:space="preserve">cultured </w:t>
      </w:r>
      <w:r w:rsidRPr="00D175BE">
        <w:t>in 20</w:t>
      </w:r>
      <w:r>
        <w:t>X</w:t>
      </w:r>
      <w:r w:rsidRPr="00D175BE">
        <w:t xml:space="preserve">150 mm culture tubes containing 20 ml of </w:t>
      </w:r>
      <w:r>
        <w:t>callus induction medium [</w:t>
      </w:r>
      <w:r w:rsidR="00651DD5" w:rsidRPr="00D175BE">
        <w:t>half-strength macro- and microelements of MS supplemented with (in mgl</w:t>
      </w:r>
      <w:r w:rsidR="00651DD5" w:rsidRPr="00396011">
        <w:rPr>
          <w:vertAlign w:val="superscript"/>
        </w:rPr>
        <w:t>-1</w:t>
      </w:r>
      <w:r w:rsidR="00651DD5" w:rsidRPr="00D175BE">
        <w:t>) myo-inositol (100), niacin (0.5), pyridoxine HCl (0.5), thiamine HCl (0.1), glycine (2.0), peptone (1000), NaH</w:t>
      </w:r>
      <w:r w:rsidR="00651DD5" w:rsidRPr="00D175BE">
        <w:rPr>
          <w:vertAlign w:val="subscript"/>
        </w:rPr>
        <w:t>2</w:t>
      </w:r>
      <w:r w:rsidR="00651DD5" w:rsidRPr="00D175BE">
        <w:t>PO</w:t>
      </w:r>
      <w:r w:rsidR="00651DD5" w:rsidRPr="00D175BE">
        <w:rPr>
          <w:vertAlign w:val="subscript"/>
        </w:rPr>
        <w:t>4</w:t>
      </w:r>
      <w:r w:rsidR="00651DD5" w:rsidRPr="00D175BE">
        <w:t xml:space="preserve"> (170) and sucrose (2000</w:t>
      </w:r>
      <w:r w:rsidR="000938E4">
        <w:t>0</w:t>
      </w:r>
      <w:r w:rsidR="00651DD5" w:rsidRPr="00D175BE">
        <w:t xml:space="preserve">) with the combination of 1-phenyl-3-(1,2,3-thiadiazol-5-yl)-urea (TDZ) </w:t>
      </w:r>
      <w:r w:rsidR="00E21E9D">
        <w:t xml:space="preserve">at </w:t>
      </w:r>
      <w:r w:rsidR="00651DD5" w:rsidRPr="00D175BE">
        <w:t xml:space="preserve">0, 0.1, 1.0 </w:t>
      </w:r>
      <w:r w:rsidR="00651DD5">
        <w:t>mgl</w:t>
      </w:r>
      <w:r w:rsidR="00651DD5" w:rsidRPr="00396011">
        <w:rPr>
          <w:vertAlign w:val="superscript"/>
        </w:rPr>
        <w:t>-1</w:t>
      </w:r>
      <w:r w:rsidR="00651DD5" w:rsidRPr="00D175BE">
        <w:t xml:space="preserve"> and 2,4-dichlorophenoxyacetic acid (2,4-D) </w:t>
      </w:r>
      <w:r w:rsidR="00294C56">
        <w:t xml:space="preserve">at </w:t>
      </w:r>
      <w:r w:rsidR="00651DD5" w:rsidRPr="00D175BE">
        <w:t xml:space="preserve">0, 0.5, 1.0, 2.0 </w:t>
      </w:r>
      <w:r w:rsidR="00651DD5">
        <w:t>mgl</w:t>
      </w:r>
      <w:r w:rsidR="00651DD5" w:rsidRPr="00396011">
        <w:rPr>
          <w:vertAlign w:val="superscript"/>
        </w:rPr>
        <w:t>-1</w:t>
      </w:r>
      <w:r>
        <w:t>]</w:t>
      </w:r>
      <w:r w:rsidR="00651DD5" w:rsidRPr="00D175BE">
        <w:t xml:space="preserve">. </w:t>
      </w:r>
      <w:r w:rsidR="00651DD5">
        <w:t>Explants grown on</w:t>
      </w:r>
      <w:r w:rsidR="00651DD5" w:rsidRPr="00D175BE">
        <w:t xml:space="preserve"> basal </w:t>
      </w:r>
      <w:r w:rsidR="00651DD5">
        <w:t>MS nutrient medium without PGRs were</w:t>
      </w:r>
      <w:r w:rsidR="00651DD5" w:rsidRPr="00D175BE">
        <w:t xml:space="preserve"> used as a control. </w:t>
      </w:r>
      <w:r w:rsidR="00651DD5">
        <w:t xml:space="preserve"> All t</w:t>
      </w:r>
      <w:r w:rsidR="00651DD5" w:rsidRPr="00D175BE">
        <w:t>he</w:t>
      </w:r>
      <w:r w:rsidR="00651DD5">
        <w:t>se</w:t>
      </w:r>
      <w:r w:rsidR="00651DD5" w:rsidRPr="00D175BE">
        <w:t xml:space="preserve"> media were solidified with 0.75% w/v agar. The pH of the media was adjusted to </w:t>
      </w:r>
      <w:r w:rsidR="00651DD5" w:rsidRPr="001051F4">
        <w:t>5.6</w:t>
      </w:r>
      <w:r w:rsidR="00651DD5" w:rsidRPr="00D175BE">
        <w:t xml:space="preserve"> with KOH or HCl prior to autoclaving for 15 min at 121º C. Cultures were maintained </w:t>
      </w:r>
      <w:r w:rsidR="00293B68">
        <w:t>in darkness at 24±1º C</w:t>
      </w:r>
      <w:r w:rsidR="00651DD5" w:rsidRPr="00D175BE">
        <w:t xml:space="preserve">. </w:t>
      </w:r>
      <w:r w:rsidR="008C4B5E">
        <w:t>The p</w:t>
      </w:r>
      <w:r w:rsidR="00651DD5" w:rsidRPr="00D175BE">
        <w:t xml:space="preserve">ercentage of </w:t>
      </w:r>
      <w:r w:rsidR="008C4B5E">
        <w:t xml:space="preserve">explants forming </w:t>
      </w:r>
      <w:r w:rsidR="00651DD5" w:rsidRPr="00D175BE">
        <w:t>callus</w:t>
      </w:r>
      <w:r w:rsidR="008C4B5E">
        <w:t xml:space="preserve"> </w:t>
      </w:r>
      <w:r w:rsidR="00651DD5" w:rsidRPr="00D175BE">
        <w:t xml:space="preserve">was scored after </w:t>
      </w:r>
      <w:r w:rsidR="00F95A9F">
        <w:t>three</w:t>
      </w:r>
      <w:r w:rsidR="00651DD5" w:rsidRPr="00D175BE">
        <w:t xml:space="preserve"> and </w:t>
      </w:r>
      <w:r w:rsidR="00F95A9F">
        <w:t>four</w:t>
      </w:r>
      <w:r w:rsidR="00651DD5" w:rsidRPr="00D175BE">
        <w:t xml:space="preserve"> months of culture (with monthly subculture). </w:t>
      </w:r>
      <w:r w:rsidR="00651DD5" w:rsidRPr="00112A74">
        <w:t>Growth of calli was expressed as GI (Growth Index, i.e. ratio between final fresh weight and the initial fresh weight of callus); inoculum in each treatment was ~50 mg of callus.</w:t>
      </w:r>
      <w:r w:rsidR="00651DD5" w:rsidRPr="00D175BE">
        <w:t xml:space="preserve"> </w:t>
      </w:r>
    </w:p>
    <w:p w:rsidR="00651DD5" w:rsidRPr="00ED68BA" w:rsidRDefault="00651DD5" w:rsidP="00651DD5">
      <w:pPr>
        <w:tabs>
          <w:tab w:val="num" w:pos="540"/>
        </w:tabs>
        <w:spacing w:line="480" w:lineRule="auto"/>
        <w:jc w:val="both"/>
        <w:rPr>
          <w:b/>
          <w:i/>
        </w:rPr>
      </w:pPr>
      <w:r w:rsidRPr="00ED68BA">
        <w:rPr>
          <w:b/>
          <w:i/>
        </w:rPr>
        <w:t>Plant regeneration</w:t>
      </w:r>
    </w:p>
    <w:p w:rsidR="00651DD5" w:rsidRPr="00D175BE" w:rsidRDefault="00651DD5" w:rsidP="00651DD5">
      <w:pPr>
        <w:tabs>
          <w:tab w:val="num" w:pos="540"/>
        </w:tabs>
        <w:spacing w:line="480" w:lineRule="auto"/>
        <w:jc w:val="both"/>
      </w:pPr>
      <w:r w:rsidRPr="00D175BE">
        <w:lastRenderedPageBreak/>
        <w:t xml:space="preserve">To evaluate potential of plant regeneration, ~ 100 mg </w:t>
      </w:r>
      <w:r>
        <w:t>(</w:t>
      </w:r>
      <w:r w:rsidRPr="00D175BE">
        <w:t>fresh weight) of callus from different lines were cultured on half-strength MS basal medium</w:t>
      </w:r>
      <w:r>
        <w:t xml:space="preserve"> </w:t>
      </w:r>
      <w:r w:rsidRPr="00D175BE">
        <w:t xml:space="preserve">supplemented with 0.1 </w:t>
      </w:r>
      <w:r>
        <w:t>mgl</w:t>
      </w:r>
      <w:r w:rsidRPr="00396011">
        <w:rPr>
          <w:vertAlign w:val="superscript"/>
        </w:rPr>
        <w:t>-1</w:t>
      </w:r>
      <w:r w:rsidRPr="00D175BE">
        <w:t xml:space="preserve"> TDZ.</w:t>
      </w:r>
      <w:r>
        <w:t xml:space="preserve"> Cultures were maintained under </w:t>
      </w:r>
      <w:r w:rsidRPr="00D175BE">
        <w:t>16 h photoperiod (artificial fluorescent light 80</w:t>
      </w:r>
      <w:r w:rsidR="00481B80">
        <w:t xml:space="preserve"> </w:t>
      </w:r>
      <w:r w:rsidRPr="00D175BE">
        <w:t>µmolm</w:t>
      </w:r>
      <w:r w:rsidRPr="00D175BE">
        <w:rPr>
          <w:vertAlign w:val="superscript"/>
        </w:rPr>
        <w:t xml:space="preserve">-2 </w:t>
      </w:r>
      <w:r w:rsidRPr="00D175BE">
        <w:t>s</w:t>
      </w:r>
      <w:r w:rsidRPr="00D175BE">
        <w:rPr>
          <w:vertAlign w:val="superscript"/>
        </w:rPr>
        <w:t>-1</w:t>
      </w:r>
      <w:r w:rsidRPr="00D175BE">
        <w:t xml:space="preserve">). The number of shoot buds per inoculum was recorded. </w:t>
      </w:r>
    </w:p>
    <w:p w:rsidR="00651DD5" w:rsidRPr="00D175BE" w:rsidRDefault="00F95A9F" w:rsidP="00651DD5">
      <w:pPr>
        <w:spacing w:line="480" w:lineRule="auto"/>
        <w:jc w:val="both"/>
      </w:pPr>
      <w:r>
        <w:t>R</w:t>
      </w:r>
      <w:r w:rsidR="00651DD5" w:rsidRPr="00D175BE">
        <w:t>egenerated shoot</w:t>
      </w:r>
      <w:r>
        <w:t>s</w:t>
      </w:r>
      <w:r w:rsidR="00651DD5" w:rsidRPr="00D175BE">
        <w:t xml:space="preserve"> (~4.0 mm long) with 1-2 leaves were excised from the shoot clumps and transferred to the half-strength MS medium </w:t>
      </w:r>
      <w:r w:rsidR="00651DD5" w:rsidRPr="00854A07">
        <w:t>without PGRs</w:t>
      </w:r>
      <w:r w:rsidR="00651DD5" w:rsidRPr="00D175BE">
        <w:t xml:space="preserve"> for elongation and root induction. Data were recorded after </w:t>
      </w:r>
      <w:r w:rsidR="006B421C">
        <w:t>two</w:t>
      </w:r>
      <w:r w:rsidR="00651DD5" w:rsidRPr="00D175BE">
        <w:t xml:space="preserve"> months of culture. </w:t>
      </w:r>
    </w:p>
    <w:p w:rsidR="00651DD5" w:rsidRPr="00ED68BA" w:rsidRDefault="00651DD5" w:rsidP="00651DD5">
      <w:pPr>
        <w:tabs>
          <w:tab w:val="num" w:pos="540"/>
        </w:tabs>
        <w:spacing w:line="480" w:lineRule="auto"/>
        <w:jc w:val="both"/>
        <w:rPr>
          <w:b/>
          <w:i/>
          <w:vertAlign w:val="subscript"/>
        </w:rPr>
      </w:pPr>
      <w:r w:rsidRPr="00ED68BA">
        <w:rPr>
          <w:b/>
          <w:i/>
        </w:rPr>
        <w:t>Statistical analyses</w:t>
      </w:r>
      <w:r w:rsidRPr="00ED68BA">
        <w:rPr>
          <w:b/>
          <w:i/>
          <w:vertAlign w:val="subscript"/>
        </w:rPr>
        <w:t xml:space="preserve">    </w:t>
      </w:r>
    </w:p>
    <w:p w:rsidR="00651DD5" w:rsidRPr="00D175BE" w:rsidRDefault="00651DD5" w:rsidP="00651DD5">
      <w:pPr>
        <w:tabs>
          <w:tab w:val="left" w:pos="720"/>
        </w:tabs>
        <w:spacing w:line="480" w:lineRule="auto"/>
        <w:jc w:val="both"/>
        <w:rPr>
          <w:iCs/>
        </w:rPr>
      </w:pPr>
      <w:r w:rsidRPr="00D175BE">
        <w:t xml:space="preserve">Twenty </w:t>
      </w:r>
      <w:r w:rsidR="00EC1B67">
        <w:t>explants</w:t>
      </w:r>
      <w:r w:rsidRPr="00D175BE">
        <w:t xml:space="preserve"> were taken for each treatment and each experiment was repeated thrice. Tabulated results were analyzed using </w:t>
      </w:r>
      <w:r w:rsidRPr="00673228">
        <w:t>one-way ANOVA</w:t>
      </w:r>
      <w:r w:rsidRPr="00D175BE">
        <w:t xml:space="preserve"> (Sokal and Rohlf 1987) and statistical differences between mean values were analyzed using the standard error (S.E) and Duncan’s Multiple Range Test with the Statistica Software v 5.0 (StatSoft 1995). </w:t>
      </w:r>
    </w:p>
    <w:p w:rsidR="00651DD5" w:rsidRDefault="00651DD5" w:rsidP="00651DD5">
      <w:pPr>
        <w:spacing w:line="480" w:lineRule="auto"/>
        <w:rPr>
          <w:b/>
        </w:rPr>
      </w:pPr>
    </w:p>
    <w:p w:rsidR="00651DD5" w:rsidRPr="00D175BE" w:rsidRDefault="00ED68BA" w:rsidP="00651DD5">
      <w:pPr>
        <w:spacing w:line="480" w:lineRule="auto"/>
        <w:rPr>
          <w:b/>
        </w:rPr>
      </w:pPr>
      <w:r w:rsidRPr="00D175BE">
        <w:rPr>
          <w:b/>
        </w:rPr>
        <w:t>RESULTS</w:t>
      </w:r>
    </w:p>
    <w:p w:rsidR="00651DD5" w:rsidRPr="00ED68BA" w:rsidRDefault="00651DD5" w:rsidP="00651DD5">
      <w:pPr>
        <w:tabs>
          <w:tab w:val="num" w:pos="540"/>
        </w:tabs>
        <w:spacing w:line="480" w:lineRule="auto"/>
        <w:jc w:val="both"/>
        <w:rPr>
          <w:b/>
          <w:i/>
        </w:rPr>
      </w:pPr>
      <w:r w:rsidRPr="00ED68BA">
        <w:rPr>
          <w:b/>
          <w:i/>
        </w:rPr>
        <w:t>Callus induction from PLB segments</w:t>
      </w:r>
    </w:p>
    <w:p w:rsidR="00651DD5" w:rsidRPr="00D175BE" w:rsidRDefault="00F646F8" w:rsidP="00651DD5">
      <w:pPr>
        <w:tabs>
          <w:tab w:val="left" w:pos="5220"/>
        </w:tabs>
        <w:spacing w:line="480" w:lineRule="auto"/>
        <w:jc w:val="both"/>
      </w:pPr>
      <w:r>
        <w:t>O</w:t>
      </w:r>
      <w:r w:rsidR="00651DD5" w:rsidRPr="00D175BE">
        <w:t>ptimum</w:t>
      </w:r>
      <w:r w:rsidR="00651DD5">
        <w:t xml:space="preserve"> </w:t>
      </w:r>
      <w:r>
        <w:t xml:space="preserve">(100%)  survival </w:t>
      </w:r>
      <w:r w:rsidR="00651DD5" w:rsidRPr="00D175BE">
        <w:t>was ob</w:t>
      </w:r>
      <w:r>
        <w:t>serve</w:t>
      </w:r>
      <w:r w:rsidR="00651DD5" w:rsidRPr="00D175BE">
        <w:t xml:space="preserve">d </w:t>
      </w:r>
      <w:r>
        <w:t>when</w:t>
      </w:r>
      <w:r w:rsidRPr="00F646F8">
        <w:t xml:space="preserve"> </w:t>
      </w:r>
      <w:r w:rsidRPr="00D175BE">
        <w:t xml:space="preserve">explants </w:t>
      </w:r>
      <w:r>
        <w:t>(</w:t>
      </w:r>
      <w:r w:rsidRPr="00D175BE">
        <w:t>bisected PLB segments</w:t>
      </w:r>
      <w:r>
        <w:t>)</w:t>
      </w:r>
      <w:r w:rsidRPr="00D175BE">
        <w:t xml:space="preserve"> </w:t>
      </w:r>
      <w:r>
        <w:t xml:space="preserve">were cultured in medium containing </w:t>
      </w:r>
      <w:r w:rsidR="00651DD5" w:rsidRPr="00D175BE">
        <w:t xml:space="preserve">either in 0.1 </w:t>
      </w:r>
      <w:r w:rsidR="00651DD5">
        <w:t>mgl</w:t>
      </w:r>
      <w:r w:rsidR="00651DD5" w:rsidRPr="00396011">
        <w:rPr>
          <w:vertAlign w:val="superscript"/>
        </w:rPr>
        <w:t>-1</w:t>
      </w:r>
      <w:r w:rsidR="00651DD5" w:rsidRPr="00D175BE">
        <w:t xml:space="preserve"> TDZ</w:t>
      </w:r>
      <w:r w:rsidR="00651DD5">
        <w:t xml:space="preserve"> combined</w:t>
      </w:r>
      <w:r w:rsidR="00651DD5" w:rsidRPr="00D175BE">
        <w:t xml:space="preserve"> with 2,4-D (</w:t>
      </w:r>
      <w:r w:rsidR="00651DD5" w:rsidRPr="00673228">
        <w:t>0-1.</w:t>
      </w:r>
      <w:r w:rsidR="00651DD5" w:rsidRPr="00D175BE">
        <w:t xml:space="preserve">0 </w:t>
      </w:r>
      <w:r w:rsidR="00651DD5">
        <w:t>mgl</w:t>
      </w:r>
      <w:r w:rsidR="00651DD5" w:rsidRPr="00396011">
        <w:rPr>
          <w:vertAlign w:val="superscript"/>
        </w:rPr>
        <w:t>-1</w:t>
      </w:r>
      <w:r w:rsidR="00651DD5" w:rsidRPr="00D175BE">
        <w:t xml:space="preserve">) or in </w:t>
      </w:r>
      <w:r w:rsidR="00651DD5">
        <w:t>1.0</w:t>
      </w:r>
      <w:r w:rsidR="00651DD5" w:rsidRPr="00D175BE">
        <w:t xml:space="preserve"> </w:t>
      </w:r>
      <w:r w:rsidR="00651DD5">
        <w:t>mgl</w:t>
      </w:r>
      <w:r w:rsidR="00651DD5" w:rsidRPr="00396011">
        <w:rPr>
          <w:vertAlign w:val="superscript"/>
        </w:rPr>
        <w:t>-1</w:t>
      </w:r>
      <w:r w:rsidR="00651DD5" w:rsidRPr="00D175BE">
        <w:t xml:space="preserve"> </w:t>
      </w:r>
      <w:r w:rsidR="00651DD5">
        <w:t>TDZ combined</w:t>
      </w:r>
      <w:r w:rsidR="00651DD5" w:rsidRPr="00D175BE">
        <w:t xml:space="preserve"> with 2,4-D </w:t>
      </w:r>
      <w:r w:rsidR="00651DD5" w:rsidRPr="00673228">
        <w:t>(0-0.5 mgl</w:t>
      </w:r>
      <w:r w:rsidR="00651DD5" w:rsidRPr="00396011">
        <w:rPr>
          <w:vertAlign w:val="superscript"/>
        </w:rPr>
        <w:t>-1</w:t>
      </w:r>
      <w:r w:rsidR="00651DD5" w:rsidRPr="00D175BE">
        <w:t xml:space="preserve">) supplemented </w:t>
      </w:r>
      <w:r w:rsidR="00651DD5">
        <w:t xml:space="preserve">MS </w:t>
      </w:r>
      <w:r w:rsidR="00651DD5" w:rsidRPr="00D175BE">
        <w:t xml:space="preserve">medium </w:t>
      </w:r>
      <w:r w:rsidR="00651DD5" w:rsidRPr="00673228">
        <w:t>(Table 1). The</w:t>
      </w:r>
      <w:r w:rsidR="0099698E" w:rsidRPr="00673228">
        <w:t>se</w:t>
      </w:r>
      <w:r w:rsidR="00651DD5" w:rsidRPr="00D175BE">
        <w:t xml:space="preserve"> result</w:t>
      </w:r>
      <w:r w:rsidR="0099698E">
        <w:t>s</w:t>
      </w:r>
      <w:r w:rsidR="00651DD5" w:rsidRPr="00D175BE">
        <w:t xml:space="preserve"> demonstrate that the absence or low concentrations of 2,4-D in combination with TDZ (0.1-1.0 </w:t>
      </w:r>
      <w:r w:rsidR="00651DD5">
        <w:t>mgl</w:t>
      </w:r>
      <w:r w:rsidR="00651DD5" w:rsidRPr="00396011">
        <w:rPr>
          <w:vertAlign w:val="superscript"/>
        </w:rPr>
        <w:t>-1</w:t>
      </w:r>
      <w:r w:rsidR="00651DD5" w:rsidRPr="00D175BE">
        <w:t xml:space="preserve">) were most effective in </w:t>
      </w:r>
      <w:r w:rsidR="00651DD5">
        <w:t xml:space="preserve">avoiding </w:t>
      </w:r>
      <w:r w:rsidR="000B1DDD">
        <w:t>explant</w:t>
      </w:r>
      <w:r w:rsidR="00C40A8A">
        <w:t xml:space="preserve"> necrosis</w:t>
      </w:r>
      <w:r w:rsidR="00651DD5" w:rsidRPr="00D175BE">
        <w:t xml:space="preserve">. Callus was induced on PLB segments within one month of </w:t>
      </w:r>
      <w:r w:rsidR="00651DD5">
        <w:t>inoculation</w:t>
      </w:r>
      <w:r w:rsidR="00651DD5" w:rsidRPr="00D175BE">
        <w:t xml:space="preserve">. Two types of morphogenetically distinct calli were obtained from PLB explants. </w:t>
      </w:r>
      <w:r w:rsidR="00651DD5">
        <w:t xml:space="preserve">One </w:t>
      </w:r>
      <w:r w:rsidR="00651DD5" w:rsidRPr="00D175BE">
        <w:t>type of call</w:t>
      </w:r>
      <w:r w:rsidR="00651DD5">
        <w:t>us</w:t>
      </w:r>
      <w:r w:rsidR="00B2486F">
        <w:t>,</w:t>
      </w:r>
      <w:r w:rsidR="00651DD5" w:rsidRPr="00D175BE">
        <w:t xml:space="preserve"> yellowish </w:t>
      </w:r>
      <w:r w:rsidR="00651DD5">
        <w:t>and friable</w:t>
      </w:r>
      <w:r w:rsidR="00B2486F">
        <w:t>, was</w:t>
      </w:r>
      <w:r w:rsidR="00651DD5">
        <w:t xml:space="preserve"> induced on </w:t>
      </w:r>
      <w:r w:rsidR="00651DD5" w:rsidRPr="00D175BE">
        <w:t>medium supplemented with 2,4-D alone (Fig. 1a</w:t>
      </w:r>
      <w:r w:rsidR="00651DD5">
        <w:t>, Table 1</w:t>
      </w:r>
      <w:r w:rsidR="00651DD5" w:rsidRPr="00D175BE">
        <w:t xml:space="preserve">). The </w:t>
      </w:r>
      <w:r w:rsidR="00651DD5">
        <w:t>other</w:t>
      </w:r>
      <w:r w:rsidR="00B2486F">
        <w:t xml:space="preserve"> type, </w:t>
      </w:r>
      <w:r w:rsidR="00651DD5" w:rsidRPr="00D175BE">
        <w:t>yellowish green and friable</w:t>
      </w:r>
      <w:r w:rsidR="00651DD5">
        <w:t>,</w:t>
      </w:r>
      <w:r w:rsidR="00651DD5" w:rsidRPr="00D175BE">
        <w:t xml:space="preserve"> </w:t>
      </w:r>
      <w:r w:rsidR="00B2486F">
        <w:lastRenderedPageBreak/>
        <w:t xml:space="preserve">was </w:t>
      </w:r>
      <w:r w:rsidR="00651DD5" w:rsidRPr="00D175BE">
        <w:t xml:space="preserve">induced on </w:t>
      </w:r>
      <w:r w:rsidR="00A4688E">
        <w:t xml:space="preserve">MS </w:t>
      </w:r>
      <w:r w:rsidR="00651DD5" w:rsidRPr="00D175BE">
        <w:t>medium supplemented with different concentrations and combinations of TDZ and 2,4-D (Fig. 1b</w:t>
      </w:r>
      <w:r w:rsidR="00651DD5">
        <w:t>, Table 1</w:t>
      </w:r>
      <w:r w:rsidR="00651DD5" w:rsidRPr="00D175BE">
        <w:t xml:space="preserve">). It was observed that high concentration of 2,4-D enhanced frequency of callus induction (77%). Callus induction frequency was highest in </w:t>
      </w:r>
      <w:r w:rsidR="00651DD5">
        <w:t>MS</w:t>
      </w:r>
      <w:r w:rsidR="00651DD5" w:rsidRPr="00D175BE">
        <w:t xml:space="preserve"> medium supplemented with 1.0 </w:t>
      </w:r>
      <w:r w:rsidR="00651DD5">
        <w:t>mgl</w:t>
      </w:r>
      <w:r w:rsidR="00651DD5" w:rsidRPr="00396011">
        <w:rPr>
          <w:vertAlign w:val="superscript"/>
        </w:rPr>
        <w:t>-1</w:t>
      </w:r>
      <w:r w:rsidR="00651DD5" w:rsidRPr="00D175BE">
        <w:t xml:space="preserve"> TDZ and 2.0 </w:t>
      </w:r>
      <w:r w:rsidR="00651DD5">
        <w:t>mgl</w:t>
      </w:r>
      <w:r w:rsidR="00651DD5" w:rsidRPr="00396011">
        <w:rPr>
          <w:vertAlign w:val="superscript"/>
        </w:rPr>
        <w:t>-1</w:t>
      </w:r>
      <w:r w:rsidR="00651DD5" w:rsidRPr="00D175BE">
        <w:t xml:space="preserve"> 2,4-D after </w:t>
      </w:r>
      <w:r w:rsidR="007E68EF">
        <w:t>3-4</w:t>
      </w:r>
      <w:r w:rsidR="00651DD5" w:rsidRPr="00D175BE">
        <w:t xml:space="preserve"> months of culture. </w:t>
      </w:r>
    </w:p>
    <w:p w:rsidR="00651DD5" w:rsidRPr="00ED68BA" w:rsidRDefault="00651DD5" w:rsidP="00651DD5">
      <w:pPr>
        <w:tabs>
          <w:tab w:val="num" w:pos="540"/>
        </w:tabs>
        <w:spacing w:line="480" w:lineRule="auto"/>
        <w:jc w:val="both"/>
        <w:rPr>
          <w:b/>
          <w:i/>
        </w:rPr>
      </w:pPr>
      <w:r w:rsidRPr="00ED68BA">
        <w:rPr>
          <w:b/>
          <w:i/>
        </w:rPr>
        <w:t>Callus proliferation and PLB induction in callus cultures</w:t>
      </w:r>
    </w:p>
    <w:p w:rsidR="00651DD5" w:rsidRPr="00D175BE" w:rsidRDefault="00B269E1" w:rsidP="00651DD5">
      <w:pPr>
        <w:autoSpaceDE w:val="0"/>
        <w:autoSpaceDN w:val="0"/>
        <w:adjustRightInd w:val="0"/>
        <w:spacing w:line="480" w:lineRule="auto"/>
        <w:jc w:val="both"/>
      </w:pPr>
      <w:r>
        <w:rPr>
          <w:noProof/>
        </w:rPr>
        <w:pict>
          <v:line id="_x0000_s1026" style="position:absolute;left:0;text-align:left;z-index:251660288" from="9pt,129.65pt" to="9pt,129.65pt"/>
        </w:pict>
      </w:r>
      <w:r w:rsidR="00651DD5" w:rsidRPr="00D175BE">
        <w:t xml:space="preserve">Calli derived from PLB explants were subcultured on half-strength MS basal medium supplemented with different combinations of TDZ and 2,4-D. Basal medium supplemented with 0.1 </w:t>
      </w:r>
      <w:r w:rsidR="00651DD5">
        <w:t>mgl</w:t>
      </w:r>
      <w:r w:rsidR="00651DD5" w:rsidRPr="00396011">
        <w:rPr>
          <w:vertAlign w:val="superscript"/>
        </w:rPr>
        <w:t>-1</w:t>
      </w:r>
      <w:r w:rsidR="00651DD5" w:rsidRPr="00D175BE">
        <w:t xml:space="preserve"> TDZ and 2.0 </w:t>
      </w:r>
      <w:r w:rsidR="00651DD5">
        <w:t>mgl</w:t>
      </w:r>
      <w:r w:rsidR="00651DD5" w:rsidRPr="00396011">
        <w:rPr>
          <w:vertAlign w:val="superscript"/>
        </w:rPr>
        <w:t>-1</w:t>
      </w:r>
      <w:r w:rsidR="00651DD5" w:rsidRPr="00D175BE">
        <w:t xml:space="preserve"> 2,4-D was found to be most suitable for proliferation of callus (</w:t>
      </w:r>
      <w:r w:rsidR="00651DD5">
        <w:t>Growth Index</w:t>
      </w:r>
      <w:r w:rsidR="00651DD5" w:rsidRPr="00D175BE">
        <w:t xml:space="preserve">=9.46±0.91) as compared to other combinations tried (Table 2). The proliferated calli maintained their totipotency for more than one year (through subcultures). However, the calli cultured on medium containing 1.0 </w:t>
      </w:r>
      <w:r w:rsidR="00651DD5">
        <w:t>mgl</w:t>
      </w:r>
      <w:r w:rsidR="00651DD5" w:rsidRPr="00396011">
        <w:rPr>
          <w:vertAlign w:val="superscript"/>
        </w:rPr>
        <w:t>-1</w:t>
      </w:r>
      <w:r w:rsidR="00651DD5" w:rsidRPr="00D175BE">
        <w:t xml:space="preserve"> TDZ</w:t>
      </w:r>
      <w:r w:rsidR="00021393">
        <w:t xml:space="preserve"> were </w:t>
      </w:r>
      <w:r w:rsidR="00651DD5" w:rsidRPr="00D175BE">
        <w:t>pro</w:t>
      </w:r>
      <w:r w:rsidR="00651DD5">
        <w:t>liferated</w:t>
      </w:r>
      <w:r w:rsidR="00651DD5" w:rsidRPr="00D175BE">
        <w:t xml:space="preserve"> </w:t>
      </w:r>
      <w:r w:rsidR="00651DD5">
        <w:t>as evident from the</w:t>
      </w:r>
      <w:r w:rsidR="00651DD5" w:rsidRPr="00D175BE">
        <w:t xml:space="preserve"> increase in </w:t>
      </w:r>
      <w:r w:rsidR="00651DD5" w:rsidRPr="005258A5">
        <w:t xml:space="preserve">weight but gradually became necrotic after 2 months of culture. The calli cultured without PGRs or basal medium supplemented with 0.1 </w:t>
      </w:r>
      <w:r w:rsidR="00651DD5">
        <w:t>mgl</w:t>
      </w:r>
      <w:r w:rsidR="00651DD5" w:rsidRPr="00396011">
        <w:rPr>
          <w:vertAlign w:val="superscript"/>
        </w:rPr>
        <w:t>-1</w:t>
      </w:r>
      <w:r w:rsidR="00651DD5" w:rsidRPr="005258A5">
        <w:t xml:space="preserve"> TDZ and 0.5 </w:t>
      </w:r>
      <w:r w:rsidR="00651DD5">
        <w:t>mgl</w:t>
      </w:r>
      <w:r w:rsidR="00651DD5" w:rsidRPr="00396011">
        <w:rPr>
          <w:vertAlign w:val="superscript"/>
        </w:rPr>
        <w:t>-1</w:t>
      </w:r>
      <w:r w:rsidR="006F56CA">
        <w:t xml:space="preserve"> 2,</w:t>
      </w:r>
      <w:r w:rsidR="00651DD5" w:rsidRPr="005258A5">
        <w:t>4-D were eventually turned brown and necrotic. Callus proliferated but occasionally produced PL</w:t>
      </w:r>
      <w:r w:rsidR="00873E64">
        <w:t>B</w:t>
      </w:r>
      <w:r w:rsidR="00651DD5" w:rsidRPr="005258A5">
        <w:t xml:space="preserve"> when cultured on basal medium containing either 0.1 </w:t>
      </w:r>
      <w:r w:rsidR="00651DD5">
        <w:t>mgl</w:t>
      </w:r>
      <w:r w:rsidR="00651DD5" w:rsidRPr="00396011">
        <w:rPr>
          <w:vertAlign w:val="superscript"/>
        </w:rPr>
        <w:t>-1</w:t>
      </w:r>
      <w:r w:rsidR="00651DD5" w:rsidRPr="005258A5">
        <w:t xml:space="preserve"> TDZ alone or 1.0 </w:t>
      </w:r>
      <w:r w:rsidR="00651DD5">
        <w:t>mgl</w:t>
      </w:r>
      <w:r w:rsidR="00651DD5" w:rsidRPr="00396011">
        <w:rPr>
          <w:vertAlign w:val="superscript"/>
        </w:rPr>
        <w:t>-1</w:t>
      </w:r>
      <w:r w:rsidR="00651DD5" w:rsidRPr="005258A5">
        <w:t xml:space="preserve"> TDZ in combination with 0.5 </w:t>
      </w:r>
      <w:r w:rsidR="00651DD5">
        <w:t>mgl</w:t>
      </w:r>
      <w:r w:rsidR="00651DD5" w:rsidRPr="00396011">
        <w:rPr>
          <w:vertAlign w:val="superscript"/>
        </w:rPr>
        <w:t>-1</w:t>
      </w:r>
      <w:r w:rsidR="00651DD5">
        <w:rPr>
          <w:vertAlign w:val="superscript"/>
        </w:rPr>
        <w:t xml:space="preserve"> </w:t>
      </w:r>
      <w:r w:rsidR="00651DD5">
        <w:t xml:space="preserve"> </w:t>
      </w:r>
      <w:r w:rsidR="006F340E">
        <w:t>2,</w:t>
      </w:r>
      <w:r w:rsidR="00651DD5" w:rsidRPr="005258A5">
        <w:t>4-D.</w:t>
      </w:r>
      <w:r w:rsidR="00651DD5" w:rsidRPr="00D175BE">
        <w:t xml:space="preserve"> </w:t>
      </w:r>
    </w:p>
    <w:p w:rsidR="00651DD5" w:rsidRPr="00ED68BA" w:rsidRDefault="00422D1C" w:rsidP="00651DD5">
      <w:pPr>
        <w:tabs>
          <w:tab w:val="num" w:pos="540"/>
        </w:tabs>
        <w:spacing w:line="480" w:lineRule="auto"/>
        <w:jc w:val="both"/>
        <w:rPr>
          <w:b/>
          <w:i/>
        </w:rPr>
      </w:pPr>
      <w:r>
        <w:rPr>
          <w:b/>
          <w:i/>
        </w:rPr>
        <w:t xml:space="preserve">Shoot regeneration </w:t>
      </w:r>
      <w:r w:rsidR="00E036D0">
        <w:rPr>
          <w:b/>
          <w:i/>
        </w:rPr>
        <w:t xml:space="preserve">and multiplication </w:t>
      </w:r>
      <w:r w:rsidR="00651DD5" w:rsidRPr="00ED68BA">
        <w:rPr>
          <w:b/>
          <w:i/>
        </w:rPr>
        <w:t>from callus cultures</w:t>
      </w:r>
      <w:r w:rsidR="00E036D0" w:rsidRPr="00E036D0">
        <w:t xml:space="preserve"> </w:t>
      </w:r>
    </w:p>
    <w:p w:rsidR="00651DD5" w:rsidRPr="00D175BE" w:rsidRDefault="004E2E88" w:rsidP="00651DD5">
      <w:pPr>
        <w:spacing w:line="480" w:lineRule="auto"/>
        <w:jc w:val="both"/>
      </w:pPr>
      <w:r>
        <w:t>T</w:t>
      </w:r>
      <w:r w:rsidR="00651DD5" w:rsidRPr="00D175BE">
        <w:t>he regeneration frequency and shoot bud induction</w:t>
      </w:r>
      <w:r>
        <w:t xml:space="preserve"> were </w:t>
      </w:r>
      <w:r w:rsidR="00651DD5" w:rsidRPr="00D175BE">
        <w:t>affected by the concentrations and combinations of callus induction medium. Initially, two types of morphologically distinct calli (</w:t>
      </w:r>
      <w:r w:rsidR="00651DD5">
        <w:t xml:space="preserve">raised in different </w:t>
      </w:r>
      <w:r w:rsidR="00651DD5" w:rsidRPr="00D175BE">
        <w:t>callus induction</w:t>
      </w:r>
      <w:r w:rsidR="00651DD5">
        <w:t xml:space="preserve"> media</w:t>
      </w:r>
      <w:r w:rsidR="00651DD5" w:rsidRPr="00D175BE">
        <w:t xml:space="preserve">) grew well and gradually turned green. Calli from C2, C3, C4 and C11 callus lines gradually turned brown and </w:t>
      </w:r>
      <w:r w:rsidR="00651DD5">
        <w:t xml:space="preserve">finally became </w:t>
      </w:r>
      <w:r w:rsidR="00651DD5" w:rsidRPr="00D175BE">
        <w:t xml:space="preserve">necrotic after 3 weeks of culture (Table 3). The C8 callus line was green and </w:t>
      </w:r>
      <w:r w:rsidR="00651DD5">
        <w:t>compact</w:t>
      </w:r>
      <w:r w:rsidR="00C27B60">
        <w:t xml:space="preserve">, </w:t>
      </w:r>
      <w:r>
        <w:t xml:space="preserve">but </w:t>
      </w:r>
      <w:r w:rsidR="00651DD5" w:rsidRPr="00D175BE">
        <w:t>neither shoot differentiation nor PLB regeneration was observed</w:t>
      </w:r>
      <w:r w:rsidR="00F776BF">
        <w:t xml:space="preserve"> in this line</w:t>
      </w:r>
      <w:r w:rsidR="00651DD5" w:rsidRPr="00D175BE">
        <w:t>.</w:t>
      </w:r>
      <w:r w:rsidR="00F776BF">
        <w:t xml:space="preserve"> Globular structures with shoot </w:t>
      </w:r>
      <w:r w:rsidR="00651DD5" w:rsidRPr="00D175BE">
        <w:t xml:space="preserve">meristem </w:t>
      </w:r>
      <w:r w:rsidR="00651DD5">
        <w:t>developed</w:t>
      </w:r>
      <w:r w:rsidR="00651DD5" w:rsidRPr="00D175BE">
        <w:t xml:space="preserve"> </w:t>
      </w:r>
      <w:r w:rsidR="00651DD5">
        <w:lastRenderedPageBreak/>
        <w:t>in calli</w:t>
      </w:r>
      <w:r w:rsidR="00651DD5" w:rsidRPr="00D175BE">
        <w:t xml:space="preserve"> lines C5, C7, C10 and C12 (Fig. 1c). These globular structures developed into PLB after 2 weeks of culture (Fig. 1d). The regenerated PLB produced shoot buds within one month when transferred to the basal medium containing TDZ (0.1 </w:t>
      </w:r>
      <w:r w:rsidR="00651DD5">
        <w:t>mgl</w:t>
      </w:r>
      <w:r w:rsidR="00651DD5" w:rsidRPr="00396011">
        <w:rPr>
          <w:vertAlign w:val="superscript"/>
        </w:rPr>
        <w:t>-1</w:t>
      </w:r>
      <w:r w:rsidR="00651DD5" w:rsidRPr="00D175BE">
        <w:t xml:space="preserve">) (Fig. 1e). The </w:t>
      </w:r>
      <w:r w:rsidR="008444EF">
        <w:t xml:space="preserve">100 </w:t>
      </w:r>
      <w:r w:rsidR="00651DD5" w:rsidRPr="00D175BE">
        <w:t xml:space="preserve">percent regeneration frequency was achieved in calli induced on </w:t>
      </w:r>
      <w:r w:rsidR="00651DD5">
        <w:t xml:space="preserve">MS </w:t>
      </w:r>
      <w:r w:rsidR="00651DD5" w:rsidRPr="00D175BE">
        <w:t xml:space="preserve">basal medium supplemented with 1.0 </w:t>
      </w:r>
      <w:r w:rsidR="00651DD5">
        <w:t>mgl</w:t>
      </w:r>
      <w:r w:rsidR="00651DD5" w:rsidRPr="00396011">
        <w:rPr>
          <w:vertAlign w:val="superscript"/>
        </w:rPr>
        <w:t>-1</w:t>
      </w:r>
      <w:r w:rsidR="00651DD5" w:rsidRPr="00D175BE">
        <w:t xml:space="preserve"> TDZ</w:t>
      </w:r>
      <w:r w:rsidR="005E131D">
        <w:t xml:space="preserve"> </w:t>
      </w:r>
      <w:r w:rsidR="00651DD5" w:rsidRPr="00D175BE">
        <w:t xml:space="preserve">and 0.5 </w:t>
      </w:r>
      <w:r w:rsidR="00651DD5">
        <w:t>mgl</w:t>
      </w:r>
      <w:r w:rsidR="00651DD5" w:rsidRPr="00396011">
        <w:rPr>
          <w:vertAlign w:val="superscript"/>
        </w:rPr>
        <w:t>-1</w:t>
      </w:r>
      <w:r w:rsidR="00651DD5" w:rsidRPr="00D175BE">
        <w:t xml:space="preserve"> 2,4-D (</w:t>
      </w:r>
      <w:r w:rsidR="00651DD5">
        <w:t xml:space="preserve">Callus </w:t>
      </w:r>
      <w:r w:rsidR="00651DD5" w:rsidRPr="00D175BE">
        <w:t>line C10). The rate of shoot bud induction was affected by duration of callus culture on the shoot regeneration medium. The optimum shoot bud formation (46 shoot buds/100 mg callus) was observed in monthly subculture</w:t>
      </w:r>
      <w:r w:rsidR="00651DD5">
        <w:t>d</w:t>
      </w:r>
      <w:r w:rsidR="00651DD5" w:rsidRPr="00D175BE">
        <w:t xml:space="preserve"> callus line C10</w:t>
      </w:r>
      <w:r w:rsidR="00651DD5">
        <w:t>,</w:t>
      </w:r>
      <w:r w:rsidR="00651DD5" w:rsidRPr="00D175BE">
        <w:t xml:space="preserve"> after 4 months of culture. </w:t>
      </w:r>
    </w:p>
    <w:p w:rsidR="00651DD5" w:rsidRPr="00D175BE" w:rsidRDefault="00651DD5" w:rsidP="00651DD5">
      <w:pPr>
        <w:spacing w:line="480" w:lineRule="auto"/>
        <w:jc w:val="both"/>
      </w:pPr>
      <w:r w:rsidRPr="00D175BE">
        <w:t>The regenerated shoots from different callus lines grew well when cultured on half-strength MS medium without PGRs. Root induction was noted in regenerated shoots within one month of culture (Fig. 1f). There was no significan</w:t>
      </w:r>
      <w:r>
        <w:t>t</w:t>
      </w:r>
      <w:r w:rsidRPr="00D175BE">
        <w:t xml:space="preserve"> difference </w:t>
      </w:r>
      <w:r>
        <w:t>in</w:t>
      </w:r>
      <w:r w:rsidRPr="00D175BE">
        <w:t xml:space="preserve"> the shoot length and number of root formation among different callus lines (Table 4). The optimum root length (8.1±0.6 mm) was noted in C10 callus line. In general, the regenerated shoots </w:t>
      </w:r>
      <w:r>
        <w:t xml:space="preserve">when isolated </w:t>
      </w:r>
      <w:r w:rsidRPr="00D175BE">
        <w:t>from different callus lines were developed into complete plantlets within 2 months of culture</w:t>
      </w:r>
      <w:r>
        <w:t xml:space="preserve"> and additional shoots </w:t>
      </w:r>
      <w:r w:rsidR="00497A26">
        <w:t xml:space="preserve">were </w:t>
      </w:r>
      <w:r>
        <w:t xml:space="preserve">induced from </w:t>
      </w:r>
      <w:r w:rsidRPr="004C3E13">
        <w:rPr>
          <w:i/>
        </w:rPr>
        <w:t>de novo</w:t>
      </w:r>
      <w:r>
        <w:t xml:space="preserve"> generated PLB</w:t>
      </w:r>
      <w:r w:rsidRPr="00D175BE">
        <w:t xml:space="preserve"> </w:t>
      </w:r>
      <w:r w:rsidRPr="004C3E13">
        <w:t>(Fig. 1g).</w:t>
      </w:r>
      <w:r w:rsidRPr="00D175BE">
        <w:t xml:space="preserve">  </w:t>
      </w:r>
    </w:p>
    <w:p w:rsidR="00651DD5" w:rsidRDefault="00651DD5" w:rsidP="00651DD5">
      <w:pPr>
        <w:autoSpaceDE w:val="0"/>
        <w:autoSpaceDN w:val="0"/>
        <w:adjustRightInd w:val="0"/>
        <w:spacing w:line="480" w:lineRule="auto"/>
        <w:rPr>
          <w:b/>
        </w:rPr>
      </w:pPr>
    </w:p>
    <w:p w:rsidR="00651DD5" w:rsidRPr="00D175BE" w:rsidRDefault="00ED68BA" w:rsidP="00651DD5">
      <w:pPr>
        <w:autoSpaceDE w:val="0"/>
        <w:autoSpaceDN w:val="0"/>
        <w:adjustRightInd w:val="0"/>
        <w:spacing w:line="480" w:lineRule="auto"/>
        <w:rPr>
          <w:b/>
        </w:rPr>
      </w:pPr>
      <w:r w:rsidRPr="00D175BE">
        <w:rPr>
          <w:b/>
        </w:rPr>
        <w:t>DISCUSSION</w:t>
      </w:r>
      <w:r w:rsidR="00651DD5" w:rsidRPr="00D175BE">
        <w:rPr>
          <w:b/>
        </w:rPr>
        <w:t xml:space="preserve"> </w:t>
      </w:r>
    </w:p>
    <w:p w:rsidR="00651DD5" w:rsidRPr="00D175BE" w:rsidRDefault="00651DD5" w:rsidP="00651DD5">
      <w:pPr>
        <w:autoSpaceDE w:val="0"/>
        <w:autoSpaceDN w:val="0"/>
        <w:adjustRightInd w:val="0"/>
        <w:spacing w:line="480" w:lineRule="auto"/>
        <w:jc w:val="both"/>
      </w:pPr>
      <w:r w:rsidRPr="00D175BE">
        <w:t xml:space="preserve">Callus induction from PLB segments of </w:t>
      </w:r>
      <w:r w:rsidRPr="00D175BE">
        <w:rPr>
          <w:i/>
        </w:rPr>
        <w:t xml:space="preserve">B. auricomum </w:t>
      </w:r>
      <w:r w:rsidRPr="00D175BE">
        <w:t xml:space="preserve">was studied using various concentrations and combinations of TDZ and 2,4-D as reported </w:t>
      </w:r>
      <w:r>
        <w:t xml:space="preserve">in </w:t>
      </w:r>
      <w:r w:rsidRPr="00D175BE">
        <w:t xml:space="preserve">other orchid species by Chang and Chang (1998), Lin et al. (2000), Chen et al. (2000), Lee and Lee (2003) and Lu (2004). </w:t>
      </w:r>
      <w:r w:rsidRPr="00D175BE">
        <w:rPr>
          <w:color w:val="000000"/>
        </w:rPr>
        <w:t xml:space="preserve">In this study, callus </w:t>
      </w:r>
      <w:r>
        <w:rPr>
          <w:color w:val="000000"/>
        </w:rPr>
        <w:t>induced within one month of</w:t>
      </w:r>
      <w:r w:rsidRPr="00D175BE">
        <w:rPr>
          <w:color w:val="000000"/>
        </w:rPr>
        <w:t xml:space="preserve"> PLB</w:t>
      </w:r>
      <w:r>
        <w:rPr>
          <w:color w:val="000000"/>
        </w:rPr>
        <w:t xml:space="preserve"> </w:t>
      </w:r>
      <w:r w:rsidRPr="00D175BE">
        <w:rPr>
          <w:color w:val="000000"/>
        </w:rPr>
        <w:t>explant</w:t>
      </w:r>
      <w:r>
        <w:rPr>
          <w:color w:val="000000"/>
        </w:rPr>
        <w:t xml:space="preserve"> culture as </w:t>
      </w:r>
      <w:r w:rsidRPr="00D175BE">
        <w:rPr>
          <w:color w:val="000000"/>
        </w:rPr>
        <w:t xml:space="preserve">reported in </w:t>
      </w:r>
      <w:r w:rsidRPr="00D175BE">
        <w:rPr>
          <w:i/>
          <w:color w:val="000000"/>
        </w:rPr>
        <w:t>Cymbidium</w:t>
      </w:r>
      <w:r>
        <w:rPr>
          <w:color w:val="000000"/>
        </w:rPr>
        <w:t xml:space="preserve"> (Huan and Tanaka </w:t>
      </w:r>
      <w:r w:rsidRPr="00D175BE">
        <w:rPr>
          <w:color w:val="000000"/>
        </w:rPr>
        <w:t>2004)</w:t>
      </w:r>
      <w:r w:rsidR="00BC754A">
        <w:rPr>
          <w:color w:val="000000"/>
        </w:rPr>
        <w:t xml:space="preserve">. </w:t>
      </w:r>
      <w:r w:rsidRPr="00D175BE">
        <w:rPr>
          <w:color w:val="000000"/>
        </w:rPr>
        <w:t>On the contrary</w:t>
      </w:r>
      <w:r>
        <w:rPr>
          <w:color w:val="000000"/>
        </w:rPr>
        <w:t>,</w:t>
      </w:r>
      <w:r w:rsidRPr="00D175BE">
        <w:rPr>
          <w:color w:val="000000"/>
        </w:rPr>
        <w:t xml:space="preserve"> longer time (12–18 months) was required for callus induction from pseudobulb sections, rhizomes, and roots of seed-derived plantlets in </w:t>
      </w:r>
      <w:r w:rsidRPr="00D175BE">
        <w:rPr>
          <w:i/>
          <w:iCs/>
          <w:color w:val="000000"/>
        </w:rPr>
        <w:t xml:space="preserve">Cymbidium </w:t>
      </w:r>
      <w:r w:rsidRPr="00D175BE">
        <w:rPr>
          <w:i/>
          <w:iCs/>
          <w:color w:val="000000"/>
        </w:rPr>
        <w:lastRenderedPageBreak/>
        <w:t>ensifolium</w:t>
      </w:r>
      <w:r w:rsidRPr="00D175BE">
        <w:rPr>
          <w:iCs/>
          <w:color w:val="000000"/>
        </w:rPr>
        <w:t xml:space="preserve"> (</w:t>
      </w:r>
      <w:r w:rsidRPr="00D175BE">
        <w:t>Chang and Chang</w:t>
      </w:r>
      <w:r>
        <w:t xml:space="preserve"> </w:t>
      </w:r>
      <w:r w:rsidRPr="00D175BE">
        <w:t xml:space="preserve">1998). In </w:t>
      </w:r>
      <w:r w:rsidRPr="00D175BE">
        <w:rPr>
          <w:i/>
          <w:iCs/>
          <w:color w:val="000000"/>
        </w:rPr>
        <w:t>Phalaenopsis</w:t>
      </w:r>
      <w:r w:rsidRPr="00D175BE">
        <w:rPr>
          <w:iCs/>
          <w:color w:val="000000"/>
        </w:rPr>
        <w:t xml:space="preserve">, </w:t>
      </w:r>
      <w:r w:rsidRPr="00D175BE">
        <w:rPr>
          <w:color w:val="000000"/>
        </w:rPr>
        <w:t xml:space="preserve">callus induction from shoot-tips excised from floral buds was obtained after 7 months </w:t>
      </w:r>
      <w:r w:rsidRPr="00D175BE">
        <w:rPr>
          <w:iCs/>
          <w:color w:val="000000"/>
        </w:rPr>
        <w:t>(</w:t>
      </w:r>
      <w:r w:rsidRPr="00D175BE">
        <w:t>Tokuhara and Mii</w:t>
      </w:r>
      <w:r w:rsidRPr="00D175BE">
        <w:rPr>
          <w:color w:val="000000"/>
        </w:rPr>
        <w:t xml:space="preserve"> 2001). </w:t>
      </w:r>
      <w:r w:rsidRPr="00D175BE">
        <w:t xml:space="preserve">The results clearly indicated the </w:t>
      </w:r>
      <w:r>
        <w:t>crucial</w:t>
      </w:r>
      <w:r w:rsidRPr="00D175BE">
        <w:t xml:space="preserve"> role of exogenous PGRs on callus induction. </w:t>
      </w:r>
      <w:r w:rsidRPr="00D175BE">
        <w:rPr>
          <w:color w:val="000000"/>
        </w:rPr>
        <w:t xml:space="preserve">Callus induction in orchids requires PGR supplementations in the basal medium </w:t>
      </w:r>
      <w:r>
        <w:t>(</w:t>
      </w:r>
      <w:r w:rsidRPr="00D175BE">
        <w:t>Chen and Chang 2000a</w:t>
      </w:r>
      <w:r>
        <w:t>,</w:t>
      </w:r>
      <w:r w:rsidRPr="00D175BE">
        <w:t xml:space="preserve"> Lin et al.</w:t>
      </w:r>
      <w:r>
        <w:t xml:space="preserve"> 2000,</w:t>
      </w:r>
      <w:r w:rsidRPr="00D175BE">
        <w:t xml:space="preserve"> Roy and Banerjee</w:t>
      </w:r>
      <w:r>
        <w:t xml:space="preserve"> </w:t>
      </w:r>
      <w:r w:rsidRPr="00D175BE">
        <w:t>2003</w:t>
      </w:r>
      <w:r>
        <w:t>,</w:t>
      </w:r>
      <w:r w:rsidRPr="00D175BE">
        <w:t xml:space="preserve"> Huan et al.</w:t>
      </w:r>
      <w:r>
        <w:t xml:space="preserve"> </w:t>
      </w:r>
      <w:r w:rsidRPr="00D175BE">
        <w:t>2004)</w:t>
      </w:r>
      <w:r w:rsidR="003748C2">
        <w:t>.</w:t>
      </w:r>
      <w:r w:rsidRPr="00D175BE">
        <w:t xml:space="preserve"> Callus induc</w:t>
      </w:r>
      <w:r>
        <w:t>ed</w:t>
      </w:r>
      <w:r w:rsidRPr="00D175BE">
        <w:t xml:space="preserve"> in protocorm segment of </w:t>
      </w:r>
      <w:r w:rsidRPr="00D175BE">
        <w:rPr>
          <w:i/>
        </w:rPr>
        <w:t>Cypripedium formosanum</w:t>
      </w:r>
      <w:r w:rsidRPr="00D175BE">
        <w:t xml:space="preserve"> (Lee and Lee</w:t>
      </w:r>
      <w:r>
        <w:t xml:space="preserve"> </w:t>
      </w:r>
      <w:r w:rsidRPr="00D175BE">
        <w:t xml:space="preserve">2003) and shoot apex of </w:t>
      </w:r>
      <w:r w:rsidRPr="00D175BE">
        <w:rPr>
          <w:i/>
        </w:rPr>
        <w:t>Paphiopedilum</w:t>
      </w:r>
      <w:r w:rsidRPr="00D175BE">
        <w:t xml:space="preserve"> (Stewart and Button</w:t>
      </w:r>
      <w:r>
        <w:t xml:space="preserve"> </w:t>
      </w:r>
      <w:r w:rsidRPr="00D175BE">
        <w:t>1975) cultured on on</w:t>
      </w:r>
      <w:r>
        <w:t xml:space="preserve">ly 2,4-D supplemented medium </w:t>
      </w:r>
      <w:r w:rsidRPr="00D175BE">
        <w:t>failed to survive during subcultures. An auxin is generally required for the induction of callus from explants</w:t>
      </w:r>
      <w:r>
        <w:t>, however,</w:t>
      </w:r>
      <w:r w:rsidRPr="00D175BE">
        <w:t xml:space="preserve"> presence of a cytokinin may not be essential to differentiate callus especially from explants of monocotyledons (George et al. 2008). </w:t>
      </w:r>
    </w:p>
    <w:p w:rsidR="00651DD5" w:rsidRPr="00D175BE" w:rsidRDefault="00651DD5" w:rsidP="00651DD5">
      <w:pPr>
        <w:autoSpaceDE w:val="0"/>
        <w:autoSpaceDN w:val="0"/>
        <w:adjustRightInd w:val="0"/>
        <w:spacing w:line="480" w:lineRule="auto"/>
        <w:jc w:val="both"/>
      </w:pPr>
      <w:r w:rsidRPr="00D175BE">
        <w:t xml:space="preserve">Protocorm segment in </w:t>
      </w:r>
      <w:r w:rsidRPr="00D175BE">
        <w:rPr>
          <w:i/>
        </w:rPr>
        <w:t>Paphiopedilum</w:t>
      </w:r>
      <w:r w:rsidRPr="00D175BE">
        <w:t xml:space="preserve"> (Lin et al.</w:t>
      </w:r>
      <w:r>
        <w:t xml:space="preserve"> </w:t>
      </w:r>
      <w:r w:rsidRPr="00D175BE">
        <w:t xml:space="preserve"> 2000), </w:t>
      </w:r>
      <w:r w:rsidRPr="00D175BE">
        <w:rPr>
          <w:i/>
        </w:rPr>
        <w:t>C. formosanum</w:t>
      </w:r>
      <w:r w:rsidRPr="00D175BE">
        <w:t xml:space="preserve"> (Lee and Lee</w:t>
      </w:r>
      <w:r>
        <w:t xml:space="preserve"> </w:t>
      </w:r>
      <w:r w:rsidRPr="00D175BE">
        <w:t xml:space="preserve"> 2003), and PLB segments in </w:t>
      </w:r>
      <w:r w:rsidRPr="00D175BE">
        <w:rPr>
          <w:i/>
        </w:rPr>
        <w:t>Cymbidium</w:t>
      </w:r>
      <w:r w:rsidRPr="00D175BE">
        <w:t xml:space="preserve"> (Huan et al.</w:t>
      </w:r>
      <w:r>
        <w:t xml:space="preserve"> </w:t>
      </w:r>
      <w:r w:rsidRPr="00D175BE">
        <w:t xml:space="preserve">2004) did not show induction of callus in the presence of TDZ alone, as observed in the present study on </w:t>
      </w:r>
      <w:r w:rsidRPr="00D175BE">
        <w:rPr>
          <w:i/>
        </w:rPr>
        <w:t>B. auricomum</w:t>
      </w:r>
      <w:r w:rsidRPr="00D175BE">
        <w:t>. S</w:t>
      </w:r>
      <w:r w:rsidRPr="00D175BE">
        <w:rPr>
          <w:color w:val="000000"/>
        </w:rPr>
        <w:t xml:space="preserve">timulatory effects of TDZ in combination with 2,4-D for callus induction have also been reported in </w:t>
      </w:r>
      <w:r w:rsidRPr="00D175BE">
        <w:rPr>
          <w:i/>
          <w:color w:val="000000"/>
        </w:rPr>
        <w:t>Phalaenopsis</w:t>
      </w:r>
      <w:r w:rsidRPr="00D175BE">
        <w:rPr>
          <w:color w:val="000000"/>
        </w:rPr>
        <w:t xml:space="preserve"> (Chen et al.</w:t>
      </w:r>
      <w:r>
        <w:rPr>
          <w:color w:val="000000"/>
        </w:rPr>
        <w:t xml:space="preserve"> 2000),</w:t>
      </w:r>
      <w:r w:rsidRPr="00D175BE">
        <w:rPr>
          <w:color w:val="000000"/>
        </w:rPr>
        <w:t xml:space="preserve"> </w:t>
      </w:r>
      <w:r w:rsidRPr="00D175BE">
        <w:rPr>
          <w:i/>
          <w:iCs/>
          <w:color w:val="000000"/>
        </w:rPr>
        <w:t xml:space="preserve">Paphiopedilum </w:t>
      </w:r>
      <w:r w:rsidRPr="00D175BE">
        <w:rPr>
          <w:iCs/>
          <w:color w:val="000000"/>
        </w:rPr>
        <w:t>(Lin et al</w:t>
      </w:r>
      <w:r w:rsidRPr="00D175BE">
        <w:rPr>
          <w:color w:val="000000"/>
        </w:rPr>
        <w:t>.</w:t>
      </w:r>
      <w:r>
        <w:rPr>
          <w:color w:val="000000"/>
        </w:rPr>
        <w:t xml:space="preserve"> </w:t>
      </w:r>
      <w:r w:rsidRPr="00D175BE">
        <w:rPr>
          <w:color w:val="000000"/>
        </w:rPr>
        <w:t>2000)</w:t>
      </w:r>
      <w:r>
        <w:t>,</w:t>
      </w:r>
      <w:r w:rsidRPr="00D175BE">
        <w:t xml:space="preserve"> </w:t>
      </w:r>
      <w:r w:rsidRPr="00D175BE">
        <w:rPr>
          <w:i/>
        </w:rPr>
        <w:t>C. formosanum</w:t>
      </w:r>
      <w:r w:rsidRPr="00D175BE">
        <w:t xml:space="preserve"> (Lee and Lee</w:t>
      </w:r>
      <w:r>
        <w:t xml:space="preserve">  2003),</w:t>
      </w:r>
      <w:r w:rsidRPr="00D175BE">
        <w:t xml:space="preserve"> </w:t>
      </w:r>
      <w:r w:rsidRPr="00D175BE">
        <w:rPr>
          <w:i/>
        </w:rPr>
        <w:t>Cymbidium</w:t>
      </w:r>
      <w:r w:rsidRPr="00D175BE">
        <w:t xml:space="preserve"> Twilight Moon ‘Day light’ (Huan et al. 2004) and </w:t>
      </w:r>
      <w:r w:rsidRPr="00D175BE">
        <w:rPr>
          <w:i/>
        </w:rPr>
        <w:t>Pleione formosana</w:t>
      </w:r>
      <w:r w:rsidRPr="00D175BE">
        <w:t xml:space="preserve"> (Lu 2004). </w:t>
      </w:r>
      <w:r>
        <w:t xml:space="preserve">Thus </w:t>
      </w:r>
      <w:r w:rsidRPr="00D175BE">
        <w:t xml:space="preserve">it can be concluded that many species of orchids require supplementary cytokinin along with auxin for optimum response of callus induction and in some cases to prevent necrosis of callus </w:t>
      </w:r>
      <w:r w:rsidR="0056588E">
        <w:t>(</w:t>
      </w:r>
      <w:r>
        <w:t xml:space="preserve">Ignacimuthu et al. </w:t>
      </w:r>
      <w:r w:rsidRPr="00D175BE">
        <w:t xml:space="preserve">1999). </w:t>
      </w:r>
    </w:p>
    <w:p w:rsidR="00651DD5" w:rsidRPr="00D175BE" w:rsidRDefault="00651DD5" w:rsidP="00651DD5">
      <w:pPr>
        <w:autoSpaceDE w:val="0"/>
        <w:autoSpaceDN w:val="0"/>
        <w:adjustRightInd w:val="0"/>
        <w:spacing w:line="480" w:lineRule="auto"/>
        <w:jc w:val="both"/>
      </w:pPr>
      <w:r w:rsidRPr="00D175BE">
        <w:t>In orchids, successful reports on plant regeneration from totipotent callus have been limited due to slow growth rate and a tendency to become necrotic (Kerbauy</w:t>
      </w:r>
      <w:r>
        <w:t xml:space="preserve"> </w:t>
      </w:r>
      <w:r w:rsidRPr="00D175BE">
        <w:t xml:space="preserve">1991). </w:t>
      </w:r>
      <w:r w:rsidRPr="00D175BE">
        <w:rPr>
          <w:color w:val="000000"/>
        </w:rPr>
        <w:t>Chang and Chang (1998) reported callus induction from several kinds of explants in</w:t>
      </w:r>
      <w:r>
        <w:rPr>
          <w:color w:val="000000"/>
        </w:rPr>
        <w:t xml:space="preserve"> a</w:t>
      </w:r>
      <w:r w:rsidRPr="00D175BE">
        <w:rPr>
          <w:color w:val="000000"/>
        </w:rPr>
        <w:t xml:space="preserve"> terrestrial orchid</w:t>
      </w:r>
      <w:r>
        <w:rPr>
          <w:color w:val="000000"/>
        </w:rPr>
        <w:t>,</w:t>
      </w:r>
      <w:r w:rsidRPr="00D175BE">
        <w:rPr>
          <w:color w:val="000000"/>
        </w:rPr>
        <w:t xml:space="preserve"> </w:t>
      </w:r>
      <w:r w:rsidRPr="00D175BE">
        <w:rPr>
          <w:i/>
          <w:iCs/>
          <w:color w:val="000000"/>
        </w:rPr>
        <w:t>Cymbidium ensifolium</w:t>
      </w:r>
      <w:r w:rsidRPr="00D175BE">
        <w:rPr>
          <w:iCs/>
          <w:color w:val="000000"/>
        </w:rPr>
        <w:t>.</w:t>
      </w:r>
      <w:r w:rsidRPr="00D175BE">
        <w:rPr>
          <w:color w:val="000000"/>
        </w:rPr>
        <w:t xml:space="preserve"> Callus induction from these explants </w:t>
      </w:r>
      <w:r w:rsidRPr="00D175BE">
        <w:t>require</w:t>
      </w:r>
      <w:r>
        <w:t>s</w:t>
      </w:r>
      <w:r w:rsidRPr="00D175BE">
        <w:t xml:space="preserve"> high levels of PGRs and callus growth </w:t>
      </w:r>
      <w:r w:rsidRPr="00D175BE">
        <w:lastRenderedPageBreak/>
        <w:t xml:space="preserve">was slow, difficult and time consuming. In recent years, the callus induction frequency in orchids have been reported using different source of explants, for example, 25% </w:t>
      </w:r>
      <w:r>
        <w:t xml:space="preserve">from </w:t>
      </w:r>
      <w:r w:rsidRPr="00D175BE">
        <w:t>root tips (Chen and Chang</w:t>
      </w:r>
      <w:r>
        <w:t xml:space="preserve"> </w:t>
      </w:r>
      <w:r w:rsidRPr="00D175BE">
        <w:t>2000a</w:t>
      </w:r>
      <w:r>
        <w:t xml:space="preserve">), 66 </w:t>
      </w:r>
      <w:r w:rsidRPr="00D175BE">
        <w:t>% (Roy and Banerjee</w:t>
      </w:r>
      <w:r>
        <w:t xml:space="preserve"> 2003) and 46 </w:t>
      </w:r>
      <w:r w:rsidRPr="00D175BE">
        <w:t>% (Roy et al.</w:t>
      </w:r>
      <w:r>
        <w:t xml:space="preserve"> </w:t>
      </w:r>
      <w:r w:rsidRPr="00D175BE">
        <w:t xml:space="preserve">2007) </w:t>
      </w:r>
      <w:r>
        <w:t>from shoot tips,</w:t>
      </w:r>
      <w:r w:rsidRPr="00D175BE">
        <w:t xml:space="preserve"> 53% </w:t>
      </w:r>
      <w:r>
        <w:t>from PLB segments (Huan et al. 2004),</w:t>
      </w:r>
      <w:r w:rsidRPr="00D175BE">
        <w:t xml:space="preserve"> 50% </w:t>
      </w:r>
      <w:r>
        <w:t xml:space="preserve">from </w:t>
      </w:r>
      <w:r w:rsidRPr="00D175BE">
        <w:t>seed-derived protocorms (Lu</w:t>
      </w:r>
      <w:r>
        <w:t xml:space="preserve"> </w:t>
      </w:r>
      <w:r w:rsidRPr="00D175BE">
        <w:t>2004)</w:t>
      </w:r>
      <w:r>
        <w:t>,</w:t>
      </w:r>
      <w:r w:rsidRPr="00D175BE">
        <w:t xml:space="preserve"> and 82% </w:t>
      </w:r>
      <w:r>
        <w:t xml:space="preserve">from </w:t>
      </w:r>
      <w:r w:rsidRPr="00D175BE">
        <w:t xml:space="preserve">protocorm segments (Zhao et al. 2008). In the present study, </w:t>
      </w:r>
      <w:r w:rsidR="00F640FF">
        <w:t xml:space="preserve">hundred </w:t>
      </w:r>
      <w:r w:rsidRPr="00D175BE">
        <w:t xml:space="preserve">percent callus induction have been obtained from PLB explants cultured on basal medium supplemented with 1.0 </w:t>
      </w:r>
      <w:r>
        <w:t>mgl</w:t>
      </w:r>
      <w:r w:rsidRPr="00396011">
        <w:rPr>
          <w:vertAlign w:val="superscript"/>
        </w:rPr>
        <w:t>-1</w:t>
      </w:r>
      <w:r w:rsidR="0056588E">
        <w:t xml:space="preserve"> TDZ </w:t>
      </w:r>
      <w:r w:rsidRPr="00D175BE">
        <w:t xml:space="preserve">and 2.0 </w:t>
      </w:r>
      <w:r>
        <w:t>mgl</w:t>
      </w:r>
      <w:r w:rsidRPr="00396011">
        <w:rPr>
          <w:vertAlign w:val="superscript"/>
        </w:rPr>
        <w:t>-1</w:t>
      </w:r>
      <w:r w:rsidRPr="00D175BE">
        <w:t xml:space="preserve"> 2,4-D .  </w:t>
      </w:r>
    </w:p>
    <w:p w:rsidR="00651DD5" w:rsidRPr="00D175BE" w:rsidRDefault="00651DD5" w:rsidP="00651DD5">
      <w:pPr>
        <w:spacing w:line="480" w:lineRule="auto"/>
        <w:jc w:val="both"/>
      </w:pPr>
      <w:r w:rsidRPr="00D175BE">
        <w:t>In orchids, there are</w:t>
      </w:r>
      <w:r>
        <w:t xml:space="preserve"> only</w:t>
      </w:r>
      <w:r w:rsidRPr="00D175BE">
        <w:t xml:space="preserve"> few reports on callus induction and differentiation in callus cultures. In recent years, successful establishment of calli and regeneration of plantlets through PLB formation have been reported in some orchid species (Chen and Chang</w:t>
      </w:r>
      <w:r>
        <w:t xml:space="preserve"> </w:t>
      </w:r>
      <w:r w:rsidRPr="00D175BE">
        <w:t>2000a</w:t>
      </w:r>
      <w:r>
        <w:t>,</w:t>
      </w:r>
      <w:r w:rsidRPr="00D175BE">
        <w:t xml:space="preserve"> Lu</w:t>
      </w:r>
      <w:r>
        <w:t xml:space="preserve"> </w:t>
      </w:r>
      <w:r w:rsidRPr="00D175BE">
        <w:t>2004). The micropropagation through indirect PLB formation may be effective for the high frequency of somatic embryo formation and efficiency of embryo conversion into plants (Zhao et al.</w:t>
      </w:r>
      <w:r>
        <w:t xml:space="preserve"> </w:t>
      </w:r>
      <w:r w:rsidRPr="00D175BE">
        <w:t>2008). This type of morphogenesis has been reported in a number of orchid species (Colli and Kerbauy</w:t>
      </w:r>
      <w:r>
        <w:t xml:space="preserve"> 1993,</w:t>
      </w:r>
      <w:r w:rsidRPr="00D175BE">
        <w:t xml:space="preserve"> Chen and Chang</w:t>
      </w:r>
      <w:r>
        <w:t xml:space="preserve"> </w:t>
      </w:r>
      <w:r w:rsidRPr="00D175BE">
        <w:t>2000a</w:t>
      </w:r>
      <w:r>
        <w:t>,</w:t>
      </w:r>
      <w:r w:rsidRPr="00D175BE">
        <w:t xml:space="preserve"> Lin et al.</w:t>
      </w:r>
      <w:r>
        <w:t xml:space="preserve"> </w:t>
      </w:r>
      <w:r w:rsidRPr="00D175BE">
        <w:t>2000</w:t>
      </w:r>
      <w:r>
        <w:t>,</w:t>
      </w:r>
      <w:r w:rsidRPr="00D175BE">
        <w:t xml:space="preserve"> Lee and Lee</w:t>
      </w:r>
      <w:r>
        <w:t xml:space="preserve"> 2003,</w:t>
      </w:r>
      <w:r w:rsidRPr="00D175BE">
        <w:t xml:space="preserve"> Roy and Banerjee</w:t>
      </w:r>
      <w:r>
        <w:t xml:space="preserve"> 2003,</w:t>
      </w:r>
      <w:r w:rsidRPr="00D175BE">
        <w:t xml:space="preserve"> Huan and Tanaka</w:t>
      </w:r>
      <w:r>
        <w:t xml:space="preserve"> </w:t>
      </w:r>
      <w:r w:rsidRPr="00D175BE">
        <w:t>2004), and suggested that the process of somatic embryogenesis is a part of the early steps of PLB regeneration in orchids (Kerbauy</w:t>
      </w:r>
      <w:r>
        <w:t xml:space="preserve"> 1984,</w:t>
      </w:r>
      <w:r w:rsidRPr="00D175BE">
        <w:t xml:space="preserve"> Begum et al.</w:t>
      </w:r>
      <w:r>
        <w:t xml:space="preserve"> 1994,</w:t>
      </w:r>
      <w:r w:rsidRPr="00D175BE">
        <w:t xml:space="preserve"> Ishii et al.</w:t>
      </w:r>
      <w:r>
        <w:t xml:space="preserve"> 1998,</w:t>
      </w:r>
      <w:r w:rsidRPr="00D175BE">
        <w:t xml:space="preserve"> Chen and Chang</w:t>
      </w:r>
      <w:r>
        <w:t xml:space="preserve"> </w:t>
      </w:r>
      <w:r w:rsidRPr="00D175BE">
        <w:t>2000a</w:t>
      </w:r>
      <w:r>
        <w:t>,</w:t>
      </w:r>
      <w:r w:rsidRPr="00D175BE">
        <w:t xml:space="preserve"> Huan et al.</w:t>
      </w:r>
      <w:r>
        <w:t xml:space="preserve"> </w:t>
      </w:r>
      <w:r w:rsidRPr="00D175BE">
        <w:t>2004</w:t>
      </w:r>
      <w:r>
        <w:t>,</w:t>
      </w:r>
      <w:r w:rsidRPr="00D175BE">
        <w:t xml:space="preserve"> Zhao et al.</w:t>
      </w:r>
      <w:r>
        <w:t xml:space="preserve"> </w:t>
      </w:r>
      <w:r w:rsidRPr="00D175BE">
        <w:t xml:space="preserve">2008). Thus, the regeneration of PLB along with subsequent differentiation of shoot shows great potential as an attractive method for the mass production of this economically important orchid.   </w:t>
      </w:r>
    </w:p>
    <w:p w:rsidR="00651DD5" w:rsidRPr="00D175BE" w:rsidRDefault="00651DD5" w:rsidP="00651DD5">
      <w:pPr>
        <w:autoSpaceDE w:val="0"/>
        <w:autoSpaceDN w:val="0"/>
        <w:adjustRightInd w:val="0"/>
        <w:spacing w:line="480" w:lineRule="auto"/>
        <w:jc w:val="both"/>
      </w:pPr>
      <w:r w:rsidRPr="00D175BE">
        <w:t xml:space="preserve">The efficacy of low level of TDZ over other cytokinins for direct PLB formation was earlier reported in </w:t>
      </w:r>
      <w:r w:rsidRPr="00D175BE">
        <w:rPr>
          <w:i/>
        </w:rPr>
        <w:t>Doritaenopsis</w:t>
      </w:r>
      <w:r w:rsidRPr="00D175BE">
        <w:t xml:space="preserve"> (Park et al.</w:t>
      </w:r>
      <w:r>
        <w:t xml:space="preserve"> </w:t>
      </w:r>
      <w:r w:rsidRPr="00D175BE">
        <w:t>2003). TDZ has been reported to be effective in inducing morphogenesis in several orchids, such as increased protocorm proliferation rate, enhanced PLB formation (Ernst</w:t>
      </w:r>
      <w:r>
        <w:t xml:space="preserve"> </w:t>
      </w:r>
      <w:r w:rsidRPr="00D175BE">
        <w:t xml:space="preserve">1994), enhanced shoot regeneration and proliferation (Chen and </w:t>
      </w:r>
      <w:r w:rsidRPr="00D175BE">
        <w:rPr>
          <w:rFonts w:eastAsia="AdvP4DF60E"/>
        </w:rPr>
        <w:t>Piluek</w:t>
      </w:r>
      <w:r>
        <w:t xml:space="preserve"> 1995,</w:t>
      </w:r>
      <w:r w:rsidRPr="00D175BE">
        <w:t xml:space="preserve"> </w:t>
      </w:r>
      <w:r w:rsidRPr="00D175BE">
        <w:lastRenderedPageBreak/>
        <w:t>Chen and Chang</w:t>
      </w:r>
      <w:r>
        <w:t xml:space="preserve"> </w:t>
      </w:r>
      <w:r w:rsidRPr="00D175BE">
        <w:t>2000b) and direct somatic embryogenesis (Chen et al.</w:t>
      </w:r>
      <w:r>
        <w:t xml:space="preserve"> 1999,</w:t>
      </w:r>
      <w:r w:rsidRPr="00D175BE">
        <w:t xml:space="preserve"> Chen and Chang</w:t>
      </w:r>
      <w:r>
        <w:t xml:space="preserve"> </w:t>
      </w:r>
      <w:r w:rsidRPr="00D175BE">
        <w:t xml:space="preserve">2000b, 2001, 2002). However, TDZ inhibited shoot proliferation and root induction in </w:t>
      </w:r>
      <w:r w:rsidRPr="00D175BE">
        <w:rPr>
          <w:i/>
        </w:rPr>
        <w:t>Paphiopedilum</w:t>
      </w:r>
      <w:r w:rsidRPr="00D175BE">
        <w:t xml:space="preserve"> (Huang et al.</w:t>
      </w:r>
      <w:r>
        <w:t xml:space="preserve"> </w:t>
      </w:r>
      <w:r w:rsidRPr="00D175BE">
        <w:t>2001). In the present study, TDZ was found to be effective in shoot regeneration from callus cultures.</w:t>
      </w:r>
    </w:p>
    <w:p w:rsidR="00651DD5" w:rsidRPr="00D175BE" w:rsidRDefault="00651DD5" w:rsidP="00651DD5">
      <w:pPr>
        <w:autoSpaceDE w:val="0"/>
        <w:autoSpaceDN w:val="0"/>
        <w:adjustRightInd w:val="0"/>
        <w:spacing w:line="480" w:lineRule="auto"/>
        <w:jc w:val="both"/>
      </w:pPr>
      <w:r w:rsidRPr="00D175BE">
        <w:t xml:space="preserve">In </w:t>
      </w:r>
      <w:r w:rsidRPr="00D175BE">
        <w:rPr>
          <w:i/>
        </w:rPr>
        <w:t>B. auricomum</w:t>
      </w:r>
      <w:r w:rsidRPr="00D175BE">
        <w:t xml:space="preserve">, approximately 46 shoot buds could be induced </w:t>
      </w:r>
      <w:r>
        <w:t>from</w:t>
      </w:r>
      <w:r w:rsidRPr="00D175BE">
        <w:t xml:space="preserve"> 100 mg callus on basal medium containing 0.1 </w:t>
      </w:r>
      <w:r>
        <w:t>mgl</w:t>
      </w:r>
      <w:r w:rsidRPr="00396011">
        <w:rPr>
          <w:vertAlign w:val="superscript"/>
        </w:rPr>
        <w:t>-1</w:t>
      </w:r>
      <w:r w:rsidRPr="00D175BE">
        <w:t xml:space="preserve"> TDZ. Lin et al. (2000) have demonstrated that approximately 100 mg of protocorm-derived callus induced 3-7 shoot buds in optimal conditions in </w:t>
      </w:r>
      <w:r w:rsidRPr="00D175BE">
        <w:rPr>
          <w:i/>
        </w:rPr>
        <w:t>Paphiopedilum</w:t>
      </w:r>
      <w:r w:rsidRPr="00D175BE">
        <w:t xml:space="preserve">. Induction of 10.2 shoot buds was obtained from vegetative buds of floral stalk of </w:t>
      </w:r>
      <w:r w:rsidRPr="00D175BE">
        <w:rPr>
          <w:i/>
        </w:rPr>
        <w:t>Phalaenopsis</w:t>
      </w:r>
      <w:r w:rsidRPr="00D175BE">
        <w:t xml:space="preserve"> in presence of 1.0 </w:t>
      </w:r>
      <w:r>
        <w:t>mgl</w:t>
      </w:r>
      <w:r w:rsidRPr="00396011">
        <w:rPr>
          <w:vertAlign w:val="superscript"/>
        </w:rPr>
        <w:t>-1</w:t>
      </w:r>
      <w:r w:rsidRPr="00D175BE">
        <w:t xml:space="preserve"> TDZ (Chen and Piluek</w:t>
      </w:r>
      <w:r>
        <w:t xml:space="preserve"> </w:t>
      </w:r>
      <w:r w:rsidRPr="00D175BE">
        <w:t xml:space="preserve">1995). </w:t>
      </w:r>
      <w:r>
        <w:t>Hence,</w:t>
      </w:r>
      <w:r w:rsidRPr="00D175BE">
        <w:t xml:space="preserve"> shoot bud regeneration frequency in </w:t>
      </w:r>
      <w:r w:rsidRPr="00D175BE">
        <w:rPr>
          <w:i/>
        </w:rPr>
        <w:t>B. auricomum</w:t>
      </w:r>
      <w:r>
        <w:t xml:space="preserve"> was</w:t>
      </w:r>
      <w:r w:rsidRPr="00D175BE">
        <w:t xml:space="preserve"> much higher than reported from any other orchid species.  </w:t>
      </w:r>
    </w:p>
    <w:p w:rsidR="00651DD5" w:rsidRPr="00D175BE" w:rsidRDefault="00651DD5" w:rsidP="00651DD5">
      <w:pPr>
        <w:autoSpaceDE w:val="0"/>
        <w:autoSpaceDN w:val="0"/>
        <w:adjustRightInd w:val="0"/>
        <w:spacing w:line="480" w:lineRule="auto"/>
        <w:jc w:val="both"/>
      </w:pPr>
      <w:r w:rsidRPr="00D175BE">
        <w:t>Depending on the explant type and cultural conditions, direct somatic embryogenesis is the usual pathways in a number of orchid species (Colli and Kerbauy</w:t>
      </w:r>
      <w:r>
        <w:t xml:space="preserve"> </w:t>
      </w:r>
      <w:r w:rsidRPr="00D175BE">
        <w:t>1993), while in others an intermediary callus appeared to be a prerequisite for PLB regeneration (Chang and Chang</w:t>
      </w:r>
      <w:r>
        <w:t xml:space="preserve"> </w:t>
      </w:r>
      <w:r w:rsidRPr="00D175BE">
        <w:t>1998</w:t>
      </w:r>
      <w:r>
        <w:t>,</w:t>
      </w:r>
      <w:r w:rsidRPr="00D175BE">
        <w:t xml:space="preserve"> Ishii et al.</w:t>
      </w:r>
      <w:r>
        <w:t xml:space="preserve"> </w:t>
      </w:r>
      <w:r w:rsidRPr="00D175BE">
        <w:t xml:space="preserve">1998). </w:t>
      </w:r>
      <w:r>
        <w:t>Therefore</w:t>
      </w:r>
      <w:r w:rsidRPr="00D175BE">
        <w:t xml:space="preserve">, to make use of the morphogenic potential of callus as an effective system of micropropagation, it is essential to develop a reliable technique for callus induction. The protocol demonstrated in the present study for callus induction, proliferation and shoot regeneration in </w:t>
      </w:r>
      <w:r w:rsidRPr="00D175BE">
        <w:rPr>
          <w:i/>
        </w:rPr>
        <w:t>B. auricomum</w:t>
      </w:r>
      <w:r w:rsidRPr="00D175BE">
        <w:t xml:space="preserve"> is simple, efficient and could be applied for mass propagation of this valuable species. </w:t>
      </w:r>
    </w:p>
    <w:p w:rsidR="00651DD5" w:rsidRDefault="00651DD5" w:rsidP="00651DD5">
      <w:pPr>
        <w:spacing w:line="480" w:lineRule="auto"/>
        <w:jc w:val="both"/>
        <w:rPr>
          <w:b/>
        </w:rPr>
      </w:pPr>
    </w:p>
    <w:p w:rsidR="00651DD5" w:rsidRPr="00D175BE" w:rsidRDefault="00695D48" w:rsidP="00651DD5">
      <w:pPr>
        <w:spacing w:line="480" w:lineRule="auto"/>
        <w:jc w:val="both"/>
        <w:rPr>
          <w:b/>
        </w:rPr>
      </w:pPr>
      <w:r w:rsidRPr="00D175BE">
        <w:rPr>
          <w:b/>
        </w:rPr>
        <w:t>ACKNOWLEDGEMENTS</w:t>
      </w:r>
      <w:r>
        <w:rPr>
          <w:b/>
        </w:rPr>
        <w:t xml:space="preserve"> </w:t>
      </w:r>
      <w:r w:rsidR="00651DD5" w:rsidRPr="00D175BE">
        <w:t xml:space="preserve">MMMT thanks the OWSDW (formerly the Third World Organization for Women in Science, TWOWS), Italy for the award of TWOWS fellowship. The authors are grateful to the Programme Coordinator, Centre of Advanced Study, Department of Botany, University of Calcutta for the facilities provided. </w:t>
      </w:r>
    </w:p>
    <w:p w:rsidR="00651DD5" w:rsidRDefault="00651DD5" w:rsidP="00651DD5">
      <w:pPr>
        <w:spacing w:line="480" w:lineRule="auto"/>
        <w:jc w:val="both"/>
        <w:rPr>
          <w:b/>
        </w:rPr>
      </w:pPr>
    </w:p>
    <w:p w:rsidR="00651DD5" w:rsidRPr="00D175BE" w:rsidRDefault="00695D48" w:rsidP="00651DD5">
      <w:pPr>
        <w:spacing w:line="480" w:lineRule="auto"/>
        <w:jc w:val="both"/>
        <w:rPr>
          <w:b/>
        </w:rPr>
      </w:pPr>
      <w:r w:rsidRPr="00D175BE">
        <w:rPr>
          <w:b/>
        </w:rPr>
        <w:t>REFERENCES</w:t>
      </w:r>
    </w:p>
    <w:p w:rsidR="00A13780" w:rsidRPr="00A13780" w:rsidRDefault="00A13780" w:rsidP="00A13780">
      <w:pPr>
        <w:pStyle w:val="ListParagraph"/>
        <w:numPr>
          <w:ilvl w:val="0"/>
          <w:numId w:val="3"/>
        </w:numPr>
        <w:spacing w:line="360" w:lineRule="auto"/>
        <w:jc w:val="both"/>
      </w:pPr>
      <w:r w:rsidRPr="00A13780">
        <w:t>Arditti J</w:t>
      </w:r>
      <w:r>
        <w:t>.</w:t>
      </w:r>
      <w:r w:rsidRPr="00A13780">
        <w:t xml:space="preserve"> (2008) Micropropagation of orchids. </w:t>
      </w:r>
      <w:r w:rsidR="00E97DA2">
        <w:t xml:space="preserve">Second Edition, </w:t>
      </w:r>
      <w:r w:rsidRPr="00A13780">
        <w:t>Jhon Wiley and Sons, New York</w:t>
      </w:r>
      <w:r w:rsidR="00C41B34">
        <w:t>, 139</w:t>
      </w:r>
      <w:r>
        <w:t>pp.</w:t>
      </w:r>
    </w:p>
    <w:p w:rsidR="00651DD5" w:rsidRPr="00A13780" w:rsidRDefault="00651DD5" w:rsidP="00651DD5">
      <w:pPr>
        <w:numPr>
          <w:ilvl w:val="0"/>
          <w:numId w:val="3"/>
        </w:numPr>
        <w:autoSpaceDE w:val="0"/>
        <w:autoSpaceDN w:val="0"/>
        <w:adjustRightInd w:val="0"/>
        <w:spacing w:line="480" w:lineRule="auto"/>
        <w:jc w:val="both"/>
        <w:rPr>
          <w:color w:val="141314"/>
        </w:rPr>
      </w:pPr>
      <w:r w:rsidRPr="00A13780">
        <w:rPr>
          <w:color w:val="141314"/>
        </w:rPr>
        <w:t xml:space="preserve">Begum A.A., Tamaki M., Tahara M., Kato S. (1994). Somatic embryogenesis in </w:t>
      </w:r>
      <w:r w:rsidRPr="00A13780">
        <w:rPr>
          <w:i/>
          <w:color w:val="141314"/>
        </w:rPr>
        <w:t xml:space="preserve">Cymbidium </w:t>
      </w:r>
      <w:r w:rsidRPr="00A13780">
        <w:rPr>
          <w:color w:val="141314"/>
        </w:rPr>
        <w:t xml:space="preserve">through </w:t>
      </w:r>
      <w:r w:rsidRPr="00A13780">
        <w:rPr>
          <w:i/>
          <w:color w:val="141314"/>
        </w:rPr>
        <w:t>in vitro</w:t>
      </w:r>
      <w:r w:rsidRPr="00A13780">
        <w:rPr>
          <w:color w:val="141314"/>
        </w:rPr>
        <w:t xml:space="preserve"> culture of inner tissue of protocorm like bodies. Journal of Japanese Society for Horticultural Science, 63: 419–427.</w:t>
      </w:r>
    </w:p>
    <w:p w:rsidR="00651DD5" w:rsidRPr="00A13780" w:rsidRDefault="00651DD5" w:rsidP="00651DD5">
      <w:pPr>
        <w:numPr>
          <w:ilvl w:val="0"/>
          <w:numId w:val="3"/>
        </w:numPr>
        <w:autoSpaceDE w:val="0"/>
        <w:autoSpaceDN w:val="0"/>
        <w:adjustRightInd w:val="0"/>
        <w:spacing w:line="480" w:lineRule="auto"/>
        <w:jc w:val="both"/>
        <w:rPr>
          <w:color w:val="141314"/>
        </w:rPr>
      </w:pPr>
      <w:r w:rsidRPr="00A13780">
        <w:rPr>
          <w:color w:val="141314"/>
        </w:rPr>
        <w:t xml:space="preserve">Chang C., Chang W.C. (1998). Plant regeneration from callus culture of </w:t>
      </w:r>
      <w:r w:rsidRPr="00A13780">
        <w:rPr>
          <w:i/>
          <w:color w:val="141314"/>
        </w:rPr>
        <w:t>Cymbidium ensifolium</w:t>
      </w:r>
      <w:r w:rsidRPr="00A13780">
        <w:rPr>
          <w:color w:val="141314"/>
        </w:rPr>
        <w:t xml:space="preserve"> var. misericors. Plant Cell Reports, 17: 251–255. </w:t>
      </w:r>
    </w:p>
    <w:p w:rsidR="00651DD5" w:rsidRPr="00D175BE" w:rsidRDefault="00651DD5" w:rsidP="00651DD5">
      <w:pPr>
        <w:numPr>
          <w:ilvl w:val="0"/>
          <w:numId w:val="3"/>
        </w:numPr>
        <w:autoSpaceDE w:val="0"/>
        <w:autoSpaceDN w:val="0"/>
        <w:adjustRightInd w:val="0"/>
        <w:spacing w:line="480" w:lineRule="auto"/>
        <w:jc w:val="both"/>
        <w:rPr>
          <w:rFonts w:eastAsia="Calibri"/>
        </w:rPr>
      </w:pPr>
      <w:r w:rsidRPr="00A13780">
        <w:t xml:space="preserve">Chang C., Chang W.C. (2000). </w:t>
      </w:r>
      <w:r w:rsidRPr="00A13780">
        <w:rPr>
          <w:rFonts w:eastAsia="Calibri"/>
          <w:bCs/>
        </w:rPr>
        <w:t>Effect of thidiazuron on</w:t>
      </w:r>
      <w:r w:rsidRPr="00D175BE">
        <w:rPr>
          <w:rFonts w:eastAsia="Calibri"/>
          <w:bCs/>
        </w:rPr>
        <w:t xml:space="preserve"> bud development of </w:t>
      </w:r>
      <w:r w:rsidRPr="00D175BE">
        <w:rPr>
          <w:rFonts w:eastAsia="Calibri"/>
          <w:bCs/>
          <w:i/>
          <w:iCs/>
        </w:rPr>
        <w:t xml:space="preserve">Cymbidium sinense </w:t>
      </w:r>
      <w:r w:rsidRPr="00D175BE">
        <w:rPr>
          <w:rFonts w:eastAsia="Calibri"/>
          <w:bCs/>
        </w:rPr>
        <w:t xml:space="preserve">Willd </w:t>
      </w:r>
      <w:r w:rsidRPr="00D175BE">
        <w:rPr>
          <w:rFonts w:eastAsia="Calibri"/>
          <w:bCs/>
          <w:i/>
          <w:iCs/>
        </w:rPr>
        <w:t>in vitro.</w:t>
      </w:r>
      <w:r w:rsidRPr="00D175BE">
        <w:rPr>
          <w:rFonts w:eastAsia="Calibri"/>
          <w:bCs/>
          <w:iCs/>
        </w:rPr>
        <w:t xml:space="preserve"> </w:t>
      </w:r>
      <w:r w:rsidRPr="00D175BE">
        <w:rPr>
          <w:rFonts w:eastAsia="Calibri"/>
          <w:iCs/>
        </w:rPr>
        <w:t>Plant Growth Regul</w:t>
      </w:r>
      <w:r>
        <w:rPr>
          <w:rFonts w:eastAsia="Calibri"/>
          <w:iCs/>
        </w:rPr>
        <w:t>ation,</w:t>
      </w:r>
      <w:r w:rsidRPr="00D175BE">
        <w:rPr>
          <w:rFonts w:eastAsia="Calibri"/>
          <w:bCs/>
        </w:rPr>
        <w:t xml:space="preserve"> 30</w:t>
      </w:r>
      <w:r>
        <w:rPr>
          <w:rFonts w:eastAsia="Calibri"/>
          <w:bCs/>
        </w:rPr>
        <w:t xml:space="preserve">: </w:t>
      </w:r>
      <w:r w:rsidRPr="00D175BE">
        <w:rPr>
          <w:rFonts w:eastAsia="Calibri"/>
        </w:rPr>
        <w:t>171–175</w:t>
      </w:r>
      <w:r>
        <w:rPr>
          <w:rFonts w:eastAsia="Calibri"/>
        </w:rPr>
        <w:t xml:space="preserve">. </w:t>
      </w:r>
    </w:p>
    <w:p w:rsidR="00651DD5" w:rsidRPr="00D175BE" w:rsidRDefault="00651DD5" w:rsidP="00651DD5">
      <w:pPr>
        <w:numPr>
          <w:ilvl w:val="0"/>
          <w:numId w:val="3"/>
        </w:numPr>
        <w:autoSpaceDE w:val="0"/>
        <w:autoSpaceDN w:val="0"/>
        <w:adjustRightInd w:val="0"/>
        <w:spacing w:line="480" w:lineRule="auto"/>
        <w:jc w:val="both"/>
        <w:rPr>
          <w:rFonts w:eastAsia="Calibri"/>
          <w:color w:val="141314"/>
        </w:rPr>
      </w:pPr>
      <w:r w:rsidRPr="00D175BE">
        <w:rPr>
          <w:rFonts w:eastAsia="Calibri"/>
          <w:color w:val="141314"/>
        </w:rPr>
        <w:t>Chen</w:t>
      </w:r>
      <w:r>
        <w:rPr>
          <w:rFonts w:eastAsia="Calibri"/>
          <w:color w:val="141314"/>
        </w:rPr>
        <w:t xml:space="preserve"> </w:t>
      </w:r>
      <w:r w:rsidRPr="00D175BE">
        <w:rPr>
          <w:rFonts w:eastAsia="Calibri"/>
          <w:color w:val="141314"/>
        </w:rPr>
        <w:t>J</w:t>
      </w:r>
      <w:r>
        <w:rPr>
          <w:rFonts w:eastAsia="Calibri"/>
          <w:color w:val="141314"/>
        </w:rPr>
        <w:t>.</w:t>
      </w:r>
      <w:r w:rsidRPr="00D175BE">
        <w:rPr>
          <w:rFonts w:eastAsia="Calibri"/>
          <w:color w:val="141314"/>
        </w:rPr>
        <w:t>T</w:t>
      </w:r>
      <w:r>
        <w:rPr>
          <w:rFonts w:eastAsia="Calibri"/>
          <w:color w:val="141314"/>
        </w:rPr>
        <w:t xml:space="preserve">., Chang </w:t>
      </w:r>
      <w:r w:rsidRPr="00D175BE">
        <w:rPr>
          <w:rFonts w:eastAsia="Calibri"/>
          <w:color w:val="141314"/>
        </w:rPr>
        <w:t>C</w:t>
      </w:r>
      <w:r>
        <w:rPr>
          <w:rFonts w:eastAsia="Calibri"/>
          <w:color w:val="141314"/>
        </w:rPr>
        <w:t>.</w:t>
      </w:r>
      <w:r w:rsidRPr="00D175BE">
        <w:rPr>
          <w:rFonts w:eastAsia="Calibri"/>
          <w:color w:val="141314"/>
        </w:rPr>
        <w:t>, Chang W</w:t>
      </w:r>
      <w:r>
        <w:rPr>
          <w:rFonts w:eastAsia="Calibri"/>
          <w:color w:val="141314"/>
        </w:rPr>
        <w:t>.</w:t>
      </w:r>
      <w:r w:rsidRPr="00D175BE">
        <w:rPr>
          <w:rFonts w:eastAsia="Calibri"/>
          <w:color w:val="141314"/>
        </w:rPr>
        <w:t>C</w:t>
      </w:r>
      <w:r>
        <w:rPr>
          <w:rFonts w:eastAsia="Calibri"/>
          <w:color w:val="141314"/>
        </w:rPr>
        <w:t>.</w:t>
      </w:r>
      <w:r w:rsidRPr="00D175BE">
        <w:rPr>
          <w:rFonts w:eastAsia="Calibri"/>
          <w:color w:val="141314"/>
        </w:rPr>
        <w:t xml:space="preserve"> </w:t>
      </w:r>
      <w:r>
        <w:rPr>
          <w:rFonts w:eastAsia="Calibri"/>
          <w:color w:val="141314"/>
        </w:rPr>
        <w:t>(</w:t>
      </w:r>
      <w:r w:rsidRPr="00D175BE">
        <w:rPr>
          <w:rFonts w:eastAsia="Calibri"/>
          <w:color w:val="141314"/>
        </w:rPr>
        <w:t>1999</w:t>
      </w:r>
      <w:r>
        <w:rPr>
          <w:rFonts w:eastAsia="Calibri"/>
          <w:color w:val="141314"/>
        </w:rPr>
        <w:t xml:space="preserve">). </w:t>
      </w:r>
      <w:r w:rsidRPr="00D175BE">
        <w:rPr>
          <w:rFonts w:eastAsia="Calibri"/>
          <w:color w:val="141314"/>
        </w:rPr>
        <w:t xml:space="preserve">Direct somatic embryogenesis on leaf explants of </w:t>
      </w:r>
      <w:r w:rsidRPr="00D175BE">
        <w:rPr>
          <w:rFonts w:eastAsia="Calibri"/>
          <w:i/>
          <w:color w:val="141314"/>
        </w:rPr>
        <w:t>Oncidium</w:t>
      </w:r>
      <w:r w:rsidRPr="00D175BE">
        <w:rPr>
          <w:rFonts w:eastAsia="Calibri"/>
          <w:color w:val="141314"/>
        </w:rPr>
        <w:t xml:space="preserve"> ‘Gower Ramsey’ and subsequent plant regeneration. Plant Cell Rep</w:t>
      </w:r>
      <w:r>
        <w:rPr>
          <w:rFonts w:eastAsia="Calibri"/>
          <w:color w:val="141314"/>
        </w:rPr>
        <w:t xml:space="preserve">orts, </w:t>
      </w:r>
      <w:r w:rsidRPr="00D175BE">
        <w:rPr>
          <w:rFonts w:eastAsia="Calibri"/>
          <w:color w:val="141314"/>
        </w:rPr>
        <w:t>19</w:t>
      </w:r>
      <w:r>
        <w:rPr>
          <w:rFonts w:eastAsia="Calibri"/>
          <w:color w:val="141314"/>
        </w:rPr>
        <w:t xml:space="preserve">: </w:t>
      </w:r>
      <w:r w:rsidRPr="00D175BE">
        <w:rPr>
          <w:rFonts w:eastAsia="Calibri"/>
          <w:color w:val="141314"/>
        </w:rPr>
        <w:t>143–149</w:t>
      </w:r>
      <w:r>
        <w:rPr>
          <w:rFonts w:eastAsia="Calibri"/>
          <w:color w:val="141314"/>
        </w:rPr>
        <w:t xml:space="preserve">. </w:t>
      </w:r>
    </w:p>
    <w:p w:rsidR="00651DD5" w:rsidRPr="00A9603E" w:rsidRDefault="00651DD5" w:rsidP="00651DD5">
      <w:pPr>
        <w:numPr>
          <w:ilvl w:val="0"/>
          <w:numId w:val="3"/>
        </w:numPr>
        <w:autoSpaceDE w:val="0"/>
        <w:autoSpaceDN w:val="0"/>
        <w:adjustRightInd w:val="0"/>
        <w:spacing w:line="480" w:lineRule="auto"/>
        <w:jc w:val="both"/>
        <w:rPr>
          <w:rFonts w:eastAsia="AdvP4DF60E"/>
        </w:rPr>
      </w:pPr>
      <w:r w:rsidRPr="00150F41">
        <w:rPr>
          <w:rFonts w:eastAsia="AdvP4DF60E"/>
        </w:rPr>
        <w:t>Chen J</w:t>
      </w:r>
      <w:r>
        <w:rPr>
          <w:rFonts w:eastAsia="AdvP4DF60E"/>
        </w:rPr>
        <w:t>.</w:t>
      </w:r>
      <w:r w:rsidRPr="00150F41">
        <w:rPr>
          <w:rFonts w:eastAsia="AdvP4DF60E"/>
        </w:rPr>
        <w:t>T</w:t>
      </w:r>
      <w:r>
        <w:rPr>
          <w:rFonts w:eastAsia="AdvP4DF60E"/>
        </w:rPr>
        <w:t>.</w:t>
      </w:r>
      <w:r w:rsidRPr="00150F41">
        <w:rPr>
          <w:rFonts w:eastAsia="AdvP4DF60E"/>
        </w:rPr>
        <w:t>, Chang W</w:t>
      </w:r>
      <w:r>
        <w:rPr>
          <w:rFonts w:eastAsia="AdvP4DF60E"/>
        </w:rPr>
        <w:t>.</w:t>
      </w:r>
      <w:r w:rsidRPr="00150F41">
        <w:rPr>
          <w:rFonts w:eastAsia="AdvP4DF60E"/>
        </w:rPr>
        <w:t>C</w:t>
      </w:r>
      <w:r>
        <w:rPr>
          <w:rFonts w:eastAsia="AdvP4DF60E"/>
        </w:rPr>
        <w:t>.</w:t>
      </w:r>
      <w:r w:rsidRPr="00150F41">
        <w:rPr>
          <w:rFonts w:eastAsia="AdvP4DF60E"/>
        </w:rPr>
        <w:t xml:space="preserve"> (2000a)</w:t>
      </w:r>
      <w:r>
        <w:rPr>
          <w:rFonts w:eastAsia="AdvP4DF60E"/>
        </w:rPr>
        <w:t xml:space="preserve">. </w:t>
      </w:r>
      <w:r w:rsidRPr="00150F41">
        <w:rPr>
          <w:rFonts w:eastAsia="AdvP4DF60E"/>
        </w:rPr>
        <w:t xml:space="preserve">Plant regeneration via embryo and shoot bud formation from flower-stalk explants of </w:t>
      </w:r>
      <w:r w:rsidRPr="00150F41">
        <w:rPr>
          <w:rFonts w:eastAsia="AdvP4DF60E"/>
          <w:i/>
        </w:rPr>
        <w:t xml:space="preserve">Oncidium </w:t>
      </w:r>
      <w:r w:rsidRPr="00150F41">
        <w:rPr>
          <w:rFonts w:eastAsia="AdvP4DF60E"/>
        </w:rPr>
        <w:t xml:space="preserve">Sweet Sugar. </w:t>
      </w:r>
      <w:r w:rsidRPr="00A9603E">
        <w:rPr>
          <w:rFonts w:eastAsia="AdvP4DF60E"/>
        </w:rPr>
        <w:t xml:space="preserve">Plant Cell, Tissue and Organ Culture, 62: 95–100. </w:t>
      </w:r>
    </w:p>
    <w:p w:rsidR="00651DD5" w:rsidRPr="00150F41" w:rsidRDefault="00651DD5" w:rsidP="00651DD5">
      <w:pPr>
        <w:numPr>
          <w:ilvl w:val="0"/>
          <w:numId w:val="3"/>
        </w:numPr>
        <w:autoSpaceDE w:val="0"/>
        <w:autoSpaceDN w:val="0"/>
        <w:adjustRightInd w:val="0"/>
        <w:spacing w:line="480" w:lineRule="auto"/>
        <w:rPr>
          <w:color w:val="141314"/>
        </w:rPr>
      </w:pPr>
      <w:r w:rsidRPr="00150F41">
        <w:rPr>
          <w:color w:val="141314"/>
        </w:rPr>
        <w:t>Chen J</w:t>
      </w:r>
      <w:r>
        <w:rPr>
          <w:color w:val="141314"/>
        </w:rPr>
        <w:t>.</w:t>
      </w:r>
      <w:r w:rsidRPr="00150F41">
        <w:rPr>
          <w:color w:val="141314"/>
        </w:rPr>
        <w:t>T</w:t>
      </w:r>
      <w:r>
        <w:rPr>
          <w:color w:val="141314"/>
        </w:rPr>
        <w:t>.</w:t>
      </w:r>
      <w:r w:rsidRPr="00150F41">
        <w:rPr>
          <w:color w:val="141314"/>
        </w:rPr>
        <w:t>, Chang W</w:t>
      </w:r>
      <w:r>
        <w:rPr>
          <w:color w:val="141314"/>
        </w:rPr>
        <w:t>.</w:t>
      </w:r>
      <w:r w:rsidRPr="00150F41">
        <w:rPr>
          <w:color w:val="141314"/>
        </w:rPr>
        <w:t>C</w:t>
      </w:r>
      <w:r>
        <w:rPr>
          <w:color w:val="141314"/>
        </w:rPr>
        <w:t>.</w:t>
      </w:r>
      <w:r w:rsidRPr="00150F41">
        <w:rPr>
          <w:color w:val="141314"/>
        </w:rPr>
        <w:t xml:space="preserve"> (2000</w:t>
      </w:r>
      <w:r>
        <w:rPr>
          <w:color w:val="141314"/>
        </w:rPr>
        <w:t>b</w:t>
      </w:r>
      <w:r w:rsidRPr="00150F41">
        <w:rPr>
          <w:color w:val="141314"/>
        </w:rPr>
        <w:t>)</w:t>
      </w:r>
      <w:r>
        <w:rPr>
          <w:color w:val="141314"/>
        </w:rPr>
        <w:t>.</w:t>
      </w:r>
      <w:r w:rsidRPr="00150F41">
        <w:rPr>
          <w:color w:val="141314"/>
        </w:rPr>
        <w:t xml:space="preserve"> Efficient plant regeneration through somatic embryogenesis from callus of </w:t>
      </w:r>
      <w:r w:rsidRPr="00150F41">
        <w:rPr>
          <w:i/>
          <w:color w:val="141314"/>
        </w:rPr>
        <w:t>Oncidium</w:t>
      </w:r>
      <w:r w:rsidRPr="00150F41">
        <w:rPr>
          <w:color w:val="141314"/>
        </w:rPr>
        <w:t xml:space="preserve"> (Orchidaceae). </w:t>
      </w:r>
      <w:r w:rsidRPr="00541E79">
        <w:rPr>
          <w:color w:val="141314"/>
        </w:rPr>
        <w:t>Plant Science</w:t>
      </w:r>
      <w:r>
        <w:rPr>
          <w:color w:val="141314"/>
        </w:rPr>
        <w:t>,</w:t>
      </w:r>
      <w:r w:rsidRPr="00150F41">
        <w:rPr>
          <w:color w:val="141314"/>
        </w:rPr>
        <w:t xml:space="preserve"> 160:</w:t>
      </w:r>
      <w:r>
        <w:rPr>
          <w:color w:val="141314"/>
        </w:rPr>
        <w:t xml:space="preserve"> </w:t>
      </w:r>
      <w:r w:rsidRPr="00150F41">
        <w:rPr>
          <w:color w:val="141314"/>
        </w:rPr>
        <w:t>87–93</w:t>
      </w:r>
      <w:r>
        <w:rPr>
          <w:color w:val="141314"/>
        </w:rPr>
        <w:t xml:space="preserve">. </w:t>
      </w:r>
    </w:p>
    <w:p w:rsidR="00651DD5" w:rsidRPr="00D175BE" w:rsidRDefault="00651DD5" w:rsidP="00651DD5">
      <w:pPr>
        <w:numPr>
          <w:ilvl w:val="0"/>
          <w:numId w:val="3"/>
        </w:numPr>
        <w:autoSpaceDE w:val="0"/>
        <w:autoSpaceDN w:val="0"/>
        <w:adjustRightInd w:val="0"/>
        <w:spacing w:line="480" w:lineRule="auto"/>
        <w:jc w:val="both"/>
        <w:rPr>
          <w:rFonts w:eastAsia="Calibri"/>
        </w:rPr>
      </w:pPr>
      <w:r>
        <w:rPr>
          <w:rFonts w:eastAsia="Calibri"/>
        </w:rPr>
        <w:t>Chen</w:t>
      </w:r>
      <w:r w:rsidRPr="00D175BE">
        <w:rPr>
          <w:rFonts w:eastAsia="Calibri"/>
        </w:rPr>
        <w:t xml:space="preserve"> J</w:t>
      </w:r>
      <w:r>
        <w:rPr>
          <w:rFonts w:eastAsia="Calibri"/>
        </w:rPr>
        <w:t>.</w:t>
      </w:r>
      <w:r w:rsidRPr="00D175BE">
        <w:rPr>
          <w:rFonts w:eastAsia="Calibri"/>
        </w:rPr>
        <w:t>T</w:t>
      </w:r>
      <w:r>
        <w:rPr>
          <w:rFonts w:eastAsia="Calibri"/>
        </w:rPr>
        <w:t>.</w:t>
      </w:r>
      <w:r w:rsidRPr="00D175BE">
        <w:rPr>
          <w:rFonts w:eastAsia="Calibri"/>
        </w:rPr>
        <w:t>, Chang W</w:t>
      </w:r>
      <w:r>
        <w:rPr>
          <w:rFonts w:eastAsia="Calibri"/>
        </w:rPr>
        <w:t>.C.</w:t>
      </w:r>
      <w:r w:rsidRPr="00D175BE">
        <w:rPr>
          <w:rFonts w:eastAsia="Calibri"/>
        </w:rPr>
        <w:t xml:space="preserve"> </w:t>
      </w:r>
      <w:r>
        <w:rPr>
          <w:rFonts w:eastAsia="Calibri"/>
        </w:rPr>
        <w:t>(</w:t>
      </w:r>
      <w:r w:rsidRPr="00D175BE">
        <w:rPr>
          <w:rFonts w:eastAsia="Calibri"/>
        </w:rPr>
        <w:t>2001</w:t>
      </w:r>
      <w:r>
        <w:rPr>
          <w:rFonts w:eastAsia="Calibri"/>
        </w:rPr>
        <w:t>).</w:t>
      </w:r>
      <w:r w:rsidRPr="00D175BE">
        <w:rPr>
          <w:rFonts w:eastAsia="Calibri"/>
        </w:rPr>
        <w:t xml:space="preserve"> Effects of auxins and cytokinins on direct somatic embryogenesis from leaf explants of </w:t>
      </w:r>
      <w:r w:rsidRPr="00D175BE">
        <w:rPr>
          <w:rFonts w:eastAsia="Calibri"/>
          <w:i/>
          <w:iCs/>
        </w:rPr>
        <w:t xml:space="preserve">Oncidium </w:t>
      </w:r>
      <w:r w:rsidRPr="00D175BE">
        <w:rPr>
          <w:rFonts w:eastAsia="Calibri"/>
        </w:rPr>
        <w:t>‘Go</w:t>
      </w:r>
      <w:r>
        <w:rPr>
          <w:rFonts w:eastAsia="Calibri"/>
        </w:rPr>
        <w:t>wer Ramsey’. Plant Growth Regulation,</w:t>
      </w:r>
      <w:r w:rsidRPr="00D175BE">
        <w:rPr>
          <w:rFonts w:eastAsia="Calibri"/>
        </w:rPr>
        <w:t xml:space="preserve"> 34</w:t>
      </w:r>
      <w:r>
        <w:rPr>
          <w:rFonts w:eastAsia="Calibri"/>
        </w:rPr>
        <w:t xml:space="preserve">: </w:t>
      </w:r>
      <w:r w:rsidRPr="00D175BE">
        <w:rPr>
          <w:rFonts w:eastAsia="Calibri"/>
        </w:rPr>
        <w:t>229–232</w:t>
      </w:r>
      <w:r>
        <w:rPr>
          <w:rFonts w:eastAsia="Calibri"/>
        </w:rPr>
        <w:t xml:space="preserve">. </w:t>
      </w:r>
    </w:p>
    <w:p w:rsidR="00651DD5" w:rsidRPr="00D175BE" w:rsidRDefault="00651DD5" w:rsidP="00651DD5">
      <w:pPr>
        <w:numPr>
          <w:ilvl w:val="0"/>
          <w:numId w:val="3"/>
        </w:numPr>
        <w:autoSpaceDE w:val="0"/>
        <w:autoSpaceDN w:val="0"/>
        <w:adjustRightInd w:val="0"/>
        <w:spacing w:line="480" w:lineRule="auto"/>
        <w:jc w:val="both"/>
        <w:rPr>
          <w:rFonts w:eastAsia="Calibri"/>
          <w:color w:val="141314"/>
        </w:rPr>
      </w:pPr>
      <w:r w:rsidRPr="008C705C">
        <w:rPr>
          <w:rFonts w:eastAsia="Calibri"/>
          <w:color w:val="141314"/>
        </w:rPr>
        <w:lastRenderedPageBreak/>
        <w:t>Chen J</w:t>
      </w:r>
      <w:r>
        <w:rPr>
          <w:rFonts w:eastAsia="Calibri"/>
          <w:color w:val="141314"/>
        </w:rPr>
        <w:t>.</w:t>
      </w:r>
      <w:r w:rsidRPr="008C705C">
        <w:rPr>
          <w:rFonts w:eastAsia="Calibri"/>
          <w:color w:val="141314"/>
        </w:rPr>
        <w:t>T</w:t>
      </w:r>
      <w:r>
        <w:rPr>
          <w:rFonts w:eastAsia="Calibri"/>
          <w:color w:val="141314"/>
        </w:rPr>
        <w:t>.</w:t>
      </w:r>
      <w:r w:rsidRPr="008C705C">
        <w:rPr>
          <w:rFonts w:eastAsia="Calibri"/>
          <w:color w:val="141314"/>
        </w:rPr>
        <w:t>, Chang W</w:t>
      </w:r>
      <w:r>
        <w:rPr>
          <w:rFonts w:eastAsia="Calibri"/>
          <w:color w:val="141314"/>
        </w:rPr>
        <w:t>.</w:t>
      </w:r>
      <w:r w:rsidRPr="008C705C">
        <w:rPr>
          <w:rFonts w:eastAsia="Calibri"/>
          <w:color w:val="141314"/>
        </w:rPr>
        <w:t>C</w:t>
      </w:r>
      <w:r>
        <w:rPr>
          <w:rFonts w:eastAsia="Calibri"/>
          <w:color w:val="141314"/>
        </w:rPr>
        <w:t>.</w:t>
      </w:r>
      <w:r w:rsidRPr="008C705C">
        <w:rPr>
          <w:rFonts w:eastAsia="Calibri"/>
          <w:color w:val="141314"/>
        </w:rPr>
        <w:t xml:space="preserve"> (2002)</w:t>
      </w:r>
      <w:r>
        <w:rPr>
          <w:rFonts w:eastAsia="Calibri"/>
          <w:color w:val="141314"/>
        </w:rPr>
        <w:t>.</w:t>
      </w:r>
      <w:r w:rsidRPr="008C705C">
        <w:rPr>
          <w:rFonts w:eastAsia="Calibri"/>
          <w:color w:val="141314"/>
        </w:rPr>
        <w:t xml:space="preserve"> Effects of tissue culture conditions and explants characteristics on direct somatic embryogenesis in </w:t>
      </w:r>
      <w:r w:rsidRPr="008C705C">
        <w:rPr>
          <w:rFonts w:eastAsia="Calibri"/>
          <w:i/>
          <w:color w:val="141314"/>
        </w:rPr>
        <w:t xml:space="preserve">Oncidium </w:t>
      </w:r>
      <w:r w:rsidRPr="008C705C">
        <w:rPr>
          <w:rFonts w:eastAsia="Calibri"/>
          <w:color w:val="141314"/>
        </w:rPr>
        <w:t>‘Gower Ramsey’. Plant Cell</w:t>
      </w:r>
      <w:r>
        <w:rPr>
          <w:rFonts w:eastAsia="Calibri"/>
          <w:color w:val="141314"/>
        </w:rPr>
        <w:t>,</w:t>
      </w:r>
      <w:r w:rsidRPr="008C705C">
        <w:rPr>
          <w:rFonts w:eastAsia="Calibri"/>
          <w:color w:val="141314"/>
        </w:rPr>
        <w:t xml:space="preserve"> Tissue </w:t>
      </w:r>
      <w:r>
        <w:rPr>
          <w:rFonts w:eastAsia="Calibri"/>
          <w:color w:val="141314"/>
        </w:rPr>
        <w:t xml:space="preserve">and </w:t>
      </w:r>
      <w:r w:rsidRPr="008C705C">
        <w:rPr>
          <w:rFonts w:eastAsia="Calibri"/>
          <w:color w:val="141314"/>
        </w:rPr>
        <w:t>Org</w:t>
      </w:r>
      <w:r>
        <w:rPr>
          <w:rFonts w:eastAsia="Calibri"/>
          <w:color w:val="141314"/>
        </w:rPr>
        <w:t>an</w:t>
      </w:r>
      <w:r w:rsidRPr="008C705C">
        <w:rPr>
          <w:rFonts w:eastAsia="Calibri"/>
          <w:color w:val="141314"/>
        </w:rPr>
        <w:t xml:space="preserve"> Cult</w:t>
      </w:r>
      <w:r>
        <w:rPr>
          <w:rFonts w:eastAsia="Calibri"/>
          <w:color w:val="141314"/>
        </w:rPr>
        <w:t>ure,</w:t>
      </w:r>
      <w:r w:rsidRPr="008C705C">
        <w:rPr>
          <w:rFonts w:eastAsia="Calibri"/>
          <w:color w:val="141314"/>
        </w:rPr>
        <w:t xml:space="preserve"> </w:t>
      </w:r>
      <w:r>
        <w:rPr>
          <w:rFonts w:eastAsia="Calibri"/>
          <w:color w:val="141314"/>
        </w:rPr>
        <w:t>6</w:t>
      </w:r>
      <w:r w:rsidRPr="008C705C">
        <w:rPr>
          <w:rFonts w:eastAsia="Calibri"/>
          <w:color w:val="141314"/>
        </w:rPr>
        <w:t>9:</w:t>
      </w:r>
      <w:r>
        <w:rPr>
          <w:rFonts w:eastAsia="Calibri"/>
          <w:color w:val="141314"/>
        </w:rPr>
        <w:t xml:space="preserve"> </w:t>
      </w:r>
      <w:r w:rsidRPr="008C705C">
        <w:rPr>
          <w:rFonts w:eastAsia="Calibri"/>
          <w:color w:val="141314"/>
        </w:rPr>
        <w:t>41–44</w:t>
      </w:r>
      <w:r>
        <w:rPr>
          <w:rFonts w:eastAsia="Calibri"/>
          <w:color w:val="141314"/>
        </w:rPr>
        <w:t xml:space="preserve">. </w:t>
      </w:r>
    </w:p>
    <w:p w:rsidR="00651DD5" w:rsidRPr="00D175BE" w:rsidRDefault="00651DD5" w:rsidP="00651DD5">
      <w:pPr>
        <w:numPr>
          <w:ilvl w:val="0"/>
          <w:numId w:val="3"/>
        </w:numPr>
        <w:autoSpaceDE w:val="0"/>
        <w:autoSpaceDN w:val="0"/>
        <w:adjustRightInd w:val="0"/>
        <w:spacing w:line="480" w:lineRule="auto"/>
        <w:jc w:val="both"/>
        <w:rPr>
          <w:rFonts w:eastAsia="AdvP4DF60E"/>
        </w:rPr>
      </w:pPr>
      <w:r>
        <w:rPr>
          <w:rFonts w:eastAsia="AdvP4DF60E"/>
        </w:rPr>
        <w:t xml:space="preserve">Chen </w:t>
      </w:r>
      <w:r w:rsidRPr="00D175BE">
        <w:rPr>
          <w:rFonts w:eastAsia="AdvP4DF60E"/>
        </w:rPr>
        <w:t>Y</w:t>
      </w:r>
      <w:r>
        <w:rPr>
          <w:rFonts w:eastAsia="AdvP4DF60E"/>
        </w:rPr>
        <w:t>.</w:t>
      </w:r>
      <w:r w:rsidRPr="00D175BE">
        <w:rPr>
          <w:rFonts w:eastAsia="AdvP4DF60E"/>
        </w:rPr>
        <w:t>, Piluek C</w:t>
      </w:r>
      <w:r>
        <w:rPr>
          <w:rFonts w:eastAsia="AdvP4DF60E"/>
        </w:rPr>
        <w:t>.</w:t>
      </w:r>
      <w:r w:rsidRPr="00D175BE">
        <w:rPr>
          <w:rFonts w:eastAsia="AdvP4DF60E"/>
        </w:rPr>
        <w:t xml:space="preserve"> </w:t>
      </w:r>
      <w:r>
        <w:rPr>
          <w:rFonts w:eastAsia="AdvP4DF60E"/>
        </w:rPr>
        <w:t>(</w:t>
      </w:r>
      <w:r w:rsidRPr="00D175BE">
        <w:rPr>
          <w:rFonts w:eastAsia="AdvP4DF60E"/>
        </w:rPr>
        <w:t>1995</w:t>
      </w:r>
      <w:r>
        <w:rPr>
          <w:rFonts w:eastAsia="AdvP4DF60E"/>
        </w:rPr>
        <w:t>).</w:t>
      </w:r>
      <w:r w:rsidRPr="00D175BE">
        <w:rPr>
          <w:rFonts w:eastAsia="AdvP4DF60E"/>
        </w:rPr>
        <w:t xml:space="preserve"> Effects of thidiazuron and N</w:t>
      </w:r>
      <w:r w:rsidRPr="00D175BE">
        <w:rPr>
          <w:rFonts w:eastAsia="AdvP4DF60E"/>
          <w:vertAlign w:val="superscript"/>
        </w:rPr>
        <w:t>6</w:t>
      </w:r>
      <w:r w:rsidRPr="00D175BE">
        <w:rPr>
          <w:rFonts w:eastAsia="AdvP4DF60E"/>
        </w:rPr>
        <w:t xml:space="preserve">-benzylaminopurine on shoot regeneration of </w:t>
      </w:r>
      <w:r w:rsidRPr="00D175BE">
        <w:rPr>
          <w:rFonts w:eastAsia="AdvP4DF60E"/>
          <w:i/>
        </w:rPr>
        <w:t>Phalaenopsis</w:t>
      </w:r>
      <w:r w:rsidRPr="00D175BE">
        <w:rPr>
          <w:rFonts w:eastAsia="AdvP4DF60E"/>
        </w:rPr>
        <w:t>. Plant Growth Regul</w:t>
      </w:r>
      <w:r>
        <w:rPr>
          <w:rFonts w:eastAsia="AdvP4DF60E"/>
        </w:rPr>
        <w:t>ation,</w:t>
      </w:r>
      <w:r w:rsidRPr="00D175BE">
        <w:rPr>
          <w:rFonts w:eastAsia="AdvP4DF60E"/>
        </w:rPr>
        <w:t xml:space="preserve"> 16</w:t>
      </w:r>
      <w:r>
        <w:rPr>
          <w:rFonts w:eastAsia="AdvP4DF60E"/>
        </w:rPr>
        <w:t xml:space="preserve">: </w:t>
      </w:r>
      <w:r w:rsidRPr="00D175BE">
        <w:rPr>
          <w:rFonts w:eastAsia="AdvP4DF60E"/>
        </w:rPr>
        <w:t>99–101</w:t>
      </w:r>
      <w:r>
        <w:rPr>
          <w:rFonts w:eastAsia="AdvP4DF60E"/>
        </w:rPr>
        <w:t xml:space="preserve">. </w:t>
      </w:r>
    </w:p>
    <w:p w:rsidR="00651DD5" w:rsidRPr="00D175BE" w:rsidRDefault="00651DD5" w:rsidP="00651DD5">
      <w:pPr>
        <w:numPr>
          <w:ilvl w:val="0"/>
          <w:numId w:val="3"/>
        </w:numPr>
        <w:spacing w:line="480" w:lineRule="auto"/>
        <w:jc w:val="both"/>
      </w:pPr>
      <w:r>
        <w:t>Chen</w:t>
      </w:r>
      <w:r w:rsidRPr="00D175BE">
        <w:t xml:space="preserve"> Y</w:t>
      </w:r>
      <w:r>
        <w:t>.</w:t>
      </w:r>
      <w:r w:rsidRPr="00D175BE">
        <w:t>C</w:t>
      </w:r>
      <w:r>
        <w:t>.</w:t>
      </w:r>
      <w:r w:rsidRPr="00D175BE">
        <w:t>, Chang C</w:t>
      </w:r>
      <w:r>
        <w:t>.</w:t>
      </w:r>
      <w:r w:rsidRPr="00D175BE">
        <w:t>, Chang W</w:t>
      </w:r>
      <w:r>
        <w:t>.C.</w:t>
      </w:r>
      <w:r w:rsidRPr="00D175BE">
        <w:t xml:space="preserve"> </w:t>
      </w:r>
      <w:r>
        <w:t>(</w:t>
      </w:r>
      <w:r w:rsidRPr="00D175BE">
        <w:t>2000</w:t>
      </w:r>
      <w:r>
        <w:t>).</w:t>
      </w:r>
      <w:r w:rsidRPr="00D175BE">
        <w:t xml:space="preserve"> A reliable protocol for plant regeneration from callus culture of </w:t>
      </w:r>
      <w:r w:rsidRPr="00D175BE">
        <w:rPr>
          <w:i/>
        </w:rPr>
        <w:t>Phalaenopsis</w:t>
      </w:r>
      <w:r>
        <w:t>. In Vitro Cell</w:t>
      </w:r>
      <w:r w:rsidRPr="00D175BE">
        <w:t xml:space="preserve"> Dev</w:t>
      </w:r>
      <w:r>
        <w:t>elopment</w:t>
      </w:r>
      <w:r w:rsidRPr="00D175BE">
        <w:t xml:space="preserve"> Biol</w:t>
      </w:r>
      <w:r>
        <w:t>ogy-</w:t>
      </w:r>
      <w:r w:rsidRPr="00D175BE">
        <w:t xml:space="preserve"> Plant</w:t>
      </w:r>
      <w:r>
        <w:t>,</w:t>
      </w:r>
      <w:r w:rsidRPr="00D175BE">
        <w:t xml:space="preserve"> 36</w:t>
      </w:r>
      <w:r>
        <w:t xml:space="preserve">: </w:t>
      </w:r>
      <w:r w:rsidRPr="00D175BE">
        <w:t>120-123</w:t>
      </w:r>
      <w:r>
        <w:t xml:space="preserve">. </w:t>
      </w:r>
      <w:r w:rsidRPr="00D175BE">
        <w:t xml:space="preserve"> </w:t>
      </w:r>
    </w:p>
    <w:p w:rsidR="00651DD5" w:rsidRPr="00D175BE" w:rsidRDefault="00651DD5" w:rsidP="00651DD5">
      <w:pPr>
        <w:numPr>
          <w:ilvl w:val="0"/>
          <w:numId w:val="3"/>
        </w:numPr>
        <w:autoSpaceDE w:val="0"/>
        <w:autoSpaceDN w:val="0"/>
        <w:adjustRightInd w:val="0"/>
        <w:spacing w:line="480" w:lineRule="auto"/>
        <w:jc w:val="both"/>
        <w:rPr>
          <w:rFonts w:eastAsia="Calibri"/>
          <w:color w:val="141314"/>
        </w:rPr>
      </w:pPr>
      <w:r>
        <w:rPr>
          <w:rFonts w:eastAsia="Calibri"/>
          <w:color w:val="141314"/>
        </w:rPr>
        <w:t>Colli</w:t>
      </w:r>
      <w:r w:rsidRPr="00D175BE">
        <w:rPr>
          <w:rFonts w:eastAsia="Calibri"/>
          <w:color w:val="141314"/>
        </w:rPr>
        <w:t xml:space="preserve"> S</w:t>
      </w:r>
      <w:r>
        <w:rPr>
          <w:rFonts w:eastAsia="Calibri"/>
          <w:color w:val="141314"/>
        </w:rPr>
        <w:t>., Kerbauy</w:t>
      </w:r>
      <w:r w:rsidRPr="00D175BE">
        <w:rPr>
          <w:rFonts w:eastAsia="Calibri"/>
          <w:color w:val="141314"/>
        </w:rPr>
        <w:t xml:space="preserve"> G</w:t>
      </w:r>
      <w:r>
        <w:rPr>
          <w:rFonts w:eastAsia="Calibri"/>
          <w:color w:val="141314"/>
        </w:rPr>
        <w:t>.B.</w:t>
      </w:r>
      <w:r w:rsidRPr="00D175BE">
        <w:rPr>
          <w:rFonts w:eastAsia="Calibri"/>
          <w:color w:val="141314"/>
        </w:rPr>
        <w:t xml:space="preserve"> </w:t>
      </w:r>
      <w:r>
        <w:rPr>
          <w:rFonts w:eastAsia="Calibri"/>
          <w:color w:val="141314"/>
        </w:rPr>
        <w:t>(</w:t>
      </w:r>
      <w:r w:rsidRPr="00D175BE">
        <w:rPr>
          <w:rFonts w:eastAsia="Calibri"/>
          <w:color w:val="141314"/>
        </w:rPr>
        <w:t>1993</w:t>
      </w:r>
      <w:r>
        <w:rPr>
          <w:rFonts w:eastAsia="Calibri"/>
          <w:color w:val="141314"/>
        </w:rPr>
        <w:t>).</w:t>
      </w:r>
      <w:r w:rsidRPr="00D175BE">
        <w:rPr>
          <w:rFonts w:eastAsia="Calibri"/>
          <w:color w:val="141314"/>
        </w:rPr>
        <w:t xml:space="preserve"> Direct root tip conversion of </w:t>
      </w:r>
      <w:r w:rsidRPr="00D175BE">
        <w:rPr>
          <w:rFonts w:eastAsia="Calibri"/>
          <w:i/>
          <w:color w:val="141314"/>
        </w:rPr>
        <w:t>Catasetum</w:t>
      </w:r>
      <w:r w:rsidRPr="00D175BE">
        <w:rPr>
          <w:rFonts w:eastAsia="Calibri"/>
          <w:color w:val="141314"/>
        </w:rPr>
        <w:t xml:space="preserve"> into protocorm-like bodies: effect of auxin and cytokinin. Plant Cell</w:t>
      </w:r>
      <w:r>
        <w:rPr>
          <w:rFonts w:eastAsia="Calibri"/>
          <w:color w:val="141314"/>
        </w:rPr>
        <w:t>,</w:t>
      </w:r>
      <w:r w:rsidRPr="00D175BE">
        <w:rPr>
          <w:rFonts w:eastAsia="Calibri"/>
          <w:color w:val="141314"/>
        </w:rPr>
        <w:t xml:space="preserve"> Tissue </w:t>
      </w:r>
      <w:r>
        <w:rPr>
          <w:rFonts w:eastAsia="Calibri"/>
          <w:color w:val="141314"/>
        </w:rPr>
        <w:t xml:space="preserve">and </w:t>
      </w:r>
      <w:r w:rsidRPr="00D175BE">
        <w:rPr>
          <w:rFonts w:eastAsia="Calibri"/>
          <w:color w:val="141314"/>
        </w:rPr>
        <w:t>Org</w:t>
      </w:r>
      <w:r>
        <w:rPr>
          <w:rFonts w:eastAsia="Calibri"/>
          <w:color w:val="141314"/>
        </w:rPr>
        <w:t>an</w:t>
      </w:r>
      <w:r w:rsidRPr="00D175BE">
        <w:rPr>
          <w:rFonts w:eastAsia="Calibri"/>
          <w:color w:val="141314"/>
        </w:rPr>
        <w:t xml:space="preserve"> Cult</w:t>
      </w:r>
      <w:r>
        <w:rPr>
          <w:rFonts w:eastAsia="Calibri"/>
          <w:color w:val="141314"/>
        </w:rPr>
        <w:t>ure,</w:t>
      </w:r>
      <w:r w:rsidRPr="00D175BE">
        <w:rPr>
          <w:rFonts w:eastAsia="Calibri"/>
          <w:color w:val="141314"/>
        </w:rPr>
        <w:t xml:space="preserve"> 33</w:t>
      </w:r>
      <w:r>
        <w:rPr>
          <w:rFonts w:eastAsia="Calibri"/>
          <w:color w:val="141314"/>
        </w:rPr>
        <w:t xml:space="preserve">: </w:t>
      </w:r>
      <w:r w:rsidRPr="00D175BE">
        <w:rPr>
          <w:rFonts w:eastAsia="Calibri"/>
          <w:color w:val="141314"/>
        </w:rPr>
        <w:t>39–</w:t>
      </w:r>
      <w:r>
        <w:rPr>
          <w:rFonts w:eastAsia="Calibri"/>
          <w:color w:val="141314"/>
        </w:rPr>
        <w:t>4</w:t>
      </w:r>
      <w:r w:rsidRPr="00D175BE">
        <w:rPr>
          <w:rFonts w:eastAsia="Calibri"/>
          <w:color w:val="141314"/>
        </w:rPr>
        <w:t>4</w:t>
      </w:r>
      <w:r>
        <w:rPr>
          <w:rFonts w:eastAsia="Calibri"/>
          <w:color w:val="141314"/>
        </w:rPr>
        <w:t xml:space="preserve">. </w:t>
      </w:r>
    </w:p>
    <w:p w:rsidR="00651DD5" w:rsidRPr="00D175BE" w:rsidRDefault="00651DD5" w:rsidP="00651DD5">
      <w:pPr>
        <w:numPr>
          <w:ilvl w:val="0"/>
          <w:numId w:val="3"/>
        </w:numPr>
        <w:autoSpaceDE w:val="0"/>
        <w:autoSpaceDN w:val="0"/>
        <w:adjustRightInd w:val="0"/>
        <w:spacing w:line="480" w:lineRule="auto"/>
        <w:jc w:val="both"/>
        <w:rPr>
          <w:rFonts w:eastAsia="Calibri"/>
        </w:rPr>
      </w:pPr>
      <w:r w:rsidRPr="00D175BE">
        <w:rPr>
          <w:rFonts w:eastAsia="Calibri"/>
        </w:rPr>
        <w:t>Ernst R</w:t>
      </w:r>
      <w:r>
        <w:rPr>
          <w:rFonts w:eastAsia="Calibri"/>
        </w:rPr>
        <w:t>.</w:t>
      </w:r>
      <w:r w:rsidRPr="00D175BE">
        <w:rPr>
          <w:rFonts w:eastAsia="Calibri"/>
        </w:rPr>
        <w:t xml:space="preserve"> </w:t>
      </w:r>
      <w:r>
        <w:rPr>
          <w:rFonts w:eastAsia="Calibri"/>
        </w:rPr>
        <w:t>(1994).</w:t>
      </w:r>
      <w:r w:rsidRPr="00D175BE">
        <w:rPr>
          <w:rFonts w:eastAsia="Calibri"/>
        </w:rPr>
        <w:t xml:space="preserve"> Effect of thidiazuron on </w:t>
      </w:r>
      <w:r w:rsidRPr="00D175BE">
        <w:rPr>
          <w:rFonts w:eastAsia="Calibri"/>
          <w:i/>
          <w:iCs/>
        </w:rPr>
        <w:t xml:space="preserve">in vitro </w:t>
      </w:r>
      <w:r w:rsidRPr="00D175BE">
        <w:rPr>
          <w:rFonts w:eastAsia="Calibri"/>
        </w:rPr>
        <w:t xml:space="preserve">propagation of </w:t>
      </w:r>
      <w:r w:rsidRPr="00D175BE">
        <w:rPr>
          <w:rFonts w:eastAsia="Calibri"/>
          <w:i/>
          <w:iCs/>
        </w:rPr>
        <w:t xml:space="preserve">Phalaenopsis </w:t>
      </w:r>
      <w:r w:rsidRPr="00D175BE">
        <w:rPr>
          <w:rFonts w:eastAsia="Calibri"/>
        </w:rPr>
        <w:t xml:space="preserve">and </w:t>
      </w:r>
      <w:r w:rsidRPr="00D175BE">
        <w:rPr>
          <w:rFonts w:eastAsia="Calibri"/>
          <w:i/>
          <w:iCs/>
        </w:rPr>
        <w:t xml:space="preserve">Doritaenopsis </w:t>
      </w:r>
      <w:r w:rsidRPr="00D175BE">
        <w:rPr>
          <w:rFonts w:eastAsia="Calibri"/>
        </w:rPr>
        <w:t>(Orch</w:t>
      </w:r>
      <w:r>
        <w:rPr>
          <w:rFonts w:eastAsia="Calibri"/>
        </w:rPr>
        <w:t>idaceae). Plant Cell, Tissue and Organ</w:t>
      </w:r>
      <w:r w:rsidRPr="00D175BE">
        <w:rPr>
          <w:rFonts w:eastAsia="Calibri"/>
        </w:rPr>
        <w:t xml:space="preserve"> Cult</w:t>
      </w:r>
      <w:r>
        <w:rPr>
          <w:rFonts w:eastAsia="Calibri"/>
        </w:rPr>
        <w:t>ure,</w:t>
      </w:r>
      <w:r w:rsidRPr="00D175BE">
        <w:rPr>
          <w:rFonts w:eastAsia="Calibri"/>
        </w:rPr>
        <w:t xml:space="preserve"> 39</w:t>
      </w:r>
      <w:r>
        <w:rPr>
          <w:rFonts w:eastAsia="Calibri"/>
        </w:rPr>
        <w:t xml:space="preserve">: </w:t>
      </w:r>
      <w:r w:rsidRPr="00D175BE">
        <w:rPr>
          <w:rFonts w:eastAsia="Calibri"/>
        </w:rPr>
        <w:t>273–275</w:t>
      </w:r>
      <w:r>
        <w:rPr>
          <w:rFonts w:eastAsia="Calibri"/>
        </w:rPr>
        <w:t xml:space="preserve">. </w:t>
      </w:r>
    </w:p>
    <w:p w:rsidR="004A14C1" w:rsidRPr="004A14C1" w:rsidRDefault="00651DD5" w:rsidP="00651DD5">
      <w:pPr>
        <w:numPr>
          <w:ilvl w:val="0"/>
          <w:numId w:val="3"/>
        </w:numPr>
        <w:autoSpaceDE w:val="0"/>
        <w:autoSpaceDN w:val="0"/>
        <w:adjustRightInd w:val="0"/>
        <w:spacing w:line="480" w:lineRule="auto"/>
        <w:jc w:val="both"/>
        <w:rPr>
          <w:color w:val="141314"/>
        </w:rPr>
      </w:pPr>
      <w:r w:rsidRPr="0033653F">
        <w:t>George E.F., Michael A.H., Klerk G.J.D. (2008). In: Plant</w:t>
      </w:r>
      <w:r w:rsidRPr="00D175BE">
        <w:t xml:space="preserve"> propagation by tissue culture. </w:t>
      </w:r>
      <w:r>
        <w:t>v</w:t>
      </w:r>
      <w:r w:rsidRPr="00D175BE">
        <w:t>ol.1. The Background</w:t>
      </w:r>
      <w:r>
        <w:t>, Third Edition, Springer Publisher:</w:t>
      </w:r>
      <w:r w:rsidRPr="008F6E2B">
        <w:t xml:space="preserve"> Dordrecht; London</w:t>
      </w:r>
      <w:r>
        <w:t>,</w:t>
      </w:r>
      <w:r w:rsidR="00AE6A1F">
        <w:t xml:space="preserve"> 175-205pp.</w:t>
      </w:r>
      <w:r w:rsidR="004A14C1">
        <w:t xml:space="preserve"> </w:t>
      </w:r>
      <w:r>
        <w:t xml:space="preserve"> </w:t>
      </w:r>
    </w:p>
    <w:p w:rsidR="00651DD5" w:rsidRPr="004A14C1" w:rsidRDefault="00651DD5" w:rsidP="00651DD5">
      <w:pPr>
        <w:numPr>
          <w:ilvl w:val="0"/>
          <w:numId w:val="3"/>
        </w:numPr>
        <w:autoSpaceDE w:val="0"/>
        <w:autoSpaceDN w:val="0"/>
        <w:adjustRightInd w:val="0"/>
        <w:spacing w:line="480" w:lineRule="auto"/>
        <w:jc w:val="both"/>
        <w:rPr>
          <w:color w:val="141314"/>
        </w:rPr>
      </w:pPr>
      <w:r w:rsidRPr="004A14C1">
        <w:rPr>
          <w:color w:val="141314"/>
        </w:rPr>
        <w:t xml:space="preserve">Huan L.V.T., Takamura T., Tanaka M. (2004). Callus formation and plant regeneration from callus through somatic embryo structures in </w:t>
      </w:r>
      <w:r w:rsidRPr="004A14C1">
        <w:rPr>
          <w:i/>
          <w:color w:val="141314"/>
        </w:rPr>
        <w:t xml:space="preserve">Cymbidium </w:t>
      </w:r>
      <w:r w:rsidRPr="004A14C1">
        <w:rPr>
          <w:color w:val="141314"/>
        </w:rPr>
        <w:t xml:space="preserve">orchid. Plant Science, 166: 1443–1449. </w:t>
      </w:r>
    </w:p>
    <w:p w:rsidR="00651DD5" w:rsidRPr="00D175BE" w:rsidRDefault="00651DD5" w:rsidP="00651DD5">
      <w:pPr>
        <w:numPr>
          <w:ilvl w:val="0"/>
          <w:numId w:val="3"/>
        </w:numPr>
        <w:autoSpaceDE w:val="0"/>
        <w:autoSpaceDN w:val="0"/>
        <w:adjustRightInd w:val="0"/>
        <w:spacing w:line="480" w:lineRule="auto"/>
        <w:jc w:val="both"/>
        <w:rPr>
          <w:rFonts w:eastAsia="Calibri"/>
        </w:rPr>
      </w:pPr>
      <w:r w:rsidRPr="00D175BE">
        <w:rPr>
          <w:rFonts w:eastAsia="Calibri"/>
        </w:rPr>
        <w:t>Huan L</w:t>
      </w:r>
      <w:r>
        <w:rPr>
          <w:rFonts w:eastAsia="Calibri"/>
        </w:rPr>
        <w:t>.</w:t>
      </w:r>
      <w:r w:rsidRPr="00D175BE">
        <w:rPr>
          <w:rFonts w:eastAsia="Calibri"/>
        </w:rPr>
        <w:t>V</w:t>
      </w:r>
      <w:r>
        <w:rPr>
          <w:rFonts w:eastAsia="Calibri"/>
        </w:rPr>
        <w:t>.T.</w:t>
      </w:r>
      <w:r w:rsidRPr="00D175BE">
        <w:rPr>
          <w:rFonts w:eastAsia="Calibri"/>
        </w:rPr>
        <w:t>, Tanaka M</w:t>
      </w:r>
      <w:r>
        <w:rPr>
          <w:rFonts w:eastAsia="Calibri"/>
        </w:rPr>
        <w:t>.</w:t>
      </w:r>
      <w:r w:rsidRPr="00D175BE">
        <w:rPr>
          <w:rFonts w:eastAsia="Calibri"/>
        </w:rPr>
        <w:t xml:space="preserve"> </w:t>
      </w:r>
      <w:r>
        <w:rPr>
          <w:rFonts w:eastAsia="Calibri"/>
        </w:rPr>
        <w:t>(</w:t>
      </w:r>
      <w:r w:rsidRPr="00D175BE">
        <w:rPr>
          <w:rFonts w:eastAsia="Calibri"/>
        </w:rPr>
        <w:t>2004</w:t>
      </w:r>
      <w:r>
        <w:rPr>
          <w:rFonts w:eastAsia="Calibri"/>
        </w:rPr>
        <w:t>).</w:t>
      </w:r>
      <w:r w:rsidRPr="00D175BE">
        <w:rPr>
          <w:rFonts w:eastAsia="Calibri"/>
        </w:rPr>
        <w:t xml:space="preserve"> Callus induction from protocorm-like body segments and plant regeneration in </w:t>
      </w:r>
      <w:r w:rsidRPr="00D175BE">
        <w:rPr>
          <w:rFonts w:eastAsia="Calibri"/>
          <w:i/>
        </w:rPr>
        <w:t>Cymbidium</w:t>
      </w:r>
      <w:r w:rsidRPr="00D175BE">
        <w:rPr>
          <w:rFonts w:eastAsia="Calibri"/>
        </w:rPr>
        <w:t xml:space="preserve"> (Orchidaceae). J</w:t>
      </w:r>
      <w:r>
        <w:rPr>
          <w:rFonts w:eastAsia="Calibri"/>
        </w:rPr>
        <w:t xml:space="preserve">ournal of </w:t>
      </w:r>
      <w:r w:rsidRPr="00D175BE">
        <w:rPr>
          <w:rFonts w:eastAsia="Calibri"/>
        </w:rPr>
        <w:t>Hort</w:t>
      </w:r>
      <w:r>
        <w:rPr>
          <w:rFonts w:eastAsia="Calibri"/>
        </w:rPr>
        <w:t>icultural</w:t>
      </w:r>
      <w:r w:rsidRPr="00D175BE">
        <w:rPr>
          <w:rFonts w:eastAsia="Calibri"/>
        </w:rPr>
        <w:t xml:space="preserve"> Sci</w:t>
      </w:r>
      <w:r>
        <w:rPr>
          <w:rFonts w:eastAsia="Calibri"/>
        </w:rPr>
        <w:t xml:space="preserve">ence and </w:t>
      </w:r>
      <w:r w:rsidRPr="00D175BE">
        <w:rPr>
          <w:rFonts w:eastAsia="Calibri"/>
        </w:rPr>
        <w:t>Biotech</w:t>
      </w:r>
      <w:r>
        <w:rPr>
          <w:rFonts w:eastAsia="Calibri"/>
        </w:rPr>
        <w:t>nology,</w:t>
      </w:r>
      <w:r w:rsidRPr="00D175BE">
        <w:rPr>
          <w:rFonts w:eastAsia="Calibri"/>
        </w:rPr>
        <w:t xml:space="preserve"> 79</w:t>
      </w:r>
      <w:r>
        <w:rPr>
          <w:rFonts w:eastAsia="Calibri"/>
        </w:rPr>
        <w:t xml:space="preserve">: </w:t>
      </w:r>
      <w:r w:rsidRPr="00D175BE">
        <w:rPr>
          <w:rFonts w:eastAsia="Calibri"/>
        </w:rPr>
        <w:t>406–410</w:t>
      </w:r>
      <w:r>
        <w:rPr>
          <w:rFonts w:eastAsia="Calibri"/>
        </w:rPr>
        <w:t xml:space="preserve">. </w:t>
      </w:r>
    </w:p>
    <w:p w:rsidR="00651DD5" w:rsidRPr="00D175BE" w:rsidRDefault="00651DD5" w:rsidP="00651DD5">
      <w:pPr>
        <w:numPr>
          <w:ilvl w:val="0"/>
          <w:numId w:val="3"/>
        </w:numPr>
        <w:spacing w:line="480" w:lineRule="auto"/>
        <w:jc w:val="both"/>
      </w:pPr>
      <w:r w:rsidRPr="00D175BE">
        <w:lastRenderedPageBreak/>
        <w:t>Huang L</w:t>
      </w:r>
      <w:r>
        <w:t>.</w:t>
      </w:r>
      <w:r w:rsidRPr="00D175BE">
        <w:t>C</w:t>
      </w:r>
      <w:r>
        <w:t>.</w:t>
      </w:r>
      <w:r w:rsidRPr="00D175BE">
        <w:t>, Lin C</w:t>
      </w:r>
      <w:r>
        <w:t>.</w:t>
      </w:r>
      <w:r w:rsidRPr="00D175BE">
        <w:t>J</w:t>
      </w:r>
      <w:r>
        <w:t>.</w:t>
      </w:r>
      <w:r w:rsidRPr="00D175BE">
        <w:t>, Kuo C</w:t>
      </w:r>
      <w:r>
        <w:t>.</w:t>
      </w:r>
      <w:r w:rsidRPr="00D175BE">
        <w:t>I</w:t>
      </w:r>
      <w:r>
        <w:t>.</w:t>
      </w:r>
      <w:r w:rsidRPr="00D175BE">
        <w:t>, Huang B</w:t>
      </w:r>
      <w:r>
        <w:t>.</w:t>
      </w:r>
      <w:r w:rsidRPr="00D175BE">
        <w:t>L</w:t>
      </w:r>
      <w:r>
        <w:t>.</w:t>
      </w:r>
      <w:r w:rsidRPr="00D175BE">
        <w:t>, Murashige T</w:t>
      </w:r>
      <w:r>
        <w:t>.</w:t>
      </w:r>
      <w:r w:rsidRPr="00D175BE">
        <w:t xml:space="preserve"> </w:t>
      </w:r>
      <w:r>
        <w:t>(</w:t>
      </w:r>
      <w:r w:rsidRPr="00D175BE">
        <w:t>2001</w:t>
      </w:r>
      <w:r>
        <w:t>).</w:t>
      </w:r>
      <w:r w:rsidRPr="00D175BE">
        <w:t xml:space="preserve"> </w:t>
      </w:r>
      <w:r w:rsidRPr="00D175BE">
        <w:rPr>
          <w:i/>
        </w:rPr>
        <w:t>Paphiopedilum</w:t>
      </w:r>
      <w:r w:rsidRPr="00D175BE">
        <w:t xml:space="preserve"> cloning </w:t>
      </w:r>
      <w:r w:rsidRPr="00D175BE">
        <w:rPr>
          <w:i/>
        </w:rPr>
        <w:t>in vitro</w:t>
      </w:r>
      <w:r w:rsidRPr="00D175BE">
        <w:t>. Sci</w:t>
      </w:r>
      <w:r>
        <w:t xml:space="preserve">entia </w:t>
      </w:r>
      <w:r w:rsidRPr="00D175BE">
        <w:t>Hortic</w:t>
      </w:r>
      <w:r>
        <w:t>ulturae,</w:t>
      </w:r>
      <w:r w:rsidRPr="00D175BE">
        <w:t xml:space="preserve"> 91</w:t>
      </w:r>
      <w:r>
        <w:t xml:space="preserve">: </w:t>
      </w:r>
      <w:r w:rsidRPr="00D175BE">
        <w:t>111-121</w:t>
      </w:r>
      <w:r>
        <w:t xml:space="preserve">. </w:t>
      </w:r>
    </w:p>
    <w:p w:rsidR="00651DD5" w:rsidRPr="00D175BE" w:rsidRDefault="00651DD5" w:rsidP="00651DD5">
      <w:pPr>
        <w:numPr>
          <w:ilvl w:val="0"/>
          <w:numId w:val="3"/>
        </w:numPr>
        <w:autoSpaceDE w:val="0"/>
        <w:autoSpaceDN w:val="0"/>
        <w:adjustRightInd w:val="0"/>
        <w:spacing w:line="480" w:lineRule="auto"/>
        <w:jc w:val="both"/>
        <w:rPr>
          <w:color w:val="141314"/>
        </w:rPr>
      </w:pPr>
      <w:r w:rsidRPr="007C2E04">
        <w:rPr>
          <w:rFonts w:eastAsia="AdvP4DF60E"/>
        </w:rPr>
        <w:t>Ignacimuthu</w:t>
      </w:r>
      <w:r w:rsidRPr="00D175BE">
        <w:rPr>
          <w:rFonts w:eastAsia="AdvP4DF60E"/>
        </w:rPr>
        <w:t xml:space="preserve"> S</w:t>
      </w:r>
      <w:r>
        <w:rPr>
          <w:rFonts w:eastAsia="AdvP4DF60E"/>
        </w:rPr>
        <w:t>.</w:t>
      </w:r>
      <w:r w:rsidRPr="00D175BE">
        <w:rPr>
          <w:rFonts w:eastAsia="AdvP4DF60E"/>
        </w:rPr>
        <w:t>, Arockiasamy S</w:t>
      </w:r>
      <w:r>
        <w:rPr>
          <w:rFonts w:eastAsia="AdvP4DF60E"/>
        </w:rPr>
        <w:t>.</w:t>
      </w:r>
      <w:r w:rsidRPr="00D175BE">
        <w:rPr>
          <w:rFonts w:eastAsia="AdvP4DF60E"/>
        </w:rPr>
        <w:t>, Antonysamy M</w:t>
      </w:r>
      <w:r>
        <w:rPr>
          <w:rFonts w:eastAsia="AdvP4DF60E"/>
        </w:rPr>
        <w:t>., Ravichandran</w:t>
      </w:r>
      <w:r w:rsidRPr="00D175BE">
        <w:rPr>
          <w:rFonts w:eastAsia="AdvP4DF60E"/>
        </w:rPr>
        <w:t xml:space="preserve"> P</w:t>
      </w:r>
      <w:r>
        <w:rPr>
          <w:rFonts w:eastAsia="AdvP4DF60E"/>
        </w:rPr>
        <w:t>.</w:t>
      </w:r>
      <w:r w:rsidRPr="00D175BE">
        <w:rPr>
          <w:rFonts w:eastAsia="AdvP4DF60E"/>
        </w:rPr>
        <w:t xml:space="preserve"> </w:t>
      </w:r>
      <w:r>
        <w:rPr>
          <w:rFonts w:eastAsia="AdvP4DF60E"/>
        </w:rPr>
        <w:t>(</w:t>
      </w:r>
      <w:r w:rsidRPr="00D175BE">
        <w:rPr>
          <w:rFonts w:eastAsia="AdvP4DF60E"/>
        </w:rPr>
        <w:t>1999</w:t>
      </w:r>
      <w:r>
        <w:rPr>
          <w:rFonts w:eastAsia="AdvP4DF60E"/>
        </w:rPr>
        <w:t xml:space="preserve">). </w:t>
      </w:r>
      <w:r w:rsidRPr="00D175BE">
        <w:rPr>
          <w:rFonts w:eastAsia="AdvP4DF60E"/>
        </w:rPr>
        <w:t xml:space="preserve">Plant regeneration through somatic embryogenesis from mature leaf explants of </w:t>
      </w:r>
      <w:r w:rsidRPr="00D175BE">
        <w:rPr>
          <w:rFonts w:eastAsia="AdvP4DF60E"/>
          <w:i/>
        </w:rPr>
        <w:t>Eryngium foetidum</w:t>
      </w:r>
      <w:r w:rsidRPr="00D175BE">
        <w:rPr>
          <w:rFonts w:eastAsia="AdvP4DF60E"/>
        </w:rPr>
        <w:t>, a condiment. Plant Cell</w:t>
      </w:r>
      <w:r>
        <w:rPr>
          <w:rFonts w:eastAsia="AdvP4DF60E"/>
        </w:rPr>
        <w:t>,</w:t>
      </w:r>
      <w:r w:rsidRPr="00D175BE">
        <w:rPr>
          <w:rFonts w:eastAsia="AdvP4DF60E"/>
        </w:rPr>
        <w:t xml:space="preserve"> Tissue </w:t>
      </w:r>
      <w:r>
        <w:rPr>
          <w:rFonts w:eastAsia="AdvP4DF60E"/>
        </w:rPr>
        <w:t xml:space="preserve">and </w:t>
      </w:r>
      <w:r w:rsidRPr="00D175BE">
        <w:rPr>
          <w:rFonts w:eastAsia="AdvP4DF60E"/>
        </w:rPr>
        <w:t>Org</w:t>
      </w:r>
      <w:r>
        <w:rPr>
          <w:rFonts w:eastAsia="AdvP4DF60E"/>
        </w:rPr>
        <w:t>an</w:t>
      </w:r>
      <w:r w:rsidRPr="00D175BE">
        <w:rPr>
          <w:rFonts w:eastAsia="AdvP4DF60E"/>
        </w:rPr>
        <w:t xml:space="preserve"> Cult</w:t>
      </w:r>
      <w:r>
        <w:rPr>
          <w:rFonts w:eastAsia="AdvP4DF60E"/>
        </w:rPr>
        <w:t>ure,</w:t>
      </w:r>
      <w:r w:rsidRPr="00D175BE">
        <w:rPr>
          <w:rFonts w:eastAsia="AdvP4DF60E"/>
        </w:rPr>
        <w:t xml:space="preserve"> 56</w:t>
      </w:r>
      <w:r>
        <w:rPr>
          <w:rFonts w:eastAsia="AdvP4DF60E"/>
        </w:rPr>
        <w:t xml:space="preserve">: </w:t>
      </w:r>
      <w:r w:rsidRPr="00D175BE">
        <w:rPr>
          <w:rFonts w:eastAsia="AdvP4DF60E"/>
        </w:rPr>
        <w:t>131-137</w:t>
      </w:r>
      <w:r>
        <w:rPr>
          <w:rFonts w:eastAsia="AdvP4DF60E"/>
        </w:rPr>
        <w:t>.</w:t>
      </w:r>
      <w:r w:rsidRPr="00D175BE">
        <w:rPr>
          <w:color w:val="141314"/>
        </w:rPr>
        <w:t xml:space="preserve"> </w:t>
      </w:r>
    </w:p>
    <w:p w:rsidR="00651DD5" w:rsidRPr="00D175BE" w:rsidRDefault="00651DD5" w:rsidP="00651DD5">
      <w:pPr>
        <w:numPr>
          <w:ilvl w:val="0"/>
          <w:numId w:val="3"/>
        </w:numPr>
        <w:autoSpaceDE w:val="0"/>
        <w:autoSpaceDN w:val="0"/>
        <w:adjustRightInd w:val="0"/>
        <w:spacing w:line="480" w:lineRule="auto"/>
        <w:jc w:val="both"/>
        <w:rPr>
          <w:color w:val="141314"/>
        </w:rPr>
      </w:pPr>
      <w:r>
        <w:rPr>
          <w:color w:val="141314"/>
        </w:rPr>
        <w:t>Ishii</w:t>
      </w:r>
      <w:r w:rsidRPr="00D175BE">
        <w:rPr>
          <w:color w:val="141314"/>
        </w:rPr>
        <w:t xml:space="preserve"> Y</w:t>
      </w:r>
      <w:r>
        <w:rPr>
          <w:color w:val="141314"/>
        </w:rPr>
        <w:t>.</w:t>
      </w:r>
      <w:r w:rsidRPr="00D175BE">
        <w:rPr>
          <w:color w:val="141314"/>
        </w:rPr>
        <w:t>, Takamura T</w:t>
      </w:r>
      <w:r>
        <w:rPr>
          <w:color w:val="141314"/>
        </w:rPr>
        <w:t>.</w:t>
      </w:r>
      <w:r w:rsidRPr="00D175BE">
        <w:rPr>
          <w:color w:val="141314"/>
        </w:rPr>
        <w:t>, Goi M</w:t>
      </w:r>
      <w:r>
        <w:rPr>
          <w:color w:val="141314"/>
        </w:rPr>
        <w:t>.</w:t>
      </w:r>
      <w:r w:rsidRPr="00D175BE">
        <w:rPr>
          <w:color w:val="141314"/>
        </w:rPr>
        <w:t>, Tanaka</w:t>
      </w:r>
      <w:r>
        <w:rPr>
          <w:color w:val="141314"/>
        </w:rPr>
        <w:t xml:space="preserve"> M.</w:t>
      </w:r>
      <w:r w:rsidRPr="00D175BE">
        <w:rPr>
          <w:color w:val="141314"/>
        </w:rPr>
        <w:t xml:space="preserve"> </w:t>
      </w:r>
      <w:r>
        <w:rPr>
          <w:color w:val="141314"/>
        </w:rPr>
        <w:t>(</w:t>
      </w:r>
      <w:r w:rsidRPr="00D175BE">
        <w:rPr>
          <w:color w:val="141314"/>
        </w:rPr>
        <w:t>1998</w:t>
      </w:r>
      <w:r>
        <w:rPr>
          <w:color w:val="141314"/>
        </w:rPr>
        <w:t>).</w:t>
      </w:r>
      <w:r w:rsidRPr="00D175BE">
        <w:rPr>
          <w:color w:val="141314"/>
        </w:rPr>
        <w:t xml:space="preserve"> Callus induction and somatic embryogenesis of </w:t>
      </w:r>
      <w:r w:rsidRPr="00D175BE">
        <w:rPr>
          <w:i/>
          <w:color w:val="141314"/>
        </w:rPr>
        <w:t>Phalaenopsis</w:t>
      </w:r>
      <w:r w:rsidRPr="00D175BE">
        <w:rPr>
          <w:color w:val="141314"/>
        </w:rPr>
        <w:t>. Plant Cell Rep</w:t>
      </w:r>
      <w:r>
        <w:rPr>
          <w:color w:val="141314"/>
        </w:rPr>
        <w:t>orts,</w:t>
      </w:r>
      <w:r w:rsidRPr="00D175BE">
        <w:rPr>
          <w:color w:val="141314"/>
        </w:rPr>
        <w:t xml:space="preserve"> 17</w:t>
      </w:r>
      <w:r>
        <w:rPr>
          <w:color w:val="141314"/>
        </w:rPr>
        <w:t xml:space="preserve">: </w:t>
      </w:r>
      <w:r w:rsidRPr="00D175BE">
        <w:rPr>
          <w:color w:val="141314"/>
        </w:rPr>
        <w:t>446–450</w:t>
      </w:r>
      <w:r>
        <w:rPr>
          <w:color w:val="141314"/>
        </w:rPr>
        <w:t>.</w:t>
      </w:r>
    </w:p>
    <w:p w:rsidR="00651DD5" w:rsidRPr="00D175BE" w:rsidRDefault="00651DD5" w:rsidP="00651DD5">
      <w:pPr>
        <w:numPr>
          <w:ilvl w:val="0"/>
          <w:numId w:val="3"/>
        </w:numPr>
        <w:autoSpaceDE w:val="0"/>
        <w:autoSpaceDN w:val="0"/>
        <w:adjustRightInd w:val="0"/>
        <w:spacing w:line="480" w:lineRule="auto"/>
        <w:jc w:val="both"/>
        <w:rPr>
          <w:rFonts w:eastAsia="AdvP4DF60E"/>
        </w:rPr>
      </w:pPr>
      <w:r w:rsidRPr="00D175BE">
        <w:rPr>
          <w:rFonts w:eastAsia="AdvP4DF60E"/>
        </w:rPr>
        <w:t>Kerbauy G</w:t>
      </w:r>
      <w:r>
        <w:rPr>
          <w:rFonts w:eastAsia="AdvP4DF60E"/>
        </w:rPr>
        <w:t>.</w:t>
      </w:r>
      <w:r w:rsidRPr="00D175BE">
        <w:rPr>
          <w:rFonts w:eastAsia="AdvP4DF60E"/>
        </w:rPr>
        <w:t>B</w:t>
      </w:r>
      <w:r>
        <w:rPr>
          <w:rFonts w:eastAsia="AdvP4DF60E"/>
        </w:rPr>
        <w:t>.</w:t>
      </w:r>
      <w:r w:rsidRPr="00D175BE">
        <w:rPr>
          <w:rFonts w:eastAsia="AdvP4DF60E"/>
        </w:rPr>
        <w:t xml:space="preserve"> </w:t>
      </w:r>
      <w:r>
        <w:rPr>
          <w:rFonts w:eastAsia="AdvP4DF60E"/>
        </w:rPr>
        <w:t>(</w:t>
      </w:r>
      <w:r w:rsidRPr="00D175BE">
        <w:rPr>
          <w:rFonts w:eastAsia="AdvP4DF60E"/>
        </w:rPr>
        <w:t>1984</w:t>
      </w:r>
      <w:r>
        <w:rPr>
          <w:rFonts w:eastAsia="AdvP4DF60E"/>
        </w:rPr>
        <w:t>).</w:t>
      </w:r>
      <w:r w:rsidRPr="00D175BE">
        <w:rPr>
          <w:rFonts w:eastAsia="AdvP4DF60E"/>
        </w:rPr>
        <w:t xml:space="preserve"> Plant regeneration of </w:t>
      </w:r>
      <w:r w:rsidRPr="00D175BE">
        <w:rPr>
          <w:rFonts w:eastAsia="AdvP4DF60E"/>
          <w:i/>
        </w:rPr>
        <w:t>Oncidium varicosum</w:t>
      </w:r>
      <w:r w:rsidRPr="00D175BE">
        <w:rPr>
          <w:rFonts w:eastAsia="AdvP4DF60E"/>
        </w:rPr>
        <w:t xml:space="preserve"> (Orchidaceae) by means of root tip culture. Plant Cell Rep</w:t>
      </w:r>
      <w:r>
        <w:rPr>
          <w:rFonts w:eastAsia="AdvP4DF60E"/>
        </w:rPr>
        <w:t>orts,</w:t>
      </w:r>
      <w:r w:rsidRPr="00D175BE">
        <w:rPr>
          <w:rFonts w:eastAsia="AdvP4DF60E"/>
        </w:rPr>
        <w:t xml:space="preserve"> 3</w:t>
      </w:r>
      <w:r>
        <w:rPr>
          <w:rFonts w:eastAsia="AdvP4DF60E"/>
        </w:rPr>
        <w:t xml:space="preserve">: </w:t>
      </w:r>
      <w:r w:rsidRPr="00D175BE">
        <w:rPr>
          <w:rFonts w:eastAsia="AdvP4DF60E"/>
        </w:rPr>
        <w:t>27–29</w:t>
      </w:r>
      <w:r>
        <w:rPr>
          <w:rFonts w:eastAsia="AdvP4DF60E"/>
        </w:rPr>
        <w:t>.</w:t>
      </w:r>
    </w:p>
    <w:p w:rsidR="00651DD5" w:rsidRPr="00D175BE" w:rsidRDefault="00651DD5" w:rsidP="00651DD5">
      <w:pPr>
        <w:numPr>
          <w:ilvl w:val="0"/>
          <w:numId w:val="3"/>
        </w:numPr>
        <w:autoSpaceDE w:val="0"/>
        <w:autoSpaceDN w:val="0"/>
        <w:adjustRightInd w:val="0"/>
        <w:spacing w:line="480" w:lineRule="auto"/>
        <w:jc w:val="both"/>
        <w:rPr>
          <w:rFonts w:eastAsia="Calibri"/>
        </w:rPr>
      </w:pPr>
      <w:r w:rsidRPr="00D175BE">
        <w:rPr>
          <w:rFonts w:eastAsia="Calibri"/>
        </w:rPr>
        <w:t>Kerbauy G</w:t>
      </w:r>
      <w:r>
        <w:rPr>
          <w:rFonts w:eastAsia="Calibri"/>
        </w:rPr>
        <w:t>.</w:t>
      </w:r>
      <w:r w:rsidRPr="00D175BE">
        <w:rPr>
          <w:rFonts w:eastAsia="Calibri"/>
        </w:rPr>
        <w:t>B</w:t>
      </w:r>
      <w:r>
        <w:rPr>
          <w:rFonts w:eastAsia="Calibri"/>
        </w:rPr>
        <w:t>.</w:t>
      </w:r>
      <w:r w:rsidRPr="00D175BE">
        <w:rPr>
          <w:rFonts w:eastAsia="Calibri"/>
        </w:rPr>
        <w:t xml:space="preserve"> </w:t>
      </w:r>
      <w:r>
        <w:rPr>
          <w:rFonts w:eastAsia="Calibri"/>
        </w:rPr>
        <w:t>(</w:t>
      </w:r>
      <w:r w:rsidRPr="00D175BE">
        <w:rPr>
          <w:rFonts w:eastAsia="Calibri"/>
        </w:rPr>
        <w:t>1991</w:t>
      </w:r>
      <w:r>
        <w:rPr>
          <w:rFonts w:eastAsia="Calibri"/>
        </w:rPr>
        <w:t>).</w:t>
      </w:r>
      <w:r w:rsidRPr="00D175BE">
        <w:rPr>
          <w:rFonts w:eastAsia="Calibri"/>
        </w:rPr>
        <w:t xml:space="preserve"> </w:t>
      </w:r>
      <w:r w:rsidRPr="00D175BE">
        <w:rPr>
          <w:rFonts w:eastAsia="Calibri"/>
          <w:i/>
        </w:rPr>
        <w:t>In vitro</w:t>
      </w:r>
      <w:r w:rsidRPr="00D175BE">
        <w:rPr>
          <w:rFonts w:eastAsia="Calibri"/>
        </w:rPr>
        <w:t xml:space="preserve"> conversion of </w:t>
      </w:r>
      <w:r w:rsidRPr="00D175BE">
        <w:rPr>
          <w:rFonts w:eastAsia="Calibri"/>
          <w:i/>
          <w:iCs/>
        </w:rPr>
        <w:t xml:space="preserve">Cattleya </w:t>
      </w:r>
      <w:r w:rsidRPr="00D175BE">
        <w:rPr>
          <w:rFonts w:eastAsia="Calibri"/>
        </w:rPr>
        <w:t>root tip cells into protocorm-lik</w:t>
      </w:r>
      <w:r>
        <w:rPr>
          <w:rFonts w:eastAsia="Calibri"/>
        </w:rPr>
        <w:t xml:space="preserve">e bodies. Journal of </w:t>
      </w:r>
      <w:r w:rsidRPr="00D175BE">
        <w:rPr>
          <w:rFonts w:eastAsia="Calibri"/>
        </w:rPr>
        <w:t>Plant Physiol</w:t>
      </w:r>
      <w:r>
        <w:rPr>
          <w:rFonts w:eastAsia="Calibri"/>
        </w:rPr>
        <w:t>ogy,</w:t>
      </w:r>
      <w:r w:rsidRPr="00D175BE">
        <w:rPr>
          <w:rFonts w:eastAsia="Calibri"/>
        </w:rPr>
        <w:t xml:space="preserve"> 138</w:t>
      </w:r>
      <w:r>
        <w:rPr>
          <w:rFonts w:eastAsia="Calibri"/>
        </w:rPr>
        <w:t xml:space="preserve">: </w:t>
      </w:r>
      <w:r w:rsidRPr="00D175BE">
        <w:rPr>
          <w:rFonts w:eastAsia="Calibri"/>
        </w:rPr>
        <w:t>248–251.</w:t>
      </w:r>
    </w:p>
    <w:p w:rsidR="00651DD5" w:rsidRDefault="00651DD5" w:rsidP="00651DD5">
      <w:pPr>
        <w:numPr>
          <w:ilvl w:val="0"/>
          <w:numId w:val="3"/>
        </w:numPr>
        <w:autoSpaceDE w:val="0"/>
        <w:autoSpaceDN w:val="0"/>
        <w:adjustRightInd w:val="0"/>
        <w:spacing w:line="480" w:lineRule="auto"/>
        <w:jc w:val="both"/>
        <w:rPr>
          <w:rFonts w:ascii="TimesNewRomanPSMT" w:hAnsi="TimesNewRomanPSMT" w:cs="TimesNewRomanPSMT"/>
        </w:rPr>
      </w:pPr>
      <w:r>
        <w:rPr>
          <w:rFonts w:ascii="TimesNewRomanPSMT" w:hAnsi="TimesNewRomanPSMT" w:cs="TimesNewRomanPSMT"/>
        </w:rPr>
        <w:t>Knudson C. (1946). A new nutrient solution for germination of orchid seed. American Orchid Society Bulletin, 15: 214-217.</w:t>
      </w:r>
    </w:p>
    <w:p w:rsidR="00651DD5" w:rsidRPr="00D175BE" w:rsidRDefault="00651DD5" w:rsidP="00651DD5">
      <w:pPr>
        <w:numPr>
          <w:ilvl w:val="0"/>
          <w:numId w:val="3"/>
        </w:numPr>
        <w:autoSpaceDE w:val="0"/>
        <w:autoSpaceDN w:val="0"/>
        <w:adjustRightInd w:val="0"/>
        <w:spacing w:line="480" w:lineRule="auto"/>
        <w:jc w:val="both"/>
        <w:rPr>
          <w:color w:val="141314"/>
        </w:rPr>
      </w:pPr>
      <w:r w:rsidRPr="00D175BE">
        <w:rPr>
          <w:color w:val="141314"/>
        </w:rPr>
        <w:t>Lee Y</w:t>
      </w:r>
      <w:r>
        <w:rPr>
          <w:color w:val="141314"/>
        </w:rPr>
        <w:t>.</w:t>
      </w:r>
      <w:r w:rsidRPr="00D175BE">
        <w:rPr>
          <w:color w:val="141314"/>
        </w:rPr>
        <w:t>I</w:t>
      </w:r>
      <w:r>
        <w:rPr>
          <w:color w:val="141314"/>
        </w:rPr>
        <w:t>.</w:t>
      </w:r>
      <w:r w:rsidRPr="00D175BE">
        <w:rPr>
          <w:color w:val="141314"/>
        </w:rPr>
        <w:t>, Lee N</w:t>
      </w:r>
      <w:r>
        <w:rPr>
          <w:color w:val="141314"/>
        </w:rPr>
        <w:t>. (</w:t>
      </w:r>
      <w:r w:rsidRPr="00D175BE">
        <w:rPr>
          <w:color w:val="141314"/>
        </w:rPr>
        <w:t>2003</w:t>
      </w:r>
      <w:r>
        <w:rPr>
          <w:color w:val="141314"/>
        </w:rPr>
        <w:t xml:space="preserve">). </w:t>
      </w:r>
      <w:r w:rsidRPr="00D175BE">
        <w:rPr>
          <w:color w:val="141314"/>
        </w:rPr>
        <w:t xml:space="preserve">Plant regeneration from protocorm-derived callus of </w:t>
      </w:r>
      <w:r w:rsidRPr="00D175BE">
        <w:rPr>
          <w:i/>
          <w:color w:val="141314"/>
        </w:rPr>
        <w:t>Cypripedium formosanum</w:t>
      </w:r>
      <w:r>
        <w:rPr>
          <w:color w:val="141314"/>
        </w:rPr>
        <w:t>. In Vitro Cell</w:t>
      </w:r>
      <w:r w:rsidRPr="00D175BE">
        <w:rPr>
          <w:color w:val="141314"/>
        </w:rPr>
        <w:t xml:space="preserve"> Dev</w:t>
      </w:r>
      <w:r>
        <w:rPr>
          <w:color w:val="141314"/>
        </w:rPr>
        <w:t>elopment</w:t>
      </w:r>
      <w:r w:rsidRPr="00D175BE">
        <w:rPr>
          <w:color w:val="141314"/>
        </w:rPr>
        <w:t xml:space="preserve"> Biol</w:t>
      </w:r>
      <w:r>
        <w:rPr>
          <w:color w:val="141314"/>
        </w:rPr>
        <w:t>ogy-</w:t>
      </w:r>
      <w:r w:rsidRPr="00D175BE">
        <w:rPr>
          <w:color w:val="141314"/>
        </w:rPr>
        <w:t>Plant</w:t>
      </w:r>
      <w:r>
        <w:rPr>
          <w:color w:val="141314"/>
        </w:rPr>
        <w:t>,</w:t>
      </w:r>
      <w:r w:rsidRPr="00D175BE">
        <w:rPr>
          <w:color w:val="141314"/>
        </w:rPr>
        <w:t xml:space="preserve"> 39</w:t>
      </w:r>
      <w:r>
        <w:rPr>
          <w:color w:val="141314"/>
        </w:rPr>
        <w:t xml:space="preserve">: </w:t>
      </w:r>
      <w:r w:rsidRPr="00D175BE">
        <w:rPr>
          <w:color w:val="141314"/>
        </w:rPr>
        <w:t>475–479</w:t>
      </w:r>
      <w:r>
        <w:rPr>
          <w:color w:val="141314"/>
        </w:rPr>
        <w:t>.</w:t>
      </w:r>
    </w:p>
    <w:p w:rsidR="00651DD5" w:rsidRPr="00D175BE" w:rsidRDefault="00651DD5" w:rsidP="00651DD5">
      <w:pPr>
        <w:numPr>
          <w:ilvl w:val="0"/>
          <w:numId w:val="3"/>
        </w:numPr>
        <w:spacing w:line="480" w:lineRule="auto"/>
        <w:jc w:val="both"/>
      </w:pPr>
      <w:r w:rsidRPr="00D175BE">
        <w:t>Lin Y</w:t>
      </w:r>
      <w:r>
        <w:t>.</w:t>
      </w:r>
      <w:r w:rsidRPr="00D175BE">
        <w:t>H</w:t>
      </w:r>
      <w:r>
        <w:t>.</w:t>
      </w:r>
      <w:r w:rsidRPr="00D175BE">
        <w:t>, Chang C</w:t>
      </w:r>
      <w:r>
        <w:t>.</w:t>
      </w:r>
      <w:r w:rsidRPr="00D175BE">
        <w:t>, Chang W</w:t>
      </w:r>
      <w:r>
        <w:t>.</w:t>
      </w:r>
      <w:r w:rsidRPr="00D175BE">
        <w:t>C</w:t>
      </w:r>
      <w:r>
        <w:t>.</w:t>
      </w:r>
      <w:r w:rsidRPr="00D175BE">
        <w:t xml:space="preserve"> </w:t>
      </w:r>
      <w:r>
        <w:t>(</w:t>
      </w:r>
      <w:r w:rsidRPr="00D175BE">
        <w:t>2000</w:t>
      </w:r>
      <w:r>
        <w:t>).</w:t>
      </w:r>
      <w:r w:rsidRPr="00D175BE">
        <w:t xml:space="preserve"> Plant regeneration from callus culture of a </w:t>
      </w:r>
      <w:r w:rsidRPr="00D175BE">
        <w:rPr>
          <w:i/>
        </w:rPr>
        <w:t xml:space="preserve">Paphiopedilum </w:t>
      </w:r>
      <w:r w:rsidRPr="00D175BE">
        <w:t>hybrid. Plant Cell</w:t>
      </w:r>
      <w:r>
        <w:t>,</w:t>
      </w:r>
      <w:r w:rsidRPr="00D175BE">
        <w:t xml:space="preserve"> Tissue </w:t>
      </w:r>
      <w:r>
        <w:t xml:space="preserve">and </w:t>
      </w:r>
      <w:r w:rsidRPr="00D175BE">
        <w:t>Org</w:t>
      </w:r>
      <w:r>
        <w:t>an</w:t>
      </w:r>
      <w:r w:rsidRPr="00D175BE">
        <w:t xml:space="preserve"> Cult</w:t>
      </w:r>
      <w:r>
        <w:t>ure,</w:t>
      </w:r>
      <w:r w:rsidRPr="00D175BE">
        <w:t xml:space="preserve"> 62</w:t>
      </w:r>
      <w:r>
        <w:t xml:space="preserve">: </w:t>
      </w:r>
      <w:r w:rsidRPr="00D175BE">
        <w:t>21-25</w:t>
      </w:r>
      <w:r>
        <w:t>.</w:t>
      </w:r>
    </w:p>
    <w:p w:rsidR="00651DD5" w:rsidRPr="00D175BE" w:rsidRDefault="00651DD5" w:rsidP="00651DD5">
      <w:pPr>
        <w:numPr>
          <w:ilvl w:val="0"/>
          <w:numId w:val="3"/>
        </w:numPr>
        <w:autoSpaceDE w:val="0"/>
        <w:autoSpaceDN w:val="0"/>
        <w:adjustRightInd w:val="0"/>
        <w:spacing w:line="480" w:lineRule="auto"/>
        <w:jc w:val="both"/>
        <w:rPr>
          <w:color w:val="141314"/>
        </w:rPr>
      </w:pPr>
      <w:r w:rsidRPr="00D175BE">
        <w:rPr>
          <w:color w:val="141314"/>
        </w:rPr>
        <w:t>Lu M</w:t>
      </w:r>
      <w:r>
        <w:rPr>
          <w:color w:val="141314"/>
        </w:rPr>
        <w:t>.</w:t>
      </w:r>
      <w:r w:rsidRPr="00D175BE">
        <w:rPr>
          <w:color w:val="141314"/>
        </w:rPr>
        <w:t>C</w:t>
      </w:r>
      <w:r>
        <w:rPr>
          <w:color w:val="141314"/>
        </w:rPr>
        <w:t>.</w:t>
      </w:r>
      <w:r w:rsidRPr="00D175BE">
        <w:rPr>
          <w:color w:val="141314"/>
        </w:rPr>
        <w:t xml:space="preserve"> </w:t>
      </w:r>
      <w:r>
        <w:rPr>
          <w:color w:val="141314"/>
        </w:rPr>
        <w:t>(</w:t>
      </w:r>
      <w:r w:rsidRPr="00D175BE">
        <w:rPr>
          <w:color w:val="141314"/>
        </w:rPr>
        <w:t>2004</w:t>
      </w:r>
      <w:r>
        <w:rPr>
          <w:color w:val="141314"/>
        </w:rPr>
        <w:t>).</w:t>
      </w:r>
      <w:r w:rsidRPr="00D175BE">
        <w:rPr>
          <w:color w:val="141314"/>
        </w:rPr>
        <w:t xml:space="preserve"> High frequency plant regeneration from callus culture of </w:t>
      </w:r>
      <w:r w:rsidRPr="00D175BE">
        <w:rPr>
          <w:i/>
          <w:color w:val="141314"/>
        </w:rPr>
        <w:t xml:space="preserve">Pleione formosana </w:t>
      </w:r>
      <w:r w:rsidRPr="00D175BE">
        <w:rPr>
          <w:color w:val="141314"/>
        </w:rPr>
        <w:t>Hayata. Plant Cell</w:t>
      </w:r>
      <w:r>
        <w:rPr>
          <w:color w:val="141314"/>
        </w:rPr>
        <w:t>,</w:t>
      </w:r>
      <w:r w:rsidRPr="00D175BE">
        <w:rPr>
          <w:color w:val="141314"/>
        </w:rPr>
        <w:t xml:space="preserve"> Tissue </w:t>
      </w:r>
      <w:r>
        <w:rPr>
          <w:color w:val="141314"/>
        </w:rPr>
        <w:t xml:space="preserve">and </w:t>
      </w:r>
      <w:r w:rsidRPr="00D175BE">
        <w:rPr>
          <w:color w:val="141314"/>
        </w:rPr>
        <w:t>Org</w:t>
      </w:r>
      <w:r>
        <w:rPr>
          <w:color w:val="141314"/>
        </w:rPr>
        <w:t>an</w:t>
      </w:r>
      <w:r w:rsidRPr="00D175BE">
        <w:rPr>
          <w:color w:val="141314"/>
        </w:rPr>
        <w:t xml:space="preserve"> Cult</w:t>
      </w:r>
      <w:r>
        <w:rPr>
          <w:color w:val="141314"/>
        </w:rPr>
        <w:t>ure,</w:t>
      </w:r>
      <w:r w:rsidRPr="00D175BE">
        <w:rPr>
          <w:color w:val="141314"/>
        </w:rPr>
        <w:t xml:space="preserve"> 78</w:t>
      </w:r>
      <w:r>
        <w:rPr>
          <w:color w:val="141314"/>
        </w:rPr>
        <w:t xml:space="preserve">: </w:t>
      </w:r>
      <w:r w:rsidRPr="00D175BE">
        <w:rPr>
          <w:color w:val="141314"/>
        </w:rPr>
        <w:t>93–96</w:t>
      </w:r>
      <w:r>
        <w:rPr>
          <w:color w:val="141314"/>
        </w:rPr>
        <w:t>.</w:t>
      </w:r>
    </w:p>
    <w:p w:rsidR="00651DD5" w:rsidRDefault="00651DD5" w:rsidP="00651DD5">
      <w:pPr>
        <w:numPr>
          <w:ilvl w:val="0"/>
          <w:numId w:val="3"/>
        </w:numPr>
        <w:spacing w:line="480" w:lineRule="auto"/>
        <w:jc w:val="both"/>
      </w:pPr>
      <w:r w:rsidRPr="00D175BE">
        <w:t>Murashige</w:t>
      </w:r>
      <w:r>
        <w:t xml:space="preserve"> T.</w:t>
      </w:r>
      <w:r w:rsidRPr="00D175BE">
        <w:t>, Skoog F</w:t>
      </w:r>
      <w:r>
        <w:t>.</w:t>
      </w:r>
      <w:r w:rsidRPr="00D175BE">
        <w:t xml:space="preserve"> </w:t>
      </w:r>
      <w:r>
        <w:t>(</w:t>
      </w:r>
      <w:r w:rsidRPr="00D175BE">
        <w:t>1962</w:t>
      </w:r>
      <w:r>
        <w:t>).</w:t>
      </w:r>
      <w:r w:rsidRPr="00D175BE">
        <w:t xml:space="preserve"> Revised medium for rapid growth and bioassays with tobacco tissue cultures. Physiol</w:t>
      </w:r>
      <w:r>
        <w:t>ogia</w:t>
      </w:r>
      <w:r w:rsidRPr="00D175BE">
        <w:t xml:space="preserve"> Plant</w:t>
      </w:r>
      <w:r>
        <w:t>arum,</w:t>
      </w:r>
      <w:r w:rsidRPr="00D175BE">
        <w:t xml:space="preserve"> 15</w:t>
      </w:r>
      <w:r>
        <w:t xml:space="preserve">: </w:t>
      </w:r>
      <w:r w:rsidRPr="00D175BE">
        <w:t>473-497</w:t>
      </w:r>
      <w:r>
        <w:t>.</w:t>
      </w:r>
    </w:p>
    <w:p w:rsidR="00651DD5" w:rsidRPr="00D175BE" w:rsidRDefault="00651DD5" w:rsidP="00651DD5">
      <w:pPr>
        <w:numPr>
          <w:ilvl w:val="0"/>
          <w:numId w:val="3"/>
        </w:numPr>
        <w:spacing w:line="480" w:lineRule="auto"/>
        <w:jc w:val="both"/>
      </w:pPr>
      <w:r>
        <w:lastRenderedPageBreak/>
        <w:t>Park</w:t>
      </w:r>
      <w:r w:rsidRPr="00D175BE">
        <w:t xml:space="preserve"> S</w:t>
      </w:r>
      <w:r>
        <w:t>.</w:t>
      </w:r>
      <w:r w:rsidRPr="00D175BE">
        <w:t>Y</w:t>
      </w:r>
      <w:r>
        <w:t>.</w:t>
      </w:r>
      <w:r w:rsidRPr="00D175BE">
        <w:t>, Murthy H</w:t>
      </w:r>
      <w:r>
        <w:t>.</w:t>
      </w:r>
      <w:r w:rsidRPr="00D175BE">
        <w:t>N</w:t>
      </w:r>
      <w:r>
        <w:t>., Paek K.</w:t>
      </w:r>
      <w:r w:rsidRPr="00D175BE">
        <w:t>Y</w:t>
      </w:r>
      <w:r>
        <w:t>.</w:t>
      </w:r>
      <w:r w:rsidRPr="00D175BE">
        <w:t xml:space="preserve"> </w:t>
      </w:r>
      <w:r>
        <w:t>(</w:t>
      </w:r>
      <w:r w:rsidRPr="00D175BE">
        <w:t>2003</w:t>
      </w:r>
      <w:r>
        <w:t>).</w:t>
      </w:r>
      <w:r w:rsidRPr="00D175BE">
        <w:t xml:space="preserve"> Protocorm-like body induction and subsequent plant regeneration from root tip cultures of </w:t>
      </w:r>
      <w:r w:rsidRPr="00D175BE">
        <w:rPr>
          <w:i/>
          <w:iCs/>
        </w:rPr>
        <w:t>Doritaenopsis</w:t>
      </w:r>
      <w:r w:rsidRPr="00D175BE">
        <w:t>. Plant Sci</w:t>
      </w:r>
      <w:r>
        <w:t xml:space="preserve">ence, </w:t>
      </w:r>
      <w:r w:rsidRPr="00D175BE">
        <w:t>164</w:t>
      </w:r>
      <w:r>
        <w:t xml:space="preserve">: </w:t>
      </w:r>
      <w:r w:rsidRPr="00D175BE">
        <w:t>919–923</w:t>
      </w:r>
      <w:r>
        <w:t>.</w:t>
      </w:r>
    </w:p>
    <w:p w:rsidR="00651DD5" w:rsidRPr="00D175BE" w:rsidRDefault="00651DD5" w:rsidP="00651DD5">
      <w:pPr>
        <w:numPr>
          <w:ilvl w:val="0"/>
          <w:numId w:val="3"/>
        </w:numPr>
        <w:autoSpaceDE w:val="0"/>
        <w:autoSpaceDN w:val="0"/>
        <w:adjustRightInd w:val="0"/>
        <w:spacing w:line="480" w:lineRule="auto"/>
        <w:jc w:val="both"/>
      </w:pPr>
      <w:r w:rsidRPr="00D175BE">
        <w:t>Roy</w:t>
      </w:r>
      <w:r>
        <w:t xml:space="preserve"> </w:t>
      </w:r>
      <w:r w:rsidRPr="00D175BE">
        <w:t>J</w:t>
      </w:r>
      <w:r>
        <w:t>.</w:t>
      </w:r>
      <w:r w:rsidRPr="00D175BE">
        <w:t>, Banerjee N</w:t>
      </w:r>
      <w:r>
        <w:t>.</w:t>
      </w:r>
      <w:r w:rsidRPr="00D175BE">
        <w:t xml:space="preserve"> </w:t>
      </w:r>
      <w:r>
        <w:t>(</w:t>
      </w:r>
      <w:r w:rsidRPr="00D175BE">
        <w:t>2001</w:t>
      </w:r>
      <w:r>
        <w:t>).</w:t>
      </w:r>
      <w:r w:rsidRPr="00D175BE">
        <w:t xml:space="preserve"> Cultural requirements for </w:t>
      </w:r>
      <w:r w:rsidRPr="00D175BE">
        <w:rPr>
          <w:i/>
        </w:rPr>
        <w:t>in vitro</w:t>
      </w:r>
      <w:r w:rsidRPr="00D175BE">
        <w:t xml:space="preserve"> seed germination, protocorm growth and seedling development of </w:t>
      </w:r>
      <w:r w:rsidRPr="00D175BE">
        <w:rPr>
          <w:i/>
        </w:rPr>
        <w:t>Geodorum densiflorum</w:t>
      </w:r>
      <w:r w:rsidRPr="00D175BE">
        <w:t xml:space="preserve"> (Lam.). </w:t>
      </w:r>
      <w:r w:rsidRPr="00F56876">
        <w:t>Schltr Indian Journal of Experimental Biology</w:t>
      </w:r>
      <w:r>
        <w:t>,</w:t>
      </w:r>
      <w:r w:rsidRPr="00D175BE">
        <w:t xml:space="preserve"> 39</w:t>
      </w:r>
      <w:r>
        <w:t xml:space="preserve">: </w:t>
      </w:r>
      <w:r w:rsidRPr="00D175BE">
        <w:t>1041-1047</w:t>
      </w:r>
      <w:r>
        <w:t>.</w:t>
      </w:r>
    </w:p>
    <w:p w:rsidR="00651DD5" w:rsidRPr="00D175BE" w:rsidRDefault="00651DD5" w:rsidP="00651DD5">
      <w:pPr>
        <w:numPr>
          <w:ilvl w:val="0"/>
          <w:numId w:val="3"/>
        </w:numPr>
        <w:autoSpaceDE w:val="0"/>
        <w:autoSpaceDN w:val="0"/>
        <w:adjustRightInd w:val="0"/>
        <w:spacing w:line="480" w:lineRule="auto"/>
        <w:jc w:val="both"/>
        <w:rPr>
          <w:color w:val="141314"/>
        </w:rPr>
      </w:pPr>
      <w:r>
        <w:rPr>
          <w:color w:val="141314"/>
        </w:rPr>
        <w:t>Roy</w:t>
      </w:r>
      <w:r w:rsidRPr="00D175BE">
        <w:rPr>
          <w:color w:val="141314"/>
        </w:rPr>
        <w:t xml:space="preserve"> J</w:t>
      </w:r>
      <w:r>
        <w:rPr>
          <w:color w:val="141314"/>
        </w:rPr>
        <w:t>., Banerjee</w:t>
      </w:r>
      <w:r w:rsidRPr="00D175BE">
        <w:rPr>
          <w:color w:val="141314"/>
        </w:rPr>
        <w:t xml:space="preserve"> N</w:t>
      </w:r>
      <w:r>
        <w:rPr>
          <w:color w:val="141314"/>
        </w:rPr>
        <w:t>.</w:t>
      </w:r>
      <w:r w:rsidRPr="00D175BE">
        <w:rPr>
          <w:color w:val="141314"/>
        </w:rPr>
        <w:t xml:space="preserve"> </w:t>
      </w:r>
      <w:r>
        <w:rPr>
          <w:color w:val="141314"/>
        </w:rPr>
        <w:t>(</w:t>
      </w:r>
      <w:r w:rsidRPr="00D175BE">
        <w:rPr>
          <w:color w:val="141314"/>
        </w:rPr>
        <w:t>2003</w:t>
      </w:r>
      <w:r>
        <w:rPr>
          <w:color w:val="141314"/>
        </w:rPr>
        <w:t>).</w:t>
      </w:r>
      <w:r w:rsidRPr="00D175BE">
        <w:rPr>
          <w:color w:val="141314"/>
        </w:rPr>
        <w:t xml:space="preserve"> Induction of callus and plant regeneration from shoot-tip explants of </w:t>
      </w:r>
      <w:r w:rsidRPr="00D175BE">
        <w:rPr>
          <w:i/>
          <w:color w:val="141314"/>
        </w:rPr>
        <w:t>Dendrobium firmbriatum</w:t>
      </w:r>
      <w:r w:rsidRPr="00D175BE">
        <w:rPr>
          <w:color w:val="141314"/>
        </w:rPr>
        <w:t xml:space="preserve"> Lindl. var. oculatum Hk.f. Sci</w:t>
      </w:r>
      <w:r>
        <w:rPr>
          <w:color w:val="141314"/>
        </w:rPr>
        <w:t>entia</w:t>
      </w:r>
      <w:r w:rsidRPr="00D175BE">
        <w:rPr>
          <w:color w:val="141314"/>
        </w:rPr>
        <w:t xml:space="preserve"> Hortic</w:t>
      </w:r>
      <w:r>
        <w:rPr>
          <w:color w:val="141314"/>
        </w:rPr>
        <w:t>ulturae,</w:t>
      </w:r>
      <w:r w:rsidRPr="00D175BE">
        <w:rPr>
          <w:color w:val="141314"/>
        </w:rPr>
        <w:t xml:space="preserve"> 97</w:t>
      </w:r>
      <w:r>
        <w:rPr>
          <w:color w:val="141314"/>
        </w:rPr>
        <w:t xml:space="preserve">: </w:t>
      </w:r>
      <w:r w:rsidRPr="00D175BE">
        <w:rPr>
          <w:color w:val="141314"/>
        </w:rPr>
        <w:t>333–340</w:t>
      </w:r>
      <w:r>
        <w:rPr>
          <w:color w:val="141314"/>
        </w:rPr>
        <w:t>.</w:t>
      </w:r>
    </w:p>
    <w:p w:rsidR="00651DD5" w:rsidRPr="00D175BE" w:rsidRDefault="00651DD5" w:rsidP="00651DD5">
      <w:pPr>
        <w:numPr>
          <w:ilvl w:val="0"/>
          <w:numId w:val="3"/>
        </w:numPr>
        <w:autoSpaceDE w:val="0"/>
        <w:autoSpaceDN w:val="0"/>
        <w:adjustRightInd w:val="0"/>
        <w:spacing w:line="480" w:lineRule="auto"/>
        <w:jc w:val="both"/>
        <w:rPr>
          <w:rFonts w:eastAsia="AdvP4DF60E"/>
        </w:rPr>
      </w:pPr>
      <w:r w:rsidRPr="00D175BE">
        <w:rPr>
          <w:rFonts w:eastAsia="AdvP4DF60E"/>
        </w:rPr>
        <w:t>Roy J</w:t>
      </w:r>
      <w:r>
        <w:rPr>
          <w:rFonts w:eastAsia="AdvP4DF60E"/>
        </w:rPr>
        <w:t>., Naha</w:t>
      </w:r>
      <w:r w:rsidRPr="00D175BE">
        <w:rPr>
          <w:rFonts w:eastAsia="AdvP4DF60E"/>
        </w:rPr>
        <w:t xml:space="preserve"> S</w:t>
      </w:r>
      <w:r>
        <w:rPr>
          <w:rFonts w:eastAsia="AdvP4DF60E"/>
        </w:rPr>
        <w:t>., Majumdar</w:t>
      </w:r>
      <w:r w:rsidRPr="00D175BE">
        <w:rPr>
          <w:rFonts w:eastAsia="AdvP4DF60E"/>
        </w:rPr>
        <w:t xml:space="preserve"> M</w:t>
      </w:r>
      <w:r>
        <w:rPr>
          <w:rFonts w:eastAsia="AdvP4DF60E"/>
        </w:rPr>
        <w:t>.</w:t>
      </w:r>
      <w:r w:rsidRPr="00D175BE">
        <w:rPr>
          <w:rFonts w:eastAsia="AdvP4DF60E"/>
        </w:rPr>
        <w:t>, Banerjee N</w:t>
      </w:r>
      <w:r>
        <w:rPr>
          <w:rFonts w:eastAsia="AdvP4DF60E"/>
        </w:rPr>
        <w:t>.</w:t>
      </w:r>
      <w:r w:rsidRPr="00D175BE">
        <w:rPr>
          <w:rFonts w:eastAsia="AdvP4DF60E"/>
        </w:rPr>
        <w:t xml:space="preserve"> </w:t>
      </w:r>
      <w:r>
        <w:rPr>
          <w:rFonts w:eastAsia="AdvP4DF60E"/>
        </w:rPr>
        <w:t>(</w:t>
      </w:r>
      <w:r w:rsidRPr="00D175BE">
        <w:rPr>
          <w:rFonts w:eastAsia="AdvP4DF60E"/>
        </w:rPr>
        <w:t>2007</w:t>
      </w:r>
      <w:r>
        <w:rPr>
          <w:rFonts w:eastAsia="AdvP4DF60E"/>
        </w:rPr>
        <w:t>).</w:t>
      </w:r>
      <w:r w:rsidRPr="00D175BE">
        <w:rPr>
          <w:rFonts w:eastAsia="AdvP4DF60E"/>
        </w:rPr>
        <w:t xml:space="preserve"> Direct and callus-mediated protocorm-like body induction from shoot tips of </w:t>
      </w:r>
      <w:r w:rsidRPr="00D175BE">
        <w:rPr>
          <w:rFonts w:eastAsia="AdvP4DF60E"/>
          <w:i/>
        </w:rPr>
        <w:t>Dendrobium chrysotoxum</w:t>
      </w:r>
      <w:r w:rsidRPr="00D175BE">
        <w:rPr>
          <w:rFonts w:eastAsia="AdvP4DF60E"/>
        </w:rPr>
        <w:t xml:space="preserve"> Lindl. Plant Cell</w:t>
      </w:r>
      <w:r>
        <w:rPr>
          <w:rFonts w:eastAsia="AdvP4DF60E"/>
        </w:rPr>
        <w:t>,</w:t>
      </w:r>
      <w:r w:rsidRPr="00D175BE">
        <w:rPr>
          <w:rFonts w:eastAsia="AdvP4DF60E"/>
        </w:rPr>
        <w:t xml:space="preserve"> Tissue </w:t>
      </w:r>
      <w:r>
        <w:rPr>
          <w:rFonts w:eastAsia="AdvP4DF60E"/>
        </w:rPr>
        <w:t xml:space="preserve">and </w:t>
      </w:r>
      <w:r w:rsidRPr="00D175BE">
        <w:rPr>
          <w:rFonts w:eastAsia="AdvP4DF60E"/>
        </w:rPr>
        <w:t>Org</w:t>
      </w:r>
      <w:r>
        <w:rPr>
          <w:rFonts w:eastAsia="AdvP4DF60E"/>
        </w:rPr>
        <w:t xml:space="preserve">an </w:t>
      </w:r>
      <w:r w:rsidRPr="00D175BE">
        <w:rPr>
          <w:rFonts w:eastAsia="AdvP4DF60E"/>
        </w:rPr>
        <w:t>Cult</w:t>
      </w:r>
      <w:r>
        <w:rPr>
          <w:rFonts w:eastAsia="AdvP4DF60E"/>
        </w:rPr>
        <w:t>ure,</w:t>
      </w:r>
      <w:r w:rsidRPr="00D175BE">
        <w:rPr>
          <w:rFonts w:eastAsia="AdvP4DF60E"/>
        </w:rPr>
        <w:t xml:space="preserve"> 90</w:t>
      </w:r>
      <w:r>
        <w:rPr>
          <w:rFonts w:eastAsia="AdvP4DF60E"/>
        </w:rPr>
        <w:t xml:space="preserve">: </w:t>
      </w:r>
      <w:r w:rsidRPr="00D175BE">
        <w:rPr>
          <w:rFonts w:eastAsia="AdvP4DF60E"/>
        </w:rPr>
        <w:t>31–39</w:t>
      </w:r>
      <w:r>
        <w:rPr>
          <w:rFonts w:eastAsia="AdvP4DF60E"/>
        </w:rPr>
        <w:t>.</w:t>
      </w:r>
    </w:p>
    <w:p w:rsidR="00651DD5" w:rsidRPr="00D175BE" w:rsidRDefault="00651DD5" w:rsidP="00651DD5">
      <w:pPr>
        <w:numPr>
          <w:ilvl w:val="0"/>
          <w:numId w:val="3"/>
        </w:numPr>
        <w:spacing w:line="480" w:lineRule="auto"/>
        <w:jc w:val="both"/>
      </w:pPr>
      <w:r w:rsidRPr="00D175BE">
        <w:t>Sokal R</w:t>
      </w:r>
      <w:r>
        <w:t>.R.</w:t>
      </w:r>
      <w:r w:rsidRPr="00D175BE">
        <w:t>, Rohlf F</w:t>
      </w:r>
      <w:r>
        <w:t>.</w:t>
      </w:r>
      <w:r w:rsidRPr="00D175BE">
        <w:t>J</w:t>
      </w:r>
      <w:r>
        <w:t>.</w:t>
      </w:r>
      <w:r w:rsidRPr="00D175BE">
        <w:t xml:space="preserve"> </w:t>
      </w:r>
      <w:r>
        <w:t>(</w:t>
      </w:r>
      <w:r w:rsidRPr="00D175BE">
        <w:t>1987</w:t>
      </w:r>
      <w:r>
        <w:t>).</w:t>
      </w:r>
      <w:r w:rsidRPr="00D175BE">
        <w:t xml:space="preserve"> Introduction to Biostatistics</w:t>
      </w:r>
      <w:r>
        <w:t>, Second Edition,</w:t>
      </w:r>
      <w:r w:rsidRPr="00D175BE">
        <w:t xml:space="preserve"> Freeman W</w:t>
      </w:r>
      <w:r>
        <w:t>.</w:t>
      </w:r>
      <w:r w:rsidRPr="00D175BE">
        <w:t>H</w:t>
      </w:r>
      <w:r>
        <w:t>.</w:t>
      </w:r>
      <w:r w:rsidRPr="00D175BE">
        <w:t xml:space="preserve"> and Company, </w:t>
      </w:r>
      <w:r w:rsidR="008D3BA4">
        <w:t>San Francisco, 132-183pp.</w:t>
      </w:r>
    </w:p>
    <w:p w:rsidR="00651DD5" w:rsidRPr="00D175BE" w:rsidRDefault="00651DD5" w:rsidP="00651DD5">
      <w:pPr>
        <w:pStyle w:val="BodyText"/>
        <w:numPr>
          <w:ilvl w:val="0"/>
          <w:numId w:val="3"/>
        </w:numPr>
        <w:spacing w:line="480" w:lineRule="auto"/>
        <w:rPr>
          <w:sz w:val="24"/>
        </w:rPr>
      </w:pPr>
      <w:r w:rsidRPr="00D175BE">
        <w:rPr>
          <w:sz w:val="24"/>
        </w:rPr>
        <w:t>StatSoft IN</w:t>
      </w:r>
      <w:r>
        <w:rPr>
          <w:sz w:val="24"/>
        </w:rPr>
        <w:t>C</w:t>
      </w:r>
      <w:r w:rsidRPr="00D175BE">
        <w:rPr>
          <w:sz w:val="24"/>
        </w:rPr>
        <w:t xml:space="preserve"> </w:t>
      </w:r>
      <w:r>
        <w:rPr>
          <w:sz w:val="24"/>
        </w:rPr>
        <w:t>(</w:t>
      </w:r>
      <w:r w:rsidRPr="00D175BE">
        <w:rPr>
          <w:sz w:val="24"/>
        </w:rPr>
        <w:t>1995</w:t>
      </w:r>
      <w:r>
        <w:rPr>
          <w:sz w:val="24"/>
        </w:rPr>
        <w:t xml:space="preserve">). </w:t>
      </w:r>
      <w:r w:rsidRPr="00D175BE">
        <w:rPr>
          <w:sz w:val="24"/>
        </w:rPr>
        <w:t>Statistic</w:t>
      </w:r>
      <w:r w:rsidR="00846DC2">
        <w:rPr>
          <w:sz w:val="24"/>
        </w:rPr>
        <w:t>a for Windows (Computer program</w:t>
      </w:r>
      <w:r w:rsidRPr="00D175BE">
        <w:rPr>
          <w:sz w:val="24"/>
        </w:rPr>
        <w:t>). Statsoft INC., Tulsa, UK</w:t>
      </w:r>
      <w:r>
        <w:rPr>
          <w:sz w:val="24"/>
        </w:rPr>
        <w:t>.</w:t>
      </w:r>
    </w:p>
    <w:p w:rsidR="00651DD5" w:rsidRDefault="00651DD5" w:rsidP="00651DD5">
      <w:pPr>
        <w:numPr>
          <w:ilvl w:val="0"/>
          <w:numId w:val="3"/>
        </w:numPr>
        <w:autoSpaceDE w:val="0"/>
        <w:autoSpaceDN w:val="0"/>
        <w:adjustRightInd w:val="0"/>
        <w:spacing w:line="480" w:lineRule="auto"/>
        <w:jc w:val="both"/>
        <w:rPr>
          <w:rFonts w:eastAsia="Calibri"/>
        </w:rPr>
      </w:pPr>
      <w:r>
        <w:rPr>
          <w:rFonts w:eastAsia="Calibri"/>
        </w:rPr>
        <w:t>Stewart</w:t>
      </w:r>
      <w:r w:rsidRPr="00D175BE">
        <w:rPr>
          <w:rFonts w:eastAsia="Calibri"/>
        </w:rPr>
        <w:t xml:space="preserve"> J</w:t>
      </w:r>
      <w:r>
        <w:rPr>
          <w:rFonts w:eastAsia="Calibri"/>
        </w:rPr>
        <w:t>.</w:t>
      </w:r>
      <w:r w:rsidRPr="00D175BE">
        <w:rPr>
          <w:rFonts w:eastAsia="Calibri"/>
        </w:rPr>
        <w:t xml:space="preserve">, </w:t>
      </w:r>
      <w:r>
        <w:rPr>
          <w:rFonts w:eastAsia="Calibri"/>
        </w:rPr>
        <w:t>Button</w:t>
      </w:r>
      <w:r w:rsidRPr="00D175BE">
        <w:rPr>
          <w:rFonts w:eastAsia="Calibri"/>
        </w:rPr>
        <w:t xml:space="preserve"> J</w:t>
      </w:r>
      <w:r>
        <w:rPr>
          <w:rFonts w:eastAsia="Calibri"/>
        </w:rPr>
        <w:t>.</w:t>
      </w:r>
      <w:r w:rsidRPr="00D175BE">
        <w:rPr>
          <w:rFonts w:eastAsia="Calibri"/>
        </w:rPr>
        <w:t xml:space="preserve"> </w:t>
      </w:r>
      <w:r>
        <w:rPr>
          <w:rFonts w:eastAsia="Calibri"/>
        </w:rPr>
        <w:t>(</w:t>
      </w:r>
      <w:r w:rsidRPr="00D175BE">
        <w:rPr>
          <w:rFonts w:eastAsia="Calibri"/>
        </w:rPr>
        <w:t>1975</w:t>
      </w:r>
      <w:r>
        <w:rPr>
          <w:rFonts w:eastAsia="Calibri"/>
        </w:rPr>
        <w:t>).</w:t>
      </w:r>
      <w:r w:rsidRPr="00D175BE">
        <w:rPr>
          <w:rFonts w:eastAsia="Calibri"/>
        </w:rPr>
        <w:t xml:space="preserve"> Tissue culture studies in </w:t>
      </w:r>
      <w:r w:rsidRPr="00D175BE">
        <w:rPr>
          <w:rFonts w:eastAsia="Calibri"/>
          <w:i/>
        </w:rPr>
        <w:t>Paphiopedilum</w:t>
      </w:r>
      <w:r>
        <w:rPr>
          <w:rFonts w:eastAsia="Calibri"/>
        </w:rPr>
        <w:t>. American</w:t>
      </w:r>
      <w:r w:rsidRPr="00D175BE">
        <w:rPr>
          <w:rFonts w:eastAsia="Calibri"/>
        </w:rPr>
        <w:t xml:space="preserve"> Orchid Soc</w:t>
      </w:r>
      <w:r>
        <w:rPr>
          <w:rFonts w:eastAsia="Calibri"/>
        </w:rPr>
        <w:t>iety</w:t>
      </w:r>
      <w:r w:rsidRPr="00D175BE">
        <w:rPr>
          <w:rFonts w:eastAsia="Calibri"/>
        </w:rPr>
        <w:t xml:space="preserve"> Bull</w:t>
      </w:r>
      <w:r>
        <w:rPr>
          <w:rFonts w:eastAsia="Calibri"/>
        </w:rPr>
        <w:t>etin,</w:t>
      </w:r>
      <w:r w:rsidRPr="00D175BE">
        <w:rPr>
          <w:rFonts w:eastAsia="Calibri"/>
        </w:rPr>
        <w:t xml:space="preserve"> 44</w:t>
      </w:r>
      <w:r>
        <w:rPr>
          <w:rFonts w:eastAsia="Calibri"/>
        </w:rPr>
        <w:t xml:space="preserve">: </w:t>
      </w:r>
      <w:r w:rsidRPr="00D175BE">
        <w:rPr>
          <w:rFonts w:eastAsia="Calibri"/>
        </w:rPr>
        <w:t>591–599</w:t>
      </w:r>
      <w:r>
        <w:rPr>
          <w:rFonts w:eastAsia="Calibri"/>
        </w:rPr>
        <w:t>.</w:t>
      </w:r>
    </w:p>
    <w:p w:rsidR="00651DD5" w:rsidRPr="00D175BE" w:rsidRDefault="00651DD5" w:rsidP="00651DD5">
      <w:pPr>
        <w:numPr>
          <w:ilvl w:val="0"/>
          <w:numId w:val="3"/>
        </w:numPr>
        <w:autoSpaceDE w:val="0"/>
        <w:autoSpaceDN w:val="0"/>
        <w:adjustRightInd w:val="0"/>
        <w:spacing w:line="480" w:lineRule="auto"/>
        <w:jc w:val="both"/>
        <w:rPr>
          <w:rFonts w:eastAsia="Calibri"/>
        </w:rPr>
      </w:pPr>
      <w:r>
        <w:rPr>
          <w:rFonts w:eastAsia="Calibri"/>
        </w:rPr>
        <w:t xml:space="preserve">Tan B.C., Chin C.F., Alderson P. (2011). Optimisation of plant regeneration from leaf and nodal derived callus of </w:t>
      </w:r>
      <w:r>
        <w:rPr>
          <w:rFonts w:eastAsia="Calibri"/>
          <w:i/>
        </w:rPr>
        <w:t>Vanilla planifo</w:t>
      </w:r>
      <w:r w:rsidRPr="00AD55D4">
        <w:rPr>
          <w:rFonts w:eastAsia="Calibri"/>
          <w:i/>
        </w:rPr>
        <w:t>l</w:t>
      </w:r>
      <w:r>
        <w:rPr>
          <w:rFonts w:eastAsia="Calibri"/>
          <w:i/>
        </w:rPr>
        <w:t>i</w:t>
      </w:r>
      <w:r w:rsidRPr="00AD55D4">
        <w:rPr>
          <w:rFonts w:eastAsia="Calibri"/>
          <w:i/>
        </w:rPr>
        <w:t>a</w:t>
      </w:r>
      <w:r>
        <w:rPr>
          <w:rFonts w:eastAsia="Calibri"/>
        </w:rPr>
        <w:t xml:space="preserve"> Andrews. </w:t>
      </w:r>
      <w:r w:rsidRPr="00D175BE">
        <w:rPr>
          <w:rFonts w:eastAsia="AdvP4DF60E"/>
        </w:rPr>
        <w:t>Plant Cell</w:t>
      </w:r>
      <w:r>
        <w:rPr>
          <w:rFonts w:eastAsia="AdvP4DF60E"/>
        </w:rPr>
        <w:t>,</w:t>
      </w:r>
      <w:r w:rsidRPr="00D175BE">
        <w:rPr>
          <w:rFonts w:eastAsia="AdvP4DF60E"/>
        </w:rPr>
        <w:t xml:space="preserve"> Tissue </w:t>
      </w:r>
      <w:r>
        <w:rPr>
          <w:rFonts w:eastAsia="AdvP4DF60E"/>
        </w:rPr>
        <w:t xml:space="preserve">and </w:t>
      </w:r>
      <w:r w:rsidRPr="00D175BE">
        <w:rPr>
          <w:rFonts w:eastAsia="AdvP4DF60E"/>
        </w:rPr>
        <w:t>Org</w:t>
      </w:r>
      <w:r>
        <w:rPr>
          <w:rFonts w:eastAsia="AdvP4DF60E"/>
        </w:rPr>
        <w:t xml:space="preserve">an </w:t>
      </w:r>
      <w:r w:rsidRPr="00D175BE">
        <w:rPr>
          <w:rFonts w:eastAsia="AdvP4DF60E"/>
        </w:rPr>
        <w:t>Cult</w:t>
      </w:r>
      <w:r>
        <w:rPr>
          <w:rFonts w:eastAsia="AdvP4DF60E"/>
        </w:rPr>
        <w:t>ure, 105(3): 457-463.</w:t>
      </w:r>
      <w:r>
        <w:rPr>
          <w:rFonts w:eastAsia="Calibri"/>
        </w:rPr>
        <w:t xml:space="preserve">  </w:t>
      </w:r>
    </w:p>
    <w:p w:rsidR="00651DD5" w:rsidRPr="00ED44E3" w:rsidRDefault="00651DD5" w:rsidP="00651DD5">
      <w:pPr>
        <w:numPr>
          <w:ilvl w:val="0"/>
          <w:numId w:val="3"/>
        </w:numPr>
        <w:autoSpaceDE w:val="0"/>
        <w:autoSpaceDN w:val="0"/>
        <w:adjustRightInd w:val="0"/>
        <w:spacing w:line="480" w:lineRule="auto"/>
        <w:jc w:val="both"/>
      </w:pPr>
      <w:r w:rsidRPr="00ED44E3">
        <w:t>Than M</w:t>
      </w:r>
      <w:r>
        <w:t>.</w:t>
      </w:r>
      <w:r w:rsidRPr="00ED44E3">
        <w:t>M</w:t>
      </w:r>
      <w:r>
        <w:t>.</w:t>
      </w:r>
      <w:r w:rsidRPr="00ED44E3">
        <w:t>M</w:t>
      </w:r>
      <w:r>
        <w:t>.</w:t>
      </w:r>
      <w:r w:rsidRPr="00ED44E3">
        <w:t>, Pal A</w:t>
      </w:r>
      <w:r>
        <w:t>.</w:t>
      </w:r>
      <w:r w:rsidRPr="00ED44E3">
        <w:t>, Jha S</w:t>
      </w:r>
      <w:r>
        <w:t>.</w:t>
      </w:r>
      <w:r w:rsidRPr="00ED44E3">
        <w:t xml:space="preserve"> (2009)</w:t>
      </w:r>
      <w:r>
        <w:t xml:space="preserve">. </w:t>
      </w:r>
      <w:r w:rsidRPr="00ED44E3">
        <w:rPr>
          <w:i/>
        </w:rPr>
        <w:t>In vitro</w:t>
      </w:r>
      <w:r w:rsidRPr="00ED44E3">
        <w:t xml:space="preserve"> flowering and propagation of </w:t>
      </w:r>
      <w:r w:rsidRPr="00ED44E3">
        <w:rPr>
          <w:i/>
        </w:rPr>
        <w:t>Bulbophyllum auricomum</w:t>
      </w:r>
      <w:r w:rsidRPr="00ED44E3">
        <w:t xml:space="preserve"> Lindl., the royal flower of Myanmar. Acta Hort</w:t>
      </w:r>
      <w:r>
        <w:t>iculturae,</w:t>
      </w:r>
      <w:r w:rsidRPr="00ED44E3">
        <w:t xml:space="preserve"> 829:</w:t>
      </w:r>
      <w:r>
        <w:t xml:space="preserve"> </w:t>
      </w:r>
      <w:r w:rsidRPr="00ED44E3">
        <w:t>105-111</w:t>
      </w:r>
      <w:r>
        <w:t>.</w:t>
      </w:r>
    </w:p>
    <w:p w:rsidR="00651DD5" w:rsidRPr="00ED44E3" w:rsidRDefault="00651DD5" w:rsidP="00651DD5">
      <w:pPr>
        <w:numPr>
          <w:ilvl w:val="0"/>
          <w:numId w:val="3"/>
        </w:numPr>
        <w:autoSpaceDE w:val="0"/>
        <w:autoSpaceDN w:val="0"/>
        <w:adjustRightInd w:val="0"/>
        <w:spacing w:line="480" w:lineRule="auto"/>
        <w:jc w:val="both"/>
        <w:rPr>
          <w:rFonts w:eastAsia="Calibri"/>
        </w:rPr>
      </w:pPr>
      <w:r>
        <w:rPr>
          <w:rFonts w:eastAsia="Calibri"/>
        </w:rPr>
        <w:lastRenderedPageBreak/>
        <w:t>Than M.M.M., Pal A., Jha S. (2011).</w:t>
      </w:r>
      <w:r w:rsidRPr="007865AD">
        <w:t xml:space="preserve"> </w:t>
      </w:r>
      <w:r w:rsidRPr="007865AD">
        <w:rPr>
          <w:rFonts w:eastAsia="Calibri"/>
        </w:rPr>
        <w:t xml:space="preserve">Chromosome number and modal karyotype in a polysomatic endangered orchid, </w:t>
      </w:r>
      <w:r w:rsidRPr="007865AD">
        <w:rPr>
          <w:rFonts w:eastAsia="Calibri"/>
          <w:i/>
        </w:rPr>
        <w:t>Bulbophyllum auricomum</w:t>
      </w:r>
      <w:r w:rsidRPr="007865AD">
        <w:rPr>
          <w:rFonts w:eastAsia="Calibri"/>
        </w:rPr>
        <w:t xml:space="preserve"> Lindl., the Royal Flower of Myanmar. Plant Syst</w:t>
      </w:r>
      <w:r>
        <w:rPr>
          <w:rFonts w:eastAsia="Calibri"/>
        </w:rPr>
        <w:t>ematics and</w:t>
      </w:r>
      <w:r w:rsidRPr="007865AD">
        <w:rPr>
          <w:rFonts w:eastAsia="Calibri"/>
        </w:rPr>
        <w:t xml:space="preserve"> Evol</w:t>
      </w:r>
      <w:r>
        <w:rPr>
          <w:rFonts w:eastAsia="Calibri"/>
        </w:rPr>
        <w:t xml:space="preserve">ution, 294(3): 167-175. </w:t>
      </w:r>
      <w:r w:rsidRPr="00ED44E3">
        <w:rPr>
          <w:rFonts w:eastAsia="Calibri"/>
        </w:rPr>
        <w:t>DOI 10.1007/s00606-011-0459-6</w:t>
      </w:r>
      <w:r>
        <w:rPr>
          <w:rFonts w:eastAsia="Calibri"/>
        </w:rPr>
        <w:t>.</w:t>
      </w:r>
    </w:p>
    <w:p w:rsidR="00651DD5" w:rsidRPr="00D175BE" w:rsidRDefault="00651DD5" w:rsidP="00651DD5">
      <w:pPr>
        <w:numPr>
          <w:ilvl w:val="0"/>
          <w:numId w:val="3"/>
        </w:numPr>
        <w:autoSpaceDE w:val="0"/>
        <w:autoSpaceDN w:val="0"/>
        <w:adjustRightInd w:val="0"/>
        <w:spacing w:line="480" w:lineRule="auto"/>
        <w:jc w:val="both"/>
        <w:rPr>
          <w:rFonts w:eastAsia="Calibri"/>
        </w:rPr>
      </w:pPr>
      <w:r w:rsidRPr="00D175BE">
        <w:rPr>
          <w:rFonts w:eastAsia="Calibri"/>
        </w:rPr>
        <w:t>Tokuhara K</w:t>
      </w:r>
      <w:r>
        <w:rPr>
          <w:rFonts w:eastAsia="Calibri"/>
        </w:rPr>
        <w:t>.</w:t>
      </w:r>
      <w:r w:rsidRPr="00D175BE">
        <w:rPr>
          <w:rFonts w:eastAsia="Calibri"/>
        </w:rPr>
        <w:t>, Mii M</w:t>
      </w:r>
      <w:r>
        <w:rPr>
          <w:rFonts w:eastAsia="Calibri"/>
        </w:rPr>
        <w:t>.</w:t>
      </w:r>
      <w:r w:rsidRPr="00D175BE">
        <w:rPr>
          <w:rFonts w:eastAsia="Calibri"/>
        </w:rPr>
        <w:t xml:space="preserve"> </w:t>
      </w:r>
      <w:r>
        <w:rPr>
          <w:rFonts w:eastAsia="Calibri"/>
        </w:rPr>
        <w:t>(</w:t>
      </w:r>
      <w:r w:rsidRPr="00D175BE">
        <w:rPr>
          <w:rFonts w:eastAsia="Calibri"/>
        </w:rPr>
        <w:t>2001</w:t>
      </w:r>
      <w:r>
        <w:rPr>
          <w:rFonts w:eastAsia="Calibri"/>
        </w:rPr>
        <w:t>).</w:t>
      </w:r>
      <w:r w:rsidRPr="00D175BE">
        <w:rPr>
          <w:rFonts w:eastAsia="Calibri"/>
        </w:rPr>
        <w:t xml:space="preserve"> Induction of embryogenic callus and cell suspension culture from shoot tips excised from flower stalk buds of </w:t>
      </w:r>
      <w:r w:rsidRPr="00D175BE">
        <w:rPr>
          <w:rFonts w:eastAsia="Calibri"/>
          <w:i/>
          <w:iCs/>
        </w:rPr>
        <w:t xml:space="preserve">Phalaenopsis </w:t>
      </w:r>
      <w:r w:rsidRPr="00D175BE">
        <w:rPr>
          <w:rFonts w:eastAsia="Calibri"/>
        </w:rPr>
        <w:t>(Orchidaceae). In Vitro Cell Dev</w:t>
      </w:r>
      <w:r>
        <w:rPr>
          <w:rFonts w:eastAsia="Calibri"/>
        </w:rPr>
        <w:t>elopment</w:t>
      </w:r>
      <w:r w:rsidRPr="00D175BE">
        <w:rPr>
          <w:rFonts w:eastAsia="Calibri"/>
        </w:rPr>
        <w:t xml:space="preserve"> Biol</w:t>
      </w:r>
      <w:r>
        <w:rPr>
          <w:rFonts w:eastAsia="Calibri"/>
        </w:rPr>
        <w:t>ogy-</w:t>
      </w:r>
      <w:r w:rsidRPr="00D175BE">
        <w:rPr>
          <w:rFonts w:eastAsia="Calibri"/>
        </w:rPr>
        <w:t>Plant</w:t>
      </w:r>
      <w:r>
        <w:rPr>
          <w:rFonts w:eastAsia="Calibri"/>
        </w:rPr>
        <w:t>,</w:t>
      </w:r>
      <w:r w:rsidRPr="00D175BE">
        <w:rPr>
          <w:rFonts w:eastAsia="Calibri"/>
        </w:rPr>
        <w:t xml:space="preserve"> 37</w:t>
      </w:r>
      <w:r>
        <w:rPr>
          <w:rFonts w:eastAsia="Calibri"/>
        </w:rPr>
        <w:t xml:space="preserve">: </w:t>
      </w:r>
      <w:r w:rsidRPr="00D175BE">
        <w:rPr>
          <w:rFonts w:eastAsia="Calibri"/>
        </w:rPr>
        <w:t>457–461</w:t>
      </w:r>
      <w:r>
        <w:rPr>
          <w:rFonts w:eastAsia="Calibri"/>
        </w:rPr>
        <w:t>.</w:t>
      </w:r>
    </w:p>
    <w:p w:rsidR="00651DD5" w:rsidRPr="00D175BE" w:rsidRDefault="00651DD5" w:rsidP="00651DD5">
      <w:pPr>
        <w:numPr>
          <w:ilvl w:val="0"/>
          <w:numId w:val="3"/>
        </w:numPr>
        <w:spacing w:line="480" w:lineRule="auto"/>
        <w:jc w:val="both"/>
      </w:pPr>
      <w:r>
        <w:t>Zhao</w:t>
      </w:r>
      <w:r w:rsidRPr="00D175BE">
        <w:t xml:space="preserve"> P</w:t>
      </w:r>
      <w:r>
        <w:t>.</w:t>
      </w:r>
      <w:r w:rsidRPr="00D175BE">
        <w:t>, Wu F</w:t>
      </w:r>
      <w:r>
        <w:t>.</w:t>
      </w:r>
      <w:r w:rsidRPr="00D175BE">
        <w:t>, Feng F</w:t>
      </w:r>
      <w:r>
        <w:t>.</w:t>
      </w:r>
      <w:r w:rsidRPr="00D175BE">
        <w:t>S</w:t>
      </w:r>
      <w:r>
        <w:t>.</w:t>
      </w:r>
      <w:r w:rsidRPr="00D175BE">
        <w:t>, Wang</w:t>
      </w:r>
      <w:r>
        <w:t xml:space="preserve"> W.</w:t>
      </w:r>
      <w:r w:rsidRPr="00D175BE">
        <w:t>J</w:t>
      </w:r>
      <w:r>
        <w:t>.</w:t>
      </w:r>
      <w:r w:rsidRPr="00D175BE">
        <w:t xml:space="preserve"> </w:t>
      </w:r>
      <w:r>
        <w:t>(</w:t>
      </w:r>
      <w:r w:rsidRPr="00D175BE">
        <w:t>2008</w:t>
      </w:r>
      <w:r>
        <w:t xml:space="preserve">). </w:t>
      </w:r>
      <w:r w:rsidRPr="00D175BE">
        <w:t xml:space="preserve">Protocorm-like body (PLB) formation and plant regeneration from the callus culture of </w:t>
      </w:r>
      <w:r w:rsidRPr="00D175BE">
        <w:rPr>
          <w:i/>
        </w:rPr>
        <w:t>Dendrobium candidum</w:t>
      </w:r>
      <w:r w:rsidRPr="00D175BE">
        <w:t xml:space="preserve"> Wall </w:t>
      </w:r>
      <w:r w:rsidRPr="00D175BE">
        <w:rPr>
          <w:i/>
        </w:rPr>
        <w:t>ex</w:t>
      </w:r>
      <w:r w:rsidRPr="00D175BE">
        <w:t xml:space="preserve"> Lindl. In Vitro Cell Dev</w:t>
      </w:r>
      <w:r>
        <w:t xml:space="preserve">elopment </w:t>
      </w:r>
      <w:r w:rsidRPr="00D175BE">
        <w:t>Biol</w:t>
      </w:r>
      <w:r>
        <w:t>ogy-</w:t>
      </w:r>
      <w:r w:rsidRPr="00D175BE">
        <w:t>Plant</w:t>
      </w:r>
      <w:r>
        <w:t>,</w:t>
      </w:r>
      <w:r w:rsidRPr="00D175BE">
        <w:t xml:space="preserve"> 44(3)</w:t>
      </w:r>
      <w:r>
        <w:t xml:space="preserve">: </w:t>
      </w:r>
      <w:r w:rsidRPr="00D175BE">
        <w:t>178-185</w:t>
      </w:r>
      <w:r>
        <w:t>.</w:t>
      </w:r>
    </w:p>
    <w:p w:rsidR="00651DD5" w:rsidRPr="00D175BE" w:rsidRDefault="00651DD5" w:rsidP="00651DD5">
      <w:pPr>
        <w:spacing w:line="480" w:lineRule="auto"/>
        <w:jc w:val="both"/>
        <w:rPr>
          <w:b/>
        </w:rPr>
      </w:pPr>
    </w:p>
    <w:p w:rsidR="00651DD5" w:rsidRPr="00D175BE" w:rsidRDefault="00651DD5" w:rsidP="00651DD5">
      <w:pPr>
        <w:spacing w:line="480" w:lineRule="auto"/>
        <w:jc w:val="both"/>
        <w:rPr>
          <w:b/>
        </w:rPr>
      </w:pPr>
    </w:p>
    <w:p w:rsidR="00651DD5" w:rsidRPr="00D175BE" w:rsidRDefault="00651DD5" w:rsidP="00651DD5">
      <w:pPr>
        <w:spacing w:line="480" w:lineRule="auto"/>
        <w:jc w:val="both"/>
        <w:rPr>
          <w:b/>
        </w:rPr>
      </w:pPr>
    </w:p>
    <w:p w:rsidR="00651DD5" w:rsidRPr="00D175BE" w:rsidRDefault="00651DD5" w:rsidP="00651DD5">
      <w:pPr>
        <w:spacing w:line="480" w:lineRule="auto"/>
        <w:jc w:val="both"/>
        <w:rPr>
          <w:b/>
        </w:rPr>
      </w:pPr>
    </w:p>
    <w:p w:rsidR="00651DD5" w:rsidRPr="00D175BE" w:rsidRDefault="00651DD5" w:rsidP="00651DD5">
      <w:pPr>
        <w:spacing w:line="480" w:lineRule="auto"/>
        <w:jc w:val="both"/>
        <w:rPr>
          <w:b/>
        </w:rPr>
      </w:pPr>
    </w:p>
    <w:p w:rsidR="00651DD5" w:rsidRPr="00D175BE" w:rsidRDefault="00651DD5" w:rsidP="00651DD5">
      <w:pPr>
        <w:spacing w:line="480" w:lineRule="auto"/>
        <w:jc w:val="both"/>
        <w:rPr>
          <w:b/>
        </w:rPr>
      </w:pPr>
    </w:p>
    <w:p w:rsidR="00651DD5" w:rsidRPr="00D175BE" w:rsidRDefault="00651DD5" w:rsidP="00651DD5">
      <w:pPr>
        <w:spacing w:line="480" w:lineRule="auto"/>
        <w:jc w:val="both"/>
        <w:rPr>
          <w:b/>
        </w:rPr>
      </w:pPr>
      <w:r>
        <w:rPr>
          <w:b/>
        </w:rPr>
        <w:br w:type="page"/>
      </w:r>
      <w:r w:rsidRPr="00D175BE">
        <w:rPr>
          <w:b/>
        </w:rPr>
        <w:lastRenderedPageBreak/>
        <w:t xml:space="preserve">Legend of </w:t>
      </w:r>
      <w:r>
        <w:rPr>
          <w:b/>
        </w:rPr>
        <w:t>F</w:t>
      </w:r>
      <w:r w:rsidRPr="00D175BE">
        <w:rPr>
          <w:b/>
        </w:rPr>
        <w:t>igure</w:t>
      </w:r>
    </w:p>
    <w:p w:rsidR="00651DD5" w:rsidRDefault="00651DD5" w:rsidP="00651DD5">
      <w:pPr>
        <w:spacing w:line="480" w:lineRule="auto"/>
        <w:jc w:val="both"/>
        <w:rPr>
          <w:bCs/>
          <w:i/>
          <w:iCs/>
        </w:rPr>
      </w:pPr>
      <w:r w:rsidRPr="00D175BE">
        <w:rPr>
          <w:bCs/>
        </w:rPr>
        <w:t>Fig.</w:t>
      </w:r>
      <w:r>
        <w:rPr>
          <w:bCs/>
        </w:rPr>
        <w:t xml:space="preserve"> </w:t>
      </w:r>
      <w:r w:rsidRPr="00D175BE">
        <w:rPr>
          <w:bCs/>
        </w:rPr>
        <w:t xml:space="preserve">1. Callus derived from </w:t>
      </w:r>
      <w:r w:rsidRPr="00D175BE">
        <w:rPr>
          <w:bCs/>
          <w:i/>
          <w:iCs/>
        </w:rPr>
        <w:t xml:space="preserve">in vitro </w:t>
      </w:r>
      <w:r w:rsidRPr="00D175BE">
        <w:rPr>
          <w:bCs/>
        </w:rPr>
        <w:t xml:space="preserve">culture of PLB segments of </w:t>
      </w:r>
      <w:r w:rsidRPr="00D175BE">
        <w:rPr>
          <w:bCs/>
          <w:i/>
          <w:iCs/>
        </w:rPr>
        <w:t>Bulbophyllum auricomum</w:t>
      </w:r>
    </w:p>
    <w:p w:rsidR="00651DD5" w:rsidRDefault="00651DD5" w:rsidP="00651DD5">
      <w:pPr>
        <w:spacing w:line="480" w:lineRule="auto"/>
        <w:jc w:val="both"/>
        <w:rPr>
          <w:bCs/>
        </w:rPr>
      </w:pPr>
      <w:r w:rsidRPr="00D175BE">
        <w:rPr>
          <w:bCs/>
        </w:rPr>
        <w:t>(a) yellowish friable callus</w:t>
      </w:r>
      <w:r>
        <w:rPr>
          <w:bCs/>
        </w:rPr>
        <w:t xml:space="preserve"> grown</w:t>
      </w:r>
      <w:r w:rsidR="003D0530">
        <w:rPr>
          <w:bCs/>
        </w:rPr>
        <w:t xml:space="preserve"> on </w:t>
      </w:r>
      <w:r>
        <w:rPr>
          <w:bCs/>
        </w:rPr>
        <w:t>half-strength MS medium supplemented with 2.0 mgl</w:t>
      </w:r>
      <w:r w:rsidRPr="00D564DA">
        <w:rPr>
          <w:bCs/>
          <w:vertAlign w:val="superscript"/>
        </w:rPr>
        <w:t>-1</w:t>
      </w:r>
      <w:r>
        <w:rPr>
          <w:bCs/>
        </w:rPr>
        <w:t xml:space="preserve"> 2,4-D</w:t>
      </w:r>
      <w:r w:rsidRPr="00D175BE">
        <w:rPr>
          <w:bCs/>
        </w:rPr>
        <w:t>, Bar 1.3 mm; (b) yellowish green friable callus</w:t>
      </w:r>
      <w:r w:rsidRPr="009822AA">
        <w:rPr>
          <w:bCs/>
        </w:rPr>
        <w:t xml:space="preserve"> </w:t>
      </w:r>
      <w:r>
        <w:rPr>
          <w:bCs/>
        </w:rPr>
        <w:t xml:space="preserve">grown </w:t>
      </w:r>
      <w:r w:rsidR="003D0530">
        <w:rPr>
          <w:bCs/>
        </w:rPr>
        <w:t xml:space="preserve">on </w:t>
      </w:r>
      <w:r>
        <w:rPr>
          <w:bCs/>
        </w:rPr>
        <w:t>half-strength MS medium supplemented with 1.0 mgl</w:t>
      </w:r>
      <w:r w:rsidRPr="00D564DA">
        <w:rPr>
          <w:bCs/>
          <w:vertAlign w:val="superscript"/>
        </w:rPr>
        <w:t>-1</w:t>
      </w:r>
      <w:r>
        <w:rPr>
          <w:bCs/>
        </w:rPr>
        <w:t xml:space="preserve"> TDZ and 2.0 mgl</w:t>
      </w:r>
      <w:r w:rsidRPr="00D564DA">
        <w:rPr>
          <w:bCs/>
          <w:vertAlign w:val="superscript"/>
        </w:rPr>
        <w:t>-1</w:t>
      </w:r>
      <w:r>
        <w:rPr>
          <w:bCs/>
        </w:rPr>
        <w:t xml:space="preserve"> 2,4-D</w:t>
      </w:r>
      <w:r w:rsidRPr="00D175BE">
        <w:rPr>
          <w:bCs/>
        </w:rPr>
        <w:t>, Bar 1.2 mm; (c) shoot-bud like structure</w:t>
      </w:r>
      <w:r>
        <w:rPr>
          <w:bCs/>
        </w:rPr>
        <w:t>s</w:t>
      </w:r>
      <w:r w:rsidRPr="00D175BE">
        <w:rPr>
          <w:bCs/>
        </w:rPr>
        <w:t xml:space="preserve"> </w:t>
      </w:r>
      <w:r>
        <w:rPr>
          <w:bCs/>
        </w:rPr>
        <w:t xml:space="preserve">(arrows) </w:t>
      </w:r>
      <w:r w:rsidRPr="00D175BE">
        <w:rPr>
          <w:bCs/>
        </w:rPr>
        <w:t>on the surface of callus</w:t>
      </w:r>
      <w:r>
        <w:rPr>
          <w:bCs/>
        </w:rPr>
        <w:t xml:space="preserve"> grown </w:t>
      </w:r>
      <w:r w:rsidR="003D0530">
        <w:rPr>
          <w:bCs/>
        </w:rPr>
        <w:t xml:space="preserve">on </w:t>
      </w:r>
      <w:r>
        <w:rPr>
          <w:bCs/>
        </w:rPr>
        <w:t>half-strength MS medium supplemented</w:t>
      </w:r>
      <w:r w:rsidRPr="00D175BE">
        <w:rPr>
          <w:bCs/>
        </w:rPr>
        <w:t xml:space="preserve"> </w:t>
      </w:r>
      <w:r>
        <w:rPr>
          <w:bCs/>
        </w:rPr>
        <w:t xml:space="preserve">with </w:t>
      </w:r>
      <w:r w:rsidRPr="00D175BE">
        <w:rPr>
          <w:bCs/>
        </w:rPr>
        <w:t xml:space="preserve">0.1 </w:t>
      </w:r>
      <w:r>
        <w:rPr>
          <w:bCs/>
        </w:rPr>
        <w:t>mgl</w:t>
      </w:r>
      <w:r w:rsidRPr="00D564DA">
        <w:rPr>
          <w:bCs/>
          <w:vertAlign w:val="superscript"/>
        </w:rPr>
        <w:t>-1</w:t>
      </w:r>
      <w:r w:rsidRPr="00D175BE">
        <w:rPr>
          <w:bCs/>
        </w:rPr>
        <w:t xml:space="preserve"> TDZ, Bar 0.2 mm; (d) PLB like structure</w:t>
      </w:r>
      <w:r>
        <w:rPr>
          <w:bCs/>
        </w:rPr>
        <w:t>s (arrows)</w:t>
      </w:r>
      <w:r w:rsidRPr="00D175BE">
        <w:rPr>
          <w:bCs/>
        </w:rPr>
        <w:t xml:space="preserve"> appeared </w:t>
      </w:r>
      <w:r>
        <w:rPr>
          <w:bCs/>
        </w:rPr>
        <w:t xml:space="preserve">on the surface of the culture grown </w:t>
      </w:r>
      <w:r w:rsidRPr="00D175BE">
        <w:rPr>
          <w:bCs/>
        </w:rPr>
        <w:t xml:space="preserve">on half-strength MS medium supplemented with 0.1 </w:t>
      </w:r>
      <w:r>
        <w:rPr>
          <w:bCs/>
        </w:rPr>
        <w:t>mgl</w:t>
      </w:r>
      <w:r w:rsidRPr="00D564DA">
        <w:rPr>
          <w:bCs/>
          <w:vertAlign w:val="superscript"/>
        </w:rPr>
        <w:t>-1</w:t>
      </w:r>
      <w:r w:rsidRPr="00D175BE">
        <w:rPr>
          <w:bCs/>
        </w:rPr>
        <w:t xml:space="preserve"> TDZ </w:t>
      </w:r>
      <w:r>
        <w:rPr>
          <w:bCs/>
        </w:rPr>
        <w:t>after 2 weeks</w:t>
      </w:r>
      <w:r w:rsidRPr="00D175BE">
        <w:rPr>
          <w:bCs/>
        </w:rPr>
        <w:t xml:space="preserve">, Bar 0.3 mm; (e) Differentiation of shoots in cluster, Bar 1.4 mm; (f) </w:t>
      </w:r>
      <w:r>
        <w:rPr>
          <w:bCs/>
        </w:rPr>
        <w:t>roo</w:t>
      </w:r>
      <w:r w:rsidRPr="00D175BE">
        <w:rPr>
          <w:bCs/>
        </w:rPr>
        <w:t>ted plantlet</w:t>
      </w:r>
      <w:r w:rsidR="003D0530">
        <w:rPr>
          <w:bCs/>
        </w:rPr>
        <w:t xml:space="preserve"> on </w:t>
      </w:r>
      <w:r w:rsidRPr="00D175BE">
        <w:rPr>
          <w:bCs/>
        </w:rPr>
        <w:t xml:space="preserve">half-strength MS basal medium, </w:t>
      </w:r>
      <w:r>
        <w:rPr>
          <w:bCs/>
        </w:rPr>
        <w:t xml:space="preserve">Bar 3.4 mm; (g) </w:t>
      </w:r>
      <w:r w:rsidRPr="0056588E">
        <w:rPr>
          <w:bCs/>
        </w:rPr>
        <w:t>new shoots (arrows) appeared</w:t>
      </w:r>
      <w:r>
        <w:rPr>
          <w:bCs/>
        </w:rPr>
        <w:t xml:space="preserve"> from </w:t>
      </w:r>
      <w:r w:rsidRPr="00FF089D">
        <w:rPr>
          <w:bCs/>
          <w:i/>
        </w:rPr>
        <w:t>de novo</w:t>
      </w:r>
      <w:r>
        <w:rPr>
          <w:bCs/>
        </w:rPr>
        <w:t xml:space="preserve"> generated PLBs, </w:t>
      </w:r>
      <w:r w:rsidRPr="00D175BE">
        <w:rPr>
          <w:bCs/>
        </w:rPr>
        <w:t xml:space="preserve">Bar </w:t>
      </w:r>
      <w:r>
        <w:rPr>
          <w:bCs/>
        </w:rPr>
        <w:t>2</w:t>
      </w:r>
      <w:r w:rsidRPr="00D175BE">
        <w:rPr>
          <w:bCs/>
        </w:rPr>
        <w:t>.4 mm.</w:t>
      </w:r>
    </w:p>
    <w:p w:rsidR="00651DD5" w:rsidRPr="004C6216" w:rsidRDefault="00651DD5" w:rsidP="00651DD5">
      <w:pPr>
        <w:spacing w:line="480" w:lineRule="auto"/>
        <w:ind w:left="990" w:right="360" w:hanging="990"/>
        <w:jc w:val="both"/>
        <w:rPr>
          <w:bCs/>
        </w:rPr>
      </w:pPr>
      <w:r>
        <w:br w:type="page"/>
      </w:r>
      <w:r w:rsidRPr="00017619">
        <w:rPr>
          <w:bCs/>
        </w:rPr>
        <w:lastRenderedPageBreak/>
        <w:t>Table</w:t>
      </w:r>
      <w:r>
        <w:rPr>
          <w:bCs/>
        </w:rPr>
        <w:t xml:space="preserve"> </w:t>
      </w:r>
      <w:r w:rsidRPr="00017619">
        <w:rPr>
          <w:bCs/>
        </w:rPr>
        <w:t>1</w:t>
      </w:r>
      <w:r>
        <w:rPr>
          <w:bCs/>
        </w:rPr>
        <w:t xml:space="preserve">. </w:t>
      </w:r>
      <w:r w:rsidRPr="00017619">
        <w:rPr>
          <w:bCs/>
        </w:rPr>
        <w:t>Effects of different concentrations and combinations of TDZ and 2,4-D on</w:t>
      </w:r>
      <w:r>
        <w:rPr>
          <w:bCs/>
        </w:rPr>
        <w:t xml:space="preserve"> </w:t>
      </w:r>
      <w:r w:rsidRPr="00017619">
        <w:rPr>
          <w:bCs/>
        </w:rPr>
        <w:t>callus</w:t>
      </w:r>
      <w:r>
        <w:rPr>
          <w:bCs/>
        </w:rPr>
        <w:t xml:space="preserve">             </w:t>
      </w:r>
      <w:r w:rsidRPr="00017619">
        <w:rPr>
          <w:bCs/>
        </w:rPr>
        <w:t xml:space="preserve">induction from PLB segments of </w:t>
      </w:r>
      <w:r w:rsidRPr="00017619">
        <w:rPr>
          <w:i/>
        </w:rPr>
        <w:t>B. auricomum</w:t>
      </w:r>
      <w:r>
        <w:t xml:space="preserve"> grown under dark condition.</w:t>
      </w:r>
      <w:r w:rsidRPr="00017619">
        <w:t xml:space="preserve"> </w:t>
      </w: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14"/>
        <w:gridCol w:w="993"/>
        <w:gridCol w:w="1159"/>
        <w:gridCol w:w="1276"/>
        <w:gridCol w:w="3218"/>
      </w:tblGrid>
      <w:tr w:rsidR="00D85184" w:rsidRPr="001D454F" w:rsidTr="00D85184">
        <w:tc>
          <w:tcPr>
            <w:tcW w:w="1014" w:type="dxa"/>
            <w:vMerge w:val="restart"/>
          </w:tcPr>
          <w:p w:rsidR="00D85184" w:rsidRPr="001D454F" w:rsidRDefault="00D85184" w:rsidP="00964F37">
            <w:pPr>
              <w:spacing w:line="480" w:lineRule="auto"/>
              <w:jc w:val="center"/>
              <w:rPr>
                <w:bCs/>
              </w:rPr>
            </w:pPr>
            <w:r w:rsidRPr="001D454F">
              <w:rPr>
                <w:bCs/>
              </w:rPr>
              <w:t>TDZ</w:t>
            </w:r>
            <w:r>
              <w:rPr>
                <w:bCs/>
              </w:rPr>
              <w:t xml:space="preserve"> </w:t>
            </w:r>
            <w:r w:rsidRPr="009820CB">
              <w:rPr>
                <w:bCs/>
              </w:rPr>
              <w:t>(</w:t>
            </w:r>
            <w:r>
              <w:rPr>
                <w:bCs/>
              </w:rPr>
              <w:t>mgl</w:t>
            </w:r>
            <w:r w:rsidRPr="00D564DA">
              <w:rPr>
                <w:bCs/>
                <w:vertAlign w:val="superscript"/>
              </w:rPr>
              <w:t>-1</w:t>
            </w:r>
            <w:r w:rsidRPr="009820CB">
              <w:rPr>
                <w:bCs/>
              </w:rPr>
              <w:t>)</w:t>
            </w:r>
          </w:p>
        </w:tc>
        <w:tc>
          <w:tcPr>
            <w:tcW w:w="993" w:type="dxa"/>
            <w:vMerge w:val="restart"/>
          </w:tcPr>
          <w:p w:rsidR="00D85184" w:rsidRPr="001D454F" w:rsidRDefault="00D85184" w:rsidP="00964F37">
            <w:pPr>
              <w:spacing w:line="480" w:lineRule="auto"/>
              <w:jc w:val="center"/>
              <w:rPr>
                <w:bCs/>
              </w:rPr>
            </w:pPr>
            <w:r w:rsidRPr="001D454F">
              <w:rPr>
                <w:bCs/>
              </w:rPr>
              <w:t>2,4-D</w:t>
            </w:r>
            <w:r>
              <w:rPr>
                <w:bCs/>
              </w:rPr>
              <w:t xml:space="preserve"> </w:t>
            </w:r>
            <w:r w:rsidRPr="009820CB">
              <w:rPr>
                <w:bCs/>
              </w:rPr>
              <w:t>(</w:t>
            </w:r>
            <w:r>
              <w:rPr>
                <w:bCs/>
              </w:rPr>
              <w:t>mgl</w:t>
            </w:r>
            <w:r w:rsidRPr="00D564DA">
              <w:rPr>
                <w:bCs/>
                <w:vertAlign w:val="superscript"/>
              </w:rPr>
              <w:t>-1</w:t>
            </w:r>
            <w:r w:rsidRPr="009820CB">
              <w:rPr>
                <w:bCs/>
              </w:rPr>
              <w:t>)</w:t>
            </w:r>
          </w:p>
        </w:tc>
        <w:tc>
          <w:tcPr>
            <w:tcW w:w="2435" w:type="dxa"/>
            <w:gridSpan w:val="2"/>
          </w:tcPr>
          <w:p w:rsidR="00D85184" w:rsidRPr="001D454F" w:rsidRDefault="00D85184" w:rsidP="00663C88">
            <w:pPr>
              <w:spacing w:line="480" w:lineRule="auto"/>
              <w:ind w:right="-168" w:hanging="138"/>
              <w:jc w:val="center"/>
              <w:rPr>
                <w:bCs/>
              </w:rPr>
            </w:pPr>
            <w:r w:rsidRPr="009820CB">
              <w:rPr>
                <w:bCs/>
              </w:rPr>
              <w:t xml:space="preserve">Percentage of </w:t>
            </w:r>
            <w:r>
              <w:rPr>
                <w:bCs/>
              </w:rPr>
              <w:t xml:space="preserve">explants showing </w:t>
            </w:r>
            <w:r w:rsidRPr="009820CB">
              <w:rPr>
                <w:bCs/>
              </w:rPr>
              <w:t>callus</w:t>
            </w:r>
            <w:r>
              <w:rPr>
                <w:bCs/>
              </w:rPr>
              <w:t xml:space="preserve"> induction</w:t>
            </w:r>
            <w:r w:rsidRPr="009820CB">
              <w:rPr>
                <w:bCs/>
              </w:rPr>
              <w:t xml:space="preserve"> </w:t>
            </w:r>
            <w:r>
              <w:rPr>
                <w:bCs/>
                <w:vertAlign w:val="superscript"/>
              </w:rPr>
              <w:t>*</w:t>
            </w:r>
          </w:p>
        </w:tc>
        <w:tc>
          <w:tcPr>
            <w:tcW w:w="3218" w:type="dxa"/>
            <w:vMerge w:val="restart"/>
          </w:tcPr>
          <w:p w:rsidR="00D85184" w:rsidRPr="001D454F" w:rsidRDefault="00D85184" w:rsidP="00964F37">
            <w:pPr>
              <w:spacing w:line="480" w:lineRule="auto"/>
              <w:jc w:val="center"/>
              <w:rPr>
                <w:bCs/>
              </w:rPr>
            </w:pPr>
            <w:r w:rsidRPr="009820CB">
              <w:rPr>
                <w:bCs/>
              </w:rPr>
              <w:t>Nature of callus</w:t>
            </w:r>
          </w:p>
        </w:tc>
      </w:tr>
      <w:tr w:rsidR="00D85184" w:rsidRPr="001D454F" w:rsidTr="00D85184">
        <w:tc>
          <w:tcPr>
            <w:tcW w:w="1014" w:type="dxa"/>
            <w:vMerge/>
          </w:tcPr>
          <w:p w:rsidR="00D85184" w:rsidRPr="001D454F" w:rsidRDefault="00D85184" w:rsidP="00964F37">
            <w:pPr>
              <w:spacing w:line="480" w:lineRule="auto"/>
              <w:jc w:val="center"/>
              <w:rPr>
                <w:bCs/>
              </w:rPr>
            </w:pPr>
          </w:p>
        </w:tc>
        <w:tc>
          <w:tcPr>
            <w:tcW w:w="993" w:type="dxa"/>
            <w:vMerge/>
          </w:tcPr>
          <w:p w:rsidR="00D85184" w:rsidRPr="001D454F" w:rsidRDefault="00D85184" w:rsidP="00964F37">
            <w:pPr>
              <w:spacing w:line="480" w:lineRule="auto"/>
              <w:jc w:val="center"/>
              <w:rPr>
                <w:bCs/>
              </w:rPr>
            </w:pPr>
          </w:p>
        </w:tc>
        <w:tc>
          <w:tcPr>
            <w:tcW w:w="1159" w:type="dxa"/>
          </w:tcPr>
          <w:p w:rsidR="00D85184" w:rsidRPr="001D454F" w:rsidRDefault="00D85184" w:rsidP="00964F37">
            <w:pPr>
              <w:spacing w:line="480" w:lineRule="auto"/>
              <w:jc w:val="center"/>
              <w:rPr>
                <w:bCs/>
              </w:rPr>
            </w:pPr>
            <w:r>
              <w:rPr>
                <w:bCs/>
              </w:rPr>
              <w:t>90 days</w:t>
            </w:r>
          </w:p>
        </w:tc>
        <w:tc>
          <w:tcPr>
            <w:tcW w:w="1276" w:type="dxa"/>
          </w:tcPr>
          <w:p w:rsidR="00D85184" w:rsidRPr="001D454F" w:rsidRDefault="00D85184" w:rsidP="00964F37">
            <w:pPr>
              <w:spacing w:line="480" w:lineRule="auto"/>
              <w:jc w:val="center"/>
              <w:rPr>
                <w:bCs/>
              </w:rPr>
            </w:pPr>
            <w:r>
              <w:rPr>
                <w:bCs/>
              </w:rPr>
              <w:t>120 days</w:t>
            </w:r>
          </w:p>
        </w:tc>
        <w:tc>
          <w:tcPr>
            <w:tcW w:w="3218" w:type="dxa"/>
            <w:vMerge/>
          </w:tcPr>
          <w:p w:rsidR="00D85184" w:rsidRPr="001D454F" w:rsidRDefault="00D85184" w:rsidP="00964F37">
            <w:pPr>
              <w:spacing w:line="480" w:lineRule="auto"/>
              <w:jc w:val="center"/>
              <w:rPr>
                <w:bCs/>
              </w:rPr>
            </w:pPr>
          </w:p>
        </w:tc>
      </w:tr>
      <w:tr w:rsidR="00D85184" w:rsidRPr="001D454F" w:rsidTr="00D85184">
        <w:tc>
          <w:tcPr>
            <w:tcW w:w="1014" w:type="dxa"/>
          </w:tcPr>
          <w:p w:rsidR="00D85184" w:rsidRPr="001D454F" w:rsidRDefault="00D85184" w:rsidP="00964F37">
            <w:pPr>
              <w:spacing w:line="480" w:lineRule="auto"/>
              <w:jc w:val="center"/>
              <w:rPr>
                <w:bCs/>
              </w:rPr>
            </w:pPr>
            <w:r>
              <w:rPr>
                <w:bCs/>
              </w:rPr>
              <w:t>0</w:t>
            </w:r>
          </w:p>
        </w:tc>
        <w:tc>
          <w:tcPr>
            <w:tcW w:w="993" w:type="dxa"/>
          </w:tcPr>
          <w:p w:rsidR="00D85184" w:rsidRPr="001D454F" w:rsidRDefault="00D85184" w:rsidP="00964F37">
            <w:pPr>
              <w:spacing w:line="480" w:lineRule="auto"/>
              <w:jc w:val="center"/>
              <w:rPr>
                <w:bCs/>
              </w:rPr>
            </w:pPr>
            <w:r>
              <w:rPr>
                <w:bCs/>
              </w:rPr>
              <w:t>0</w:t>
            </w:r>
          </w:p>
        </w:tc>
        <w:tc>
          <w:tcPr>
            <w:tcW w:w="1159" w:type="dxa"/>
          </w:tcPr>
          <w:p w:rsidR="00D85184" w:rsidRPr="001D454F" w:rsidRDefault="00D85184" w:rsidP="00964F37">
            <w:pPr>
              <w:spacing w:line="480" w:lineRule="auto"/>
              <w:jc w:val="center"/>
              <w:rPr>
                <w:bCs/>
              </w:rPr>
            </w:pPr>
            <w:r>
              <w:t>0</w:t>
            </w:r>
            <w:r w:rsidRPr="002826EA">
              <w:rPr>
                <w:vertAlign w:val="superscript"/>
              </w:rPr>
              <w:t>a</w:t>
            </w:r>
          </w:p>
        </w:tc>
        <w:tc>
          <w:tcPr>
            <w:tcW w:w="1276" w:type="dxa"/>
          </w:tcPr>
          <w:p w:rsidR="00D85184" w:rsidRPr="001D454F" w:rsidRDefault="00D85184" w:rsidP="00964F37">
            <w:pPr>
              <w:spacing w:line="480" w:lineRule="auto"/>
              <w:jc w:val="center"/>
              <w:rPr>
                <w:bCs/>
              </w:rPr>
            </w:pPr>
            <w:r>
              <w:t>0</w:t>
            </w:r>
            <w:r w:rsidRPr="002826EA">
              <w:rPr>
                <w:vertAlign w:val="superscript"/>
              </w:rPr>
              <w:t>a</w:t>
            </w:r>
          </w:p>
        </w:tc>
        <w:tc>
          <w:tcPr>
            <w:tcW w:w="3218" w:type="dxa"/>
          </w:tcPr>
          <w:p w:rsidR="00D85184" w:rsidRPr="001D454F" w:rsidRDefault="00D85184" w:rsidP="00964F37">
            <w:pPr>
              <w:jc w:val="center"/>
              <w:rPr>
                <w:bCs/>
              </w:rPr>
            </w:pPr>
            <w:r>
              <w:t>Direct shoot bud induction, no callus formation</w:t>
            </w:r>
          </w:p>
        </w:tc>
      </w:tr>
      <w:tr w:rsidR="00D85184" w:rsidRPr="001D454F" w:rsidTr="00D85184">
        <w:tc>
          <w:tcPr>
            <w:tcW w:w="1014" w:type="dxa"/>
          </w:tcPr>
          <w:p w:rsidR="00D85184" w:rsidRPr="001D454F" w:rsidRDefault="00D85184" w:rsidP="00964F37">
            <w:pPr>
              <w:spacing w:line="480" w:lineRule="auto"/>
              <w:jc w:val="center"/>
              <w:rPr>
                <w:bCs/>
              </w:rPr>
            </w:pPr>
            <w:r>
              <w:rPr>
                <w:bCs/>
              </w:rPr>
              <w:t>0</w:t>
            </w:r>
          </w:p>
        </w:tc>
        <w:tc>
          <w:tcPr>
            <w:tcW w:w="993" w:type="dxa"/>
          </w:tcPr>
          <w:p w:rsidR="00D85184" w:rsidRPr="001D454F" w:rsidRDefault="00D85184" w:rsidP="00964F37">
            <w:pPr>
              <w:spacing w:line="480" w:lineRule="auto"/>
              <w:jc w:val="center"/>
              <w:rPr>
                <w:bCs/>
              </w:rPr>
            </w:pPr>
            <w:r>
              <w:rPr>
                <w:bCs/>
              </w:rPr>
              <w:t>0.5</w:t>
            </w:r>
          </w:p>
        </w:tc>
        <w:tc>
          <w:tcPr>
            <w:tcW w:w="1159" w:type="dxa"/>
          </w:tcPr>
          <w:p w:rsidR="00D85184" w:rsidRPr="001D454F" w:rsidRDefault="00D85184" w:rsidP="00964F37">
            <w:pPr>
              <w:spacing w:line="480" w:lineRule="auto"/>
              <w:jc w:val="center"/>
              <w:rPr>
                <w:bCs/>
              </w:rPr>
            </w:pPr>
            <w:r>
              <w:t>29±0.37</w:t>
            </w:r>
            <w:r w:rsidRPr="002826EA">
              <w:rPr>
                <w:vertAlign w:val="superscript"/>
              </w:rPr>
              <w:t>ab</w:t>
            </w:r>
          </w:p>
        </w:tc>
        <w:tc>
          <w:tcPr>
            <w:tcW w:w="1276" w:type="dxa"/>
          </w:tcPr>
          <w:p w:rsidR="00D85184" w:rsidRPr="001D454F" w:rsidRDefault="00D85184" w:rsidP="00964F37">
            <w:pPr>
              <w:spacing w:line="480" w:lineRule="auto"/>
              <w:jc w:val="center"/>
              <w:rPr>
                <w:bCs/>
              </w:rPr>
            </w:pPr>
            <w:r>
              <w:t>29±0.37</w:t>
            </w:r>
            <w:r w:rsidRPr="002826EA">
              <w:rPr>
                <w:vertAlign w:val="superscript"/>
              </w:rPr>
              <w:t>ab</w:t>
            </w:r>
          </w:p>
        </w:tc>
        <w:tc>
          <w:tcPr>
            <w:tcW w:w="3218" w:type="dxa"/>
          </w:tcPr>
          <w:p w:rsidR="00D85184" w:rsidRPr="001D454F" w:rsidRDefault="00D85184" w:rsidP="00964F37">
            <w:pPr>
              <w:spacing w:line="480" w:lineRule="auto"/>
              <w:jc w:val="center"/>
              <w:rPr>
                <w:bCs/>
              </w:rPr>
            </w:pPr>
            <w:r>
              <w:t>Yellowish friable</w:t>
            </w:r>
          </w:p>
        </w:tc>
      </w:tr>
      <w:tr w:rsidR="00D85184" w:rsidRPr="001D454F" w:rsidTr="00D85184">
        <w:tc>
          <w:tcPr>
            <w:tcW w:w="1014" w:type="dxa"/>
          </w:tcPr>
          <w:p w:rsidR="00D85184" w:rsidRPr="001D454F" w:rsidRDefault="00D85184" w:rsidP="00964F37">
            <w:pPr>
              <w:spacing w:line="480" w:lineRule="auto"/>
              <w:jc w:val="center"/>
              <w:rPr>
                <w:bCs/>
              </w:rPr>
            </w:pPr>
            <w:r>
              <w:rPr>
                <w:bCs/>
              </w:rPr>
              <w:t>0</w:t>
            </w:r>
          </w:p>
        </w:tc>
        <w:tc>
          <w:tcPr>
            <w:tcW w:w="993" w:type="dxa"/>
          </w:tcPr>
          <w:p w:rsidR="00D85184" w:rsidRPr="001D454F" w:rsidRDefault="00D85184" w:rsidP="00964F37">
            <w:pPr>
              <w:spacing w:line="480" w:lineRule="auto"/>
              <w:jc w:val="center"/>
              <w:rPr>
                <w:bCs/>
              </w:rPr>
            </w:pPr>
            <w:r>
              <w:rPr>
                <w:bCs/>
              </w:rPr>
              <w:t>1.0</w:t>
            </w:r>
          </w:p>
        </w:tc>
        <w:tc>
          <w:tcPr>
            <w:tcW w:w="1159" w:type="dxa"/>
          </w:tcPr>
          <w:p w:rsidR="00D85184" w:rsidRPr="001D454F" w:rsidRDefault="00D85184" w:rsidP="00964F37">
            <w:pPr>
              <w:spacing w:line="480" w:lineRule="auto"/>
              <w:jc w:val="center"/>
              <w:rPr>
                <w:bCs/>
              </w:rPr>
            </w:pPr>
            <w:r>
              <w:t>50±0.24</w:t>
            </w:r>
            <w:r w:rsidRPr="002826EA">
              <w:rPr>
                <w:vertAlign w:val="superscript"/>
              </w:rPr>
              <w:t>b</w:t>
            </w:r>
          </w:p>
        </w:tc>
        <w:tc>
          <w:tcPr>
            <w:tcW w:w="1276" w:type="dxa"/>
          </w:tcPr>
          <w:p w:rsidR="00D85184" w:rsidRPr="001D454F" w:rsidRDefault="00D85184" w:rsidP="00964F37">
            <w:pPr>
              <w:spacing w:line="480" w:lineRule="auto"/>
              <w:jc w:val="center"/>
              <w:rPr>
                <w:bCs/>
              </w:rPr>
            </w:pPr>
            <w:r>
              <w:t>56±0.20</w:t>
            </w:r>
            <w:r w:rsidRPr="002826EA">
              <w:rPr>
                <w:vertAlign w:val="superscript"/>
              </w:rPr>
              <w:t>bc</w:t>
            </w:r>
          </w:p>
        </w:tc>
        <w:tc>
          <w:tcPr>
            <w:tcW w:w="3218" w:type="dxa"/>
          </w:tcPr>
          <w:p w:rsidR="00D85184" w:rsidRPr="001D454F" w:rsidRDefault="00D85184" w:rsidP="00964F37">
            <w:pPr>
              <w:spacing w:line="480" w:lineRule="auto"/>
              <w:jc w:val="center"/>
              <w:rPr>
                <w:bCs/>
              </w:rPr>
            </w:pPr>
            <w:r>
              <w:t>Yellowish friable</w:t>
            </w:r>
          </w:p>
        </w:tc>
      </w:tr>
      <w:tr w:rsidR="00D85184" w:rsidRPr="001D454F" w:rsidTr="00D85184">
        <w:tc>
          <w:tcPr>
            <w:tcW w:w="1014" w:type="dxa"/>
          </w:tcPr>
          <w:p w:rsidR="00D85184" w:rsidRPr="001D454F" w:rsidRDefault="00D85184" w:rsidP="00964F37">
            <w:pPr>
              <w:spacing w:line="480" w:lineRule="auto"/>
              <w:jc w:val="center"/>
              <w:rPr>
                <w:bCs/>
              </w:rPr>
            </w:pPr>
            <w:r>
              <w:rPr>
                <w:bCs/>
              </w:rPr>
              <w:t>0</w:t>
            </w:r>
          </w:p>
        </w:tc>
        <w:tc>
          <w:tcPr>
            <w:tcW w:w="993" w:type="dxa"/>
          </w:tcPr>
          <w:p w:rsidR="00D85184" w:rsidRPr="001D454F" w:rsidRDefault="00D85184" w:rsidP="00964F37">
            <w:pPr>
              <w:spacing w:line="480" w:lineRule="auto"/>
              <w:jc w:val="center"/>
              <w:rPr>
                <w:bCs/>
              </w:rPr>
            </w:pPr>
            <w:r>
              <w:rPr>
                <w:bCs/>
              </w:rPr>
              <w:t>2.0</w:t>
            </w:r>
          </w:p>
        </w:tc>
        <w:tc>
          <w:tcPr>
            <w:tcW w:w="1159" w:type="dxa"/>
          </w:tcPr>
          <w:p w:rsidR="00D85184" w:rsidRPr="001D454F" w:rsidRDefault="00D85184" w:rsidP="00964F37">
            <w:pPr>
              <w:spacing w:line="480" w:lineRule="auto"/>
              <w:jc w:val="center"/>
              <w:rPr>
                <w:bCs/>
              </w:rPr>
            </w:pPr>
            <w:r>
              <w:t>67±0.20</w:t>
            </w:r>
            <w:r w:rsidRPr="002826EA">
              <w:rPr>
                <w:vertAlign w:val="superscript"/>
              </w:rPr>
              <w:t>b</w:t>
            </w:r>
          </w:p>
        </w:tc>
        <w:tc>
          <w:tcPr>
            <w:tcW w:w="1276" w:type="dxa"/>
          </w:tcPr>
          <w:p w:rsidR="00D85184" w:rsidRPr="001D454F" w:rsidRDefault="00D85184" w:rsidP="00964F37">
            <w:pPr>
              <w:spacing w:line="480" w:lineRule="auto"/>
              <w:jc w:val="center"/>
              <w:rPr>
                <w:bCs/>
              </w:rPr>
            </w:pPr>
            <w:r>
              <w:t>77±0.31</w:t>
            </w:r>
            <w:r w:rsidRPr="002826EA">
              <w:rPr>
                <w:vertAlign w:val="superscript"/>
              </w:rPr>
              <w:t>c</w:t>
            </w:r>
          </w:p>
        </w:tc>
        <w:tc>
          <w:tcPr>
            <w:tcW w:w="3218" w:type="dxa"/>
          </w:tcPr>
          <w:p w:rsidR="00D85184" w:rsidRPr="001D454F" w:rsidRDefault="00D85184" w:rsidP="00964F37">
            <w:pPr>
              <w:spacing w:line="480" w:lineRule="auto"/>
              <w:jc w:val="center"/>
              <w:rPr>
                <w:bCs/>
              </w:rPr>
            </w:pPr>
            <w:r>
              <w:t>Yellowish friable</w:t>
            </w:r>
          </w:p>
        </w:tc>
      </w:tr>
      <w:tr w:rsidR="00D85184" w:rsidRPr="001D454F" w:rsidTr="00D85184">
        <w:tc>
          <w:tcPr>
            <w:tcW w:w="1014" w:type="dxa"/>
          </w:tcPr>
          <w:p w:rsidR="00D85184" w:rsidRPr="001D454F" w:rsidRDefault="00D85184" w:rsidP="00964F37">
            <w:pPr>
              <w:spacing w:line="480" w:lineRule="auto"/>
              <w:jc w:val="center"/>
              <w:rPr>
                <w:bCs/>
              </w:rPr>
            </w:pPr>
            <w:r>
              <w:rPr>
                <w:bCs/>
              </w:rPr>
              <w:t>0.1</w:t>
            </w:r>
          </w:p>
        </w:tc>
        <w:tc>
          <w:tcPr>
            <w:tcW w:w="993" w:type="dxa"/>
          </w:tcPr>
          <w:p w:rsidR="00D85184" w:rsidRPr="001D454F" w:rsidRDefault="00D85184" w:rsidP="00964F37">
            <w:pPr>
              <w:spacing w:line="480" w:lineRule="auto"/>
              <w:jc w:val="center"/>
              <w:rPr>
                <w:bCs/>
              </w:rPr>
            </w:pPr>
            <w:r>
              <w:rPr>
                <w:bCs/>
              </w:rPr>
              <w:t>0</w:t>
            </w:r>
          </w:p>
        </w:tc>
        <w:tc>
          <w:tcPr>
            <w:tcW w:w="1159" w:type="dxa"/>
          </w:tcPr>
          <w:p w:rsidR="00D85184" w:rsidRPr="001D454F" w:rsidRDefault="00D85184" w:rsidP="00964F37">
            <w:pPr>
              <w:spacing w:line="480" w:lineRule="auto"/>
              <w:jc w:val="center"/>
              <w:rPr>
                <w:bCs/>
              </w:rPr>
            </w:pPr>
            <w:r>
              <w:t>0</w:t>
            </w:r>
            <w:r w:rsidRPr="002826EA">
              <w:rPr>
                <w:vertAlign w:val="superscript"/>
              </w:rPr>
              <w:t>a</w:t>
            </w:r>
          </w:p>
        </w:tc>
        <w:tc>
          <w:tcPr>
            <w:tcW w:w="1276" w:type="dxa"/>
          </w:tcPr>
          <w:p w:rsidR="00D85184" w:rsidRPr="001D454F" w:rsidRDefault="00D85184" w:rsidP="00964F37">
            <w:pPr>
              <w:spacing w:line="480" w:lineRule="auto"/>
              <w:jc w:val="center"/>
              <w:rPr>
                <w:bCs/>
              </w:rPr>
            </w:pPr>
            <w:r>
              <w:t>0</w:t>
            </w:r>
            <w:r w:rsidRPr="002826EA">
              <w:rPr>
                <w:vertAlign w:val="superscript"/>
              </w:rPr>
              <w:t>a</w:t>
            </w:r>
          </w:p>
        </w:tc>
        <w:tc>
          <w:tcPr>
            <w:tcW w:w="3218" w:type="dxa"/>
          </w:tcPr>
          <w:p w:rsidR="00D85184" w:rsidRPr="001D454F" w:rsidRDefault="00D85184" w:rsidP="00964F37">
            <w:pPr>
              <w:jc w:val="center"/>
              <w:rPr>
                <w:bCs/>
              </w:rPr>
            </w:pPr>
            <w:r>
              <w:t>Direct shoot bud induction, no callus formation</w:t>
            </w:r>
          </w:p>
        </w:tc>
      </w:tr>
      <w:tr w:rsidR="00D85184" w:rsidRPr="001D454F" w:rsidTr="00D85184">
        <w:tc>
          <w:tcPr>
            <w:tcW w:w="1014" w:type="dxa"/>
          </w:tcPr>
          <w:p w:rsidR="00D85184" w:rsidRPr="001D454F" w:rsidRDefault="00D85184" w:rsidP="00964F37">
            <w:pPr>
              <w:spacing w:line="480" w:lineRule="auto"/>
              <w:jc w:val="center"/>
              <w:rPr>
                <w:bCs/>
              </w:rPr>
            </w:pPr>
            <w:r>
              <w:rPr>
                <w:bCs/>
              </w:rPr>
              <w:t>0.1</w:t>
            </w:r>
          </w:p>
        </w:tc>
        <w:tc>
          <w:tcPr>
            <w:tcW w:w="993" w:type="dxa"/>
          </w:tcPr>
          <w:p w:rsidR="00D85184" w:rsidRPr="001D454F" w:rsidRDefault="00D85184" w:rsidP="00964F37">
            <w:pPr>
              <w:spacing w:line="480" w:lineRule="auto"/>
              <w:jc w:val="center"/>
              <w:rPr>
                <w:bCs/>
              </w:rPr>
            </w:pPr>
            <w:r>
              <w:rPr>
                <w:bCs/>
              </w:rPr>
              <w:t>0.5</w:t>
            </w:r>
          </w:p>
        </w:tc>
        <w:tc>
          <w:tcPr>
            <w:tcW w:w="1159" w:type="dxa"/>
          </w:tcPr>
          <w:p w:rsidR="00D85184" w:rsidRPr="001D454F" w:rsidRDefault="00D85184" w:rsidP="00964F37">
            <w:pPr>
              <w:spacing w:line="480" w:lineRule="auto"/>
              <w:jc w:val="center"/>
              <w:rPr>
                <w:bCs/>
              </w:rPr>
            </w:pPr>
            <w:r>
              <w:t>22±0.20</w:t>
            </w:r>
            <w:r w:rsidRPr="002826EA">
              <w:rPr>
                <w:vertAlign w:val="superscript"/>
              </w:rPr>
              <w:t>ab</w:t>
            </w:r>
          </w:p>
        </w:tc>
        <w:tc>
          <w:tcPr>
            <w:tcW w:w="1276" w:type="dxa"/>
          </w:tcPr>
          <w:p w:rsidR="00D85184" w:rsidRPr="001D454F" w:rsidRDefault="00D85184" w:rsidP="00964F37">
            <w:pPr>
              <w:spacing w:line="480" w:lineRule="auto"/>
              <w:jc w:val="center"/>
              <w:rPr>
                <w:bCs/>
              </w:rPr>
            </w:pPr>
            <w:r>
              <w:t>22±0.20</w:t>
            </w:r>
            <w:r w:rsidRPr="002826EA">
              <w:rPr>
                <w:vertAlign w:val="superscript"/>
              </w:rPr>
              <w:t>ab</w:t>
            </w:r>
          </w:p>
        </w:tc>
        <w:tc>
          <w:tcPr>
            <w:tcW w:w="3218" w:type="dxa"/>
          </w:tcPr>
          <w:p w:rsidR="00D85184" w:rsidRPr="001D454F" w:rsidRDefault="00D85184" w:rsidP="00964F37">
            <w:pPr>
              <w:spacing w:line="480" w:lineRule="auto"/>
              <w:jc w:val="center"/>
              <w:rPr>
                <w:bCs/>
              </w:rPr>
            </w:pPr>
            <w:r>
              <w:t>Yellowish green friable</w:t>
            </w:r>
          </w:p>
        </w:tc>
      </w:tr>
      <w:tr w:rsidR="00D85184" w:rsidRPr="001D454F" w:rsidTr="00D85184">
        <w:tc>
          <w:tcPr>
            <w:tcW w:w="1014" w:type="dxa"/>
          </w:tcPr>
          <w:p w:rsidR="00D85184" w:rsidRPr="001D454F" w:rsidRDefault="00D85184" w:rsidP="00964F37">
            <w:pPr>
              <w:spacing w:line="480" w:lineRule="auto"/>
              <w:jc w:val="center"/>
              <w:rPr>
                <w:bCs/>
              </w:rPr>
            </w:pPr>
            <w:r>
              <w:rPr>
                <w:bCs/>
              </w:rPr>
              <w:t>0.1</w:t>
            </w:r>
          </w:p>
        </w:tc>
        <w:tc>
          <w:tcPr>
            <w:tcW w:w="993" w:type="dxa"/>
          </w:tcPr>
          <w:p w:rsidR="00D85184" w:rsidRPr="001D454F" w:rsidRDefault="00D85184" w:rsidP="00964F37">
            <w:pPr>
              <w:spacing w:line="480" w:lineRule="auto"/>
              <w:jc w:val="center"/>
              <w:rPr>
                <w:bCs/>
              </w:rPr>
            </w:pPr>
            <w:r>
              <w:rPr>
                <w:bCs/>
              </w:rPr>
              <w:t>1.0</w:t>
            </w:r>
          </w:p>
        </w:tc>
        <w:tc>
          <w:tcPr>
            <w:tcW w:w="1159" w:type="dxa"/>
          </w:tcPr>
          <w:p w:rsidR="00D85184" w:rsidRPr="001D454F" w:rsidRDefault="00D85184" w:rsidP="00964F37">
            <w:pPr>
              <w:spacing w:line="480" w:lineRule="auto"/>
              <w:jc w:val="center"/>
              <w:rPr>
                <w:bCs/>
              </w:rPr>
            </w:pPr>
            <w:r>
              <w:t>20±0.36</w:t>
            </w:r>
            <w:r w:rsidRPr="002826EA">
              <w:rPr>
                <w:vertAlign w:val="superscript"/>
              </w:rPr>
              <w:t>ab</w:t>
            </w:r>
          </w:p>
        </w:tc>
        <w:tc>
          <w:tcPr>
            <w:tcW w:w="1276" w:type="dxa"/>
          </w:tcPr>
          <w:p w:rsidR="00D85184" w:rsidRPr="001D454F" w:rsidRDefault="00D85184" w:rsidP="00964F37">
            <w:pPr>
              <w:spacing w:line="480" w:lineRule="auto"/>
              <w:jc w:val="center"/>
              <w:rPr>
                <w:bCs/>
              </w:rPr>
            </w:pPr>
            <w:r>
              <w:t>20±0.36</w:t>
            </w:r>
            <w:r w:rsidRPr="002826EA">
              <w:rPr>
                <w:vertAlign w:val="superscript"/>
              </w:rPr>
              <w:t>ab</w:t>
            </w:r>
          </w:p>
        </w:tc>
        <w:tc>
          <w:tcPr>
            <w:tcW w:w="3218" w:type="dxa"/>
          </w:tcPr>
          <w:p w:rsidR="00D85184" w:rsidRPr="001D454F" w:rsidRDefault="00D85184" w:rsidP="00964F37">
            <w:pPr>
              <w:spacing w:line="480" w:lineRule="auto"/>
              <w:jc w:val="center"/>
              <w:rPr>
                <w:bCs/>
              </w:rPr>
            </w:pPr>
            <w:r>
              <w:t>Yellowish green friable</w:t>
            </w:r>
          </w:p>
        </w:tc>
      </w:tr>
      <w:tr w:rsidR="00D85184" w:rsidRPr="001D454F" w:rsidTr="00D85184">
        <w:tc>
          <w:tcPr>
            <w:tcW w:w="1014" w:type="dxa"/>
          </w:tcPr>
          <w:p w:rsidR="00D85184" w:rsidRPr="001D454F" w:rsidRDefault="00D85184" w:rsidP="00964F37">
            <w:pPr>
              <w:spacing w:line="480" w:lineRule="auto"/>
              <w:jc w:val="center"/>
              <w:rPr>
                <w:bCs/>
              </w:rPr>
            </w:pPr>
            <w:r>
              <w:rPr>
                <w:bCs/>
              </w:rPr>
              <w:t>0.1</w:t>
            </w:r>
          </w:p>
        </w:tc>
        <w:tc>
          <w:tcPr>
            <w:tcW w:w="993" w:type="dxa"/>
          </w:tcPr>
          <w:p w:rsidR="00D85184" w:rsidRPr="001D454F" w:rsidRDefault="00D85184" w:rsidP="00964F37">
            <w:pPr>
              <w:spacing w:line="480" w:lineRule="auto"/>
              <w:jc w:val="center"/>
              <w:rPr>
                <w:bCs/>
              </w:rPr>
            </w:pPr>
            <w:r>
              <w:rPr>
                <w:bCs/>
              </w:rPr>
              <w:t>2.0</w:t>
            </w:r>
          </w:p>
        </w:tc>
        <w:tc>
          <w:tcPr>
            <w:tcW w:w="1159" w:type="dxa"/>
          </w:tcPr>
          <w:p w:rsidR="00D85184" w:rsidRPr="001D454F" w:rsidRDefault="00D85184" w:rsidP="00964F37">
            <w:pPr>
              <w:spacing w:line="480" w:lineRule="auto"/>
              <w:jc w:val="center"/>
              <w:rPr>
                <w:bCs/>
              </w:rPr>
            </w:pPr>
            <w:r>
              <w:t>50±0.38</w:t>
            </w:r>
            <w:r w:rsidRPr="002826EA">
              <w:rPr>
                <w:vertAlign w:val="superscript"/>
              </w:rPr>
              <w:t>b</w:t>
            </w:r>
          </w:p>
        </w:tc>
        <w:tc>
          <w:tcPr>
            <w:tcW w:w="1276" w:type="dxa"/>
          </w:tcPr>
          <w:p w:rsidR="00D85184" w:rsidRPr="001D454F" w:rsidRDefault="00D85184" w:rsidP="00964F37">
            <w:pPr>
              <w:spacing w:line="480" w:lineRule="auto"/>
              <w:jc w:val="center"/>
              <w:rPr>
                <w:bCs/>
              </w:rPr>
            </w:pPr>
            <w:r>
              <w:t>50±0.38</w:t>
            </w:r>
            <w:r w:rsidRPr="002826EA">
              <w:rPr>
                <w:vertAlign w:val="superscript"/>
              </w:rPr>
              <w:t>bc</w:t>
            </w:r>
          </w:p>
        </w:tc>
        <w:tc>
          <w:tcPr>
            <w:tcW w:w="3218" w:type="dxa"/>
          </w:tcPr>
          <w:p w:rsidR="00D85184" w:rsidRPr="001D454F" w:rsidRDefault="00D85184" w:rsidP="00964F37">
            <w:pPr>
              <w:spacing w:line="480" w:lineRule="auto"/>
              <w:jc w:val="center"/>
              <w:rPr>
                <w:bCs/>
              </w:rPr>
            </w:pPr>
            <w:r>
              <w:t>Yellowish green friable</w:t>
            </w:r>
          </w:p>
        </w:tc>
      </w:tr>
      <w:tr w:rsidR="00D85184" w:rsidRPr="001D454F" w:rsidTr="00D85184">
        <w:tc>
          <w:tcPr>
            <w:tcW w:w="1014" w:type="dxa"/>
          </w:tcPr>
          <w:p w:rsidR="00D85184" w:rsidRPr="001D454F" w:rsidRDefault="00D85184" w:rsidP="00964F37">
            <w:pPr>
              <w:spacing w:line="480" w:lineRule="auto"/>
              <w:jc w:val="center"/>
              <w:rPr>
                <w:bCs/>
              </w:rPr>
            </w:pPr>
            <w:r>
              <w:rPr>
                <w:bCs/>
              </w:rPr>
              <w:t>1.0</w:t>
            </w:r>
          </w:p>
        </w:tc>
        <w:tc>
          <w:tcPr>
            <w:tcW w:w="993" w:type="dxa"/>
          </w:tcPr>
          <w:p w:rsidR="00D85184" w:rsidRPr="001D454F" w:rsidRDefault="00D85184" w:rsidP="00964F37">
            <w:pPr>
              <w:spacing w:line="480" w:lineRule="auto"/>
              <w:jc w:val="center"/>
              <w:rPr>
                <w:bCs/>
              </w:rPr>
            </w:pPr>
            <w:r>
              <w:rPr>
                <w:bCs/>
              </w:rPr>
              <w:t>0</w:t>
            </w:r>
          </w:p>
        </w:tc>
        <w:tc>
          <w:tcPr>
            <w:tcW w:w="1159" w:type="dxa"/>
          </w:tcPr>
          <w:p w:rsidR="00D85184" w:rsidRPr="001D454F" w:rsidRDefault="00D85184" w:rsidP="00964F37">
            <w:pPr>
              <w:spacing w:line="480" w:lineRule="auto"/>
              <w:jc w:val="center"/>
              <w:rPr>
                <w:bCs/>
              </w:rPr>
            </w:pPr>
            <w:r>
              <w:t>0</w:t>
            </w:r>
            <w:r w:rsidRPr="002826EA">
              <w:rPr>
                <w:vertAlign w:val="superscript"/>
              </w:rPr>
              <w:t>a</w:t>
            </w:r>
          </w:p>
        </w:tc>
        <w:tc>
          <w:tcPr>
            <w:tcW w:w="1276" w:type="dxa"/>
          </w:tcPr>
          <w:p w:rsidR="00D85184" w:rsidRPr="001D454F" w:rsidRDefault="00D85184" w:rsidP="00964F37">
            <w:pPr>
              <w:spacing w:line="480" w:lineRule="auto"/>
              <w:jc w:val="center"/>
              <w:rPr>
                <w:bCs/>
              </w:rPr>
            </w:pPr>
            <w:r>
              <w:t>0</w:t>
            </w:r>
            <w:r w:rsidRPr="002826EA">
              <w:rPr>
                <w:vertAlign w:val="superscript"/>
              </w:rPr>
              <w:t>a</w:t>
            </w:r>
          </w:p>
        </w:tc>
        <w:tc>
          <w:tcPr>
            <w:tcW w:w="3218" w:type="dxa"/>
          </w:tcPr>
          <w:p w:rsidR="00D85184" w:rsidRPr="001D454F" w:rsidRDefault="00D85184" w:rsidP="00964F37">
            <w:pPr>
              <w:ind w:right="12"/>
              <w:jc w:val="center"/>
              <w:rPr>
                <w:bCs/>
              </w:rPr>
            </w:pPr>
            <w:r>
              <w:t>Direct shoot bud induction, no callus formation</w:t>
            </w:r>
          </w:p>
        </w:tc>
      </w:tr>
      <w:tr w:rsidR="00D85184" w:rsidRPr="001D454F" w:rsidTr="00D85184">
        <w:tc>
          <w:tcPr>
            <w:tcW w:w="1014" w:type="dxa"/>
          </w:tcPr>
          <w:p w:rsidR="00D85184" w:rsidRPr="001D454F" w:rsidRDefault="00D85184" w:rsidP="00964F37">
            <w:pPr>
              <w:spacing w:line="480" w:lineRule="auto"/>
              <w:jc w:val="center"/>
              <w:rPr>
                <w:bCs/>
              </w:rPr>
            </w:pPr>
            <w:r>
              <w:rPr>
                <w:bCs/>
              </w:rPr>
              <w:t>1.0</w:t>
            </w:r>
          </w:p>
        </w:tc>
        <w:tc>
          <w:tcPr>
            <w:tcW w:w="993" w:type="dxa"/>
          </w:tcPr>
          <w:p w:rsidR="00D85184" w:rsidRPr="001D454F" w:rsidRDefault="00D85184" w:rsidP="00964F37">
            <w:pPr>
              <w:spacing w:line="480" w:lineRule="auto"/>
              <w:jc w:val="center"/>
              <w:rPr>
                <w:bCs/>
              </w:rPr>
            </w:pPr>
            <w:r>
              <w:rPr>
                <w:bCs/>
              </w:rPr>
              <w:t>0.5</w:t>
            </w:r>
          </w:p>
        </w:tc>
        <w:tc>
          <w:tcPr>
            <w:tcW w:w="1159" w:type="dxa"/>
          </w:tcPr>
          <w:p w:rsidR="00D85184" w:rsidRPr="001D454F" w:rsidRDefault="00D85184" w:rsidP="00964F37">
            <w:pPr>
              <w:spacing w:line="480" w:lineRule="auto"/>
              <w:jc w:val="center"/>
              <w:rPr>
                <w:bCs/>
              </w:rPr>
            </w:pPr>
            <w:r>
              <w:t>10±0.22</w:t>
            </w:r>
            <w:r w:rsidRPr="002826EA">
              <w:rPr>
                <w:vertAlign w:val="superscript"/>
              </w:rPr>
              <w:t>a</w:t>
            </w:r>
          </w:p>
        </w:tc>
        <w:tc>
          <w:tcPr>
            <w:tcW w:w="1276" w:type="dxa"/>
          </w:tcPr>
          <w:p w:rsidR="00D85184" w:rsidRPr="001D454F" w:rsidRDefault="00D85184" w:rsidP="00964F37">
            <w:pPr>
              <w:spacing w:line="480" w:lineRule="auto"/>
              <w:jc w:val="center"/>
              <w:rPr>
                <w:bCs/>
              </w:rPr>
            </w:pPr>
            <w:r>
              <w:t>20±0.20</w:t>
            </w:r>
            <w:r w:rsidRPr="002826EA">
              <w:rPr>
                <w:vertAlign w:val="superscript"/>
              </w:rPr>
              <w:t>ab</w:t>
            </w:r>
          </w:p>
        </w:tc>
        <w:tc>
          <w:tcPr>
            <w:tcW w:w="3218" w:type="dxa"/>
          </w:tcPr>
          <w:p w:rsidR="00D85184" w:rsidRPr="001D454F" w:rsidRDefault="00D85184" w:rsidP="00964F37">
            <w:pPr>
              <w:spacing w:line="480" w:lineRule="auto"/>
              <w:jc w:val="center"/>
              <w:rPr>
                <w:bCs/>
              </w:rPr>
            </w:pPr>
            <w:r>
              <w:t>Yellowish green friable</w:t>
            </w:r>
          </w:p>
        </w:tc>
      </w:tr>
      <w:tr w:rsidR="00D85184" w:rsidRPr="001D454F" w:rsidTr="00D85184">
        <w:tc>
          <w:tcPr>
            <w:tcW w:w="1014" w:type="dxa"/>
          </w:tcPr>
          <w:p w:rsidR="00D85184" w:rsidRDefault="00D85184" w:rsidP="00964F37">
            <w:pPr>
              <w:spacing w:line="480" w:lineRule="auto"/>
              <w:jc w:val="center"/>
              <w:rPr>
                <w:bCs/>
              </w:rPr>
            </w:pPr>
            <w:r>
              <w:rPr>
                <w:bCs/>
              </w:rPr>
              <w:t>1.0</w:t>
            </w:r>
          </w:p>
        </w:tc>
        <w:tc>
          <w:tcPr>
            <w:tcW w:w="993" w:type="dxa"/>
          </w:tcPr>
          <w:p w:rsidR="00D85184" w:rsidRPr="001D454F" w:rsidRDefault="00D85184" w:rsidP="00964F37">
            <w:pPr>
              <w:spacing w:line="480" w:lineRule="auto"/>
              <w:jc w:val="center"/>
              <w:rPr>
                <w:bCs/>
              </w:rPr>
            </w:pPr>
            <w:r>
              <w:rPr>
                <w:bCs/>
              </w:rPr>
              <w:t>1.0</w:t>
            </w:r>
          </w:p>
        </w:tc>
        <w:tc>
          <w:tcPr>
            <w:tcW w:w="1159" w:type="dxa"/>
          </w:tcPr>
          <w:p w:rsidR="00D85184" w:rsidRPr="001D454F" w:rsidRDefault="00D85184" w:rsidP="00964F37">
            <w:pPr>
              <w:spacing w:line="480" w:lineRule="auto"/>
              <w:jc w:val="center"/>
              <w:rPr>
                <w:bCs/>
              </w:rPr>
            </w:pPr>
            <w:r>
              <w:t>13±0.25</w:t>
            </w:r>
            <w:r w:rsidRPr="002826EA">
              <w:rPr>
                <w:vertAlign w:val="superscript"/>
              </w:rPr>
              <w:t>a</w:t>
            </w:r>
          </w:p>
        </w:tc>
        <w:tc>
          <w:tcPr>
            <w:tcW w:w="1276" w:type="dxa"/>
          </w:tcPr>
          <w:p w:rsidR="00D85184" w:rsidRPr="001D454F" w:rsidRDefault="00D85184" w:rsidP="00964F37">
            <w:pPr>
              <w:spacing w:line="480" w:lineRule="auto"/>
              <w:jc w:val="center"/>
              <w:rPr>
                <w:bCs/>
              </w:rPr>
            </w:pPr>
            <w:r>
              <w:t>33±0.31</w:t>
            </w:r>
            <w:r w:rsidRPr="002826EA">
              <w:rPr>
                <w:vertAlign w:val="superscript"/>
              </w:rPr>
              <w:t>abc</w:t>
            </w:r>
          </w:p>
        </w:tc>
        <w:tc>
          <w:tcPr>
            <w:tcW w:w="3218" w:type="dxa"/>
          </w:tcPr>
          <w:p w:rsidR="00D85184" w:rsidRPr="001D454F" w:rsidRDefault="00D85184" w:rsidP="00964F37">
            <w:pPr>
              <w:spacing w:line="480" w:lineRule="auto"/>
              <w:jc w:val="center"/>
              <w:rPr>
                <w:bCs/>
              </w:rPr>
            </w:pPr>
            <w:r>
              <w:t>Yellowish green friable</w:t>
            </w:r>
          </w:p>
        </w:tc>
      </w:tr>
      <w:tr w:rsidR="00D85184" w:rsidRPr="001D454F" w:rsidTr="00D85184">
        <w:tc>
          <w:tcPr>
            <w:tcW w:w="1014" w:type="dxa"/>
          </w:tcPr>
          <w:p w:rsidR="00D85184" w:rsidRDefault="00D85184" w:rsidP="00964F37">
            <w:pPr>
              <w:spacing w:line="480" w:lineRule="auto"/>
              <w:jc w:val="center"/>
              <w:rPr>
                <w:bCs/>
              </w:rPr>
            </w:pPr>
            <w:r>
              <w:rPr>
                <w:bCs/>
              </w:rPr>
              <w:t>1.0</w:t>
            </w:r>
          </w:p>
        </w:tc>
        <w:tc>
          <w:tcPr>
            <w:tcW w:w="993" w:type="dxa"/>
          </w:tcPr>
          <w:p w:rsidR="00D85184" w:rsidRPr="001D454F" w:rsidRDefault="00D85184" w:rsidP="00964F37">
            <w:pPr>
              <w:spacing w:line="480" w:lineRule="auto"/>
              <w:jc w:val="center"/>
              <w:rPr>
                <w:bCs/>
              </w:rPr>
            </w:pPr>
            <w:r>
              <w:rPr>
                <w:bCs/>
              </w:rPr>
              <w:t>2.0</w:t>
            </w:r>
          </w:p>
        </w:tc>
        <w:tc>
          <w:tcPr>
            <w:tcW w:w="1159" w:type="dxa"/>
          </w:tcPr>
          <w:p w:rsidR="00D85184" w:rsidRPr="001D454F" w:rsidRDefault="00D85184" w:rsidP="00964F37">
            <w:pPr>
              <w:spacing w:line="480" w:lineRule="auto"/>
              <w:jc w:val="center"/>
              <w:rPr>
                <w:bCs/>
              </w:rPr>
            </w:pPr>
            <w:r>
              <w:t>94±0.37</w:t>
            </w:r>
            <w:r w:rsidRPr="002826EA">
              <w:rPr>
                <w:vertAlign w:val="superscript"/>
              </w:rPr>
              <w:t>c</w:t>
            </w:r>
          </w:p>
        </w:tc>
        <w:tc>
          <w:tcPr>
            <w:tcW w:w="1276" w:type="dxa"/>
          </w:tcPr>
          <w:p w:rsidR="00D85184" w:rsidRPr="001D454F" w:rsidRDefault="00D85184" w:rsidP="00964F37">
            <w:pPr>
              <w:spacing w:line="480" w:lineRule="auto"/>
              <w:jc w:val="center"/>
              <w:rPr>
                <w:bCs/>
              </w:rPr>
            </w:pPr>
            <w:r>
              <w:t>100±0.25</w:t>
            </w:r>
            <w:r w:rsidRPr="002826EA">
              <w:rPr>
                <w:vertAlign w:val="superscript"/>
              </w:rPr>
              <w:t>d</w:t>
            </w:r>
          </w:p>
        </w:tc>
        <w:tc>
          <w:tcPr>
            <w:tcW w:w="3218" w:type="dxa"/>
          </w:tcPr>
          <w:p w:rsidR="00D85184" w:rsidRPr="001D454F" w:rsidRDefault="00D85184" w:rsidP="00964F37">
            <w:pPr>
              <w:spacing w:line="480" w:lineRule="auto"/>
              <w:jc w:val="center"/>
              <w:rPr>
                <w:bCs/>
              </w:rPr>
            </w:pPr>
            <w:r>
              <w:t>Yellowish green friable</w:t>
            </w:r>
          </w:p>
        </w:tc>
      </w:tr>
    </w:tbl>
    <w:p w:rsidR="00651DD5" w:rsidRPr="00017619" w:rsidRDefault="00651DD5" w:rsidP="00651DD5">
      <w:pPr>
        <w:spacing w:line="480" w:lineRule="auto"/>
        <w:ind w:left="990" w:hanging="990"/>
        <w:jc w:val="both"/>
        <w:rPr>
          <w:bCs/>
        </w:rPr>
      </w:pPr>
    </w:p>
    <w:p w:rsidR="00651DD5" w:rsidRDefault="00651DD5" w:rsidP="00651DD5">
      <w:pPr>
        <w:tabs>
          <w:tab w:val="left" w:pos="180"/>
        </w:tabs>
        <w:spacing w:line="480" w:lineRule="auto"/>
        <w:ind w:right="360"/>
        <w:jc w:val="both"/>
      </w:pPr>
      <w:r>
        <w:rPr>
          <w:vertAlign w:val="superscript"/>
        </w:rPr>
        <w:t>*</w:t>
      </w:r>
      <w:r w:rsidR="00FE5C42">
        <w:t xml:space="preserve">Mean of 20 explants </w:t>
      </w:r>
      <w:r w:rsidR="00CC28A9">
        <w:t xml:space="preserve"> ± standard error (S.E)</w:t>
      </w:r>
      <w:r w:rsidR="00467892">
        <w:t>.</w:t>
      </w:r>
      <w:r>
        <w:t xml:space="preserve"> </w:t>
      </w:r>
      <w:r w:rsidR="00467892">
        <w:t>V</w:t>
      </w:r>
      <w:r>
        <w:t>alues followed by different superscript letters within a column are significantly different according to Duncan’s multiple range tests at 1% probability level.</w:t>
      </w:r>
    </w:p>
    <w:p w:rsidR="00651DD5" w:rsidRPr="004C6216" w:rsidRDefault="00651DD5" w:rsidP="00651DD5">
      <w:pPr>
        <w:spacing w:line="480" w:lineRule="auto"/>
        <w:ind w:left="851" w:hanging="851"/>
        <w:rPr>
          <w:bCs/>
        </w:rPr>
      </w:pPr>
      <w:r>
        <w:br w:type="page"/>
      </w:r>
      <w:r>
        <w:rPr>
          <w:bCs/>
        </w:rPr>
        <w:lastRenderedPageBreak/>
        <w:t xml:space="preserve">Table </w:t>
      </w:r>
      <w:r w:rsidRPr="00EC3880">
        <w:rPr>
          <w:bCs/>
        </w:rPr>
        <w:t>2</w:t>
      </w:r>
      <w:r>
        <w:rPr>
          <w:bCs/>
        </w:rPr>
        <w:t>.</w:t>
      </w:r>
      <w:r w:rsidRPr="00EC3880">
        <w:rPr>
          <w:bCs/>
        </w:rPr>
        <w:t xml:space="preserve"> Effects of different concentrations and combinations of TDZ and 2,4-D on</w:t>
      </w:r>
      <w:r>
        <w:rPr>
          <w:bCs/>
        </w:rPr>
        <w:t xml:space="preserve"> </w:t>
      </w:r>
      <w:r w:rsidRPr="00EC3880">
        <w:rPr>
          <w:bCs/>
        </w:rPr>
        <w:t>PLB-derived callus</w:t>
      </w:r>
      <w:r w:rsidRPr="00EC3880">
        <w:rPr>
          <w:bCs/>
          <w:i/>
          <w:iCs/>
        </w:rPr>
        <w:t xml:space="preserve"> </w:t>
      </w:r>
      <w:r>
        <w:rPr>
          <w:bCs/>
        </w:rPr>
        <w:t>p</w:t>
      </w:r>
      <w:r w:rsidRPr="00EC3880">
        <w:rPr>
          <w:bCs/>
        </w:rPr>
        <w:t xml:space="preserve">roliferation </w:t>
      </w:r>
      <w:r>
        <w:rPr>
          <w:bCs/>
        </w:rPr>
        <w:t>in</w:t>
      </w:r>
      <w:r w:rsidRPr="00EC3880">
        <w:rPr>
          <w:bCs/>
        </w:rPr>
        <w:t xml:space="preserve"> </w:t>
      </w:r>
      <w:r w:rsidRPr="00EC3880">
        <w:rPr>
          <w:bCs/>
          <w:i/>
          <w:iCs/>
        </w:rPr>
        <w:t xml:space="preserve">B. auricomum </w:t>
      </w:r>
      <w:r w:rsidRPr="00EC3880">
        <w:rPr>
          <w:bCs/>
        </w:rPr>
        <w:t xml:space="preserve">after </w:t>
      </w:r>
      <w:r>
        <w:rPr>
          <w:bCs/>
        </w:rPr>
        <w:t>90 days</w:t>
      </w:r>
      <w:r w:rsidRPr="00117740">
        <w:t xml:space="preserve"> </w:t>
      </w:r>
      <w:r>
        <w:t xml:space="preserve">grown </w:t>
      </w:r>
      <w:r w:rsidRPr="00117740">
        <w:rPr>
          <w:i/>
        </w:rPr>
        <w:t>in vitro</w:t>
      </w:r>
      <w:r>
        <w:t xml:space="preserve"> under dark condition.</w:t>
      </w:r>
      <w:r w:rsidRPr="00017619">
        <w:t xml:space="preserve"> </w:t>
      </w:r>
    </w:p>
    <w:p w:rsidR="00651DD5" w:rsidRDefault="00651DD5" w:rsidP="00651DD5">
      <w:pPr>
        <w:spacing w:line="480" w:lineRule="auto"/>
        <w:ind w:left="810" w:hanging="810"/>
        <w:jc w:val="both"/>
        <w:rPr>
          <w:bCs/>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18"/>
        <w:gridCol w:w="992"/>
        <w:gridCol w:w="1048"/>
        <w:gridCol w:w="2160"/>
        <w:gridCol w:w="3708"/>
      </w:tblGrid>
      <w:tr w:rsidR="00651DD5" w:rsidRPr="00223E1A" w:rsidTr="00964F37">
        <w:tc>
          <w:tcPr>
            <w:tcW w:w="1418" w:type="dxa"/>
          </w:tcPr>
          <w:p w:rsidR="00651DD5" w:rsidRPr="00223E1A" w:rsidRDefault="00651DD5" w:rsidP="00964F37">
            <w:pPr>
              <w:spacing w:line="480" w:lineRule="auto"/>
              <w:jc w:val="center"/>
              <w:rPr>
                <w:bCs/>
              </w:rPr>
            </w:pPr>
            <w:r>
              <w:t>Callus Lines</w:t>
            </w:r>
          </w:p>
        </w:tc>
        <w:tc>
          <w:tcPr>
            <w:tcW w:w="992" w:type="dxa"/>
          </w:tcPr>
          <w:p w:rsidR="00651DD5" w:rsidRPr="00223E1A" w:rsidRDefault="00651DD5" w:rsidP="00964F37">
            <w:pPr>
              <w:spacing w:line="480" w:lineRule="auto"/>
              <w:jc w:val="center"/>
              <w:rPr>
                <w:bCs/>
              </w:rPr>
            </w:pPr>
            <w:r>
              <w:t>TDZ (mgl</w:t>
            </w:r>
            <w:r w:rsidRPr="00D564DA">
              <w:rPr>
                <w:bCs/>
                <w:vertAlign w:val="superscript"/>
              </w:rPr>
              <w:t>-1</w:t>
            </w:r>
            <w:r>
              <w:t>)</w:t>
            </w:r>
          </w:p>
        </w:tc>
        <w:tc>
          <w:tcPr>
            <w:tcW w:w="1048" w:type="dxa"/>
          </w:tcPr>
          <w:p w:rsidR="00651DD5" w:rsidRPr="00223E1A" w:rsidRDefault="00651DD5" w:rsidP="00964F37">
            <w:pPr>
              <w:spacing w:line="480" w:lineRule="auto"/>
              <w:jc w:val="center"/>
              <w:rPr>
                <w:bCs/>
              </w:rPr>
            </w:pPr>
            <w:r>
              <w:t>2,4-D (mgl</w:t>
            </w:r>
            <w:r w:rsidRPr="00D564DA">
              <w:rPr>
                <w:bCs/>
                <w:vertAlign w:val="superscript"/>
              </w:rPr>
              <w:t>-1</w:t>
            </w:r>
            <w:r>
              <w:t>)</w:t>
            </w:r>
          </w:p>
        </w:tc>
        <w:tc>
          <w:tcPr>
            <w:tcW w:w="2160" w:type="dxa"/>
          </w:tcPr>
          <w:p w:rsidR="00651DD5" w:rsidRDefault="00651DD5" w:rsidP="00964F37">
            <w:pPr>
              <w:spacing w:line="480" w:lineRule="auto"/>
              <w:jc w:val="center"/>
              <w:rPr>
                <w:b/>
                <w:bCs/>
                <w:vertAlign w:val="superscript"/>
              </w:rPr>
            </w:pPr>
            <w:r>
              <w:t xml:space="preserve">Growth index (GI) </w:t>
            </w:r>
            <w:r>
              <w:rPr>
                <w:b/>
                <w:bCs/>
                <w:vertAlign w:val="superscript"/>
              </w:rPr>
              <w:t>*</w:t>
            </w:r>
          </w:p>
          <w:p w:rsidR="004C17E1" w:rsidRPr="004C17E1" w:rsidRDefault="004C17E1" w:rsidP="00964F37">
            <w:pPr>
              <w:spacing w:line="480" w:lineRule="auto"/>
              <w:jc w:val="center"/>
              <w:rPr>
                <w:bCs/>
              </w:rPr>
            </w:pPr>
            <w:r w:rsidRPr="004C17E1">
              <w:rPr>
                <w:bCs/>
              </w:rPr>
              <w:t>(n=20)</w:t>
            </w:r>
          </w:p>
        </w:tc>
        <w:tc>
          <w:tcPr>
            <w:tcW w:w="3708" w:type="dxa"/>
          </w:tcPr>
          <w:p w:rsidR="00651DD5" w:rsidRDefault="00651DD5" w:rsidP="00964F37">
            <w:pPr>
              <w:spacing w:line="480" w:lineRule="auto"/>
              <w:jc w:val="center"/>
            </w:pPr>
            <w:r>
              <w:t>Phenotype of callus</w:t>
            </w:r>
          </w:p>
          <w:p w:rsidR="00651DD5" w:rsidRPr="00223E1A" w:rsidRDefault="00651DD5" w:rsidP="00964F37">
            <w:pPr>
              <w:spacing w:line="480" w:lineRule="auto"/>
              <w:jc w:val="center"/>
              <w:rPr>
                <w:bCs/>
              </w:rPr>
            </w:pPr>
            <w:r>
              <w:t xml:space="preserve"> </w:t>
            </w:r>
          </w:p>
        </w:tc>
      </w:tr>
      <w:tr w:rsidR="00651DD5" w:rsidRPr="00223E1A" w:rsidTr="00964F37">
        <w:tc>
          <w:tcPr>
            <w:tcW w:w="1418" w:type="dxa"/>
          </w:tcPr>
          <w:p w:rsidR="00651DD5" w:rsidRPr="00223E1A" w:rsidRDefault="00651DD5" w:rsidP="00964F37">
            <w:pPr>
              <w:spacing w:line="480" w:lineRule="auto"/>
              <w:jc w:val="center"/>
              <w:rPr>
                <w:bCs/>
              </w:rPr>
            </w:pPr>
            <w:r>
              <w:t>C1</w:t>
            </w:r>
          </w:p>
        </w:tc>
        <w:tc>
          <w:tcPr>
            <w:tcW w:w="992" w:type="dxa"/>
          </w:tcPr>
          <w:p w:rsidR="00651DD5" w:rsidRPr="00223E1A" w:rsidRDefault="00651DD5" w:rsidP="00964F37">
            <w:pPr>
              <w:spacing w:line="480" w:lineRule="auto"/>
              <w:jc w:val="center"/>
              <w:rPr>
                <w:bCs/>
              </w:rPr>
            </w:pPr>
            <w:r w:rsidRPr="00223E1A">
              <w:rPr>
                <w:bCs/>
              </w:rPr>
              <w:t>0</w:t>
            </w:r>
          </w:p>
        </w:tc>
        <w:tc>
          <w:tcPr>
            <w:tcW w:w="1048" w:type="dxa"/>
          </w:tcPr>
          <w:p w:rsidR="00651DD5" w:rsidRPr="00223E1A" w:rsidRDefault="00651DD5" w:rsidP="00964F37">
            <w:pPr>
              <w:spacing w:line="480" w:lineRule="auto"/>
              <w:jc w:val="center"/>
              <w:rPr>
                <w:bCs/>
              </w:rPr>
            </w:pPr>
            <w:r w:rsidRPr="00223E1A">
              <w:rPr>
                <w:bCs/>
              </w:rPr>
              <w:t>0</w:t>
            </w:r>
          </w:p>
        </w:tc>
        <w:tc>
          <w:tcPr>
            <w:tcW w:w="2160" w:type="dxa"/>
          </w:tcPr>
          <w:p w:rsidR="00651DD5" w:rsidRPr="00223E1A" w:rsidRDefault="00651DD5" w:rsidP="00964F37">
            <w:pPr>
              <w:spacing w:line="480" w:lineRule="auto"/>
              <w:jc w:val="center"/>
              <w:rPr>
                <w:bCs/>
              </w:rPr>
            </w:pPr>
            <w:r>
              <w:t>0</w:t>
            </w:r>
            <w:r w:rsidRPr="00117740">
              <w:rPr>
                <w:vertAlign w:val="superscript"/>
              </w:rPr>
              <w:t>a</w:t>
            </w:r>
          </w:p>
        </w:tc>
        <w:tc>
          <w:tcPr>
            <w:tcW w:w="3708" w:type="dxa"/>
          </w:tcPr>
          <w:p w:rsidR="00651DD5" w:rsidRPr="00223E1A" w:rsidRDefault="00651DD5" w:rsidP="00964F37">
            <w:pPr>
              <w:spacing w:line="480" w:lineRule="auto"/>
              <w:jc w:val="center"/>
              <w:rPr>
                <w:bCs/>
              </w:rPr>
            </w:pPr>
            <w:r>
              <w:t>Necrotic</w:t>
            </w:r>
          </w:p>
        </w:tc>
      </w:tr>
      <w:tr w:rsidR="00651DD5" w:rsidRPr="00223E1A" w:rsidTr="00964F37">
        <w:tc>
          <w:tcPr>
            <w:tcW w:w="1418" w:type="dxa"/>
          </w:tcPr>
          <w:p w:rsidR="00651DD5" w:rsidRPr="00223E1A" w:rsidRDefault="00651DD5" w:rsidP="00964F37">
            <w:pPr>
              <w:spacing w:line="480" w:lineRule="auto"/>
              <w:jc w:val="center"/>
              <w:rPr>
                <w:bCs/>
              </w:rPr>
            </w:pPr>
            <w:r>
              <w:t>C2</w:t>
            </w:r>
          </w:p>
        </w:tc>
        <w:tc>
          <w:tcPr>
            <w:tcW w:w="992" w:type="dxa"/>
          </w:tcPr>
          <w:p w:rsidR="00651DD5" w:rsidRPr="00223E1A" w:rsidRDefault="00651DD5" w:rsidP="00964F37">
            <w:pPr>
              <w:spacing w:line="480" w:lineRule="auto"/>
              <w:jc w:val="center"/>
              <w:rPr>
                <w:bCs/>
              </w:rPr>
            </w:pPr>
            <w:r w:rsidRPr="00223E1A">
              <w:rPr>
                <w:bCs/>
              </w:rPr>
              <w:t>0</w:t>
            </w:r>
          </w:p>
        </w:tc>
        <w:tc>
          <w:tcPr>
            <w:tcW w:w="1048" w:type="dxa"/>
          </w:tcPr>
          <w:p w:rsidR="00651DD5" w:rsidRPr="00223E1A" w:rsidRDefault="00651DD5" w:rsidP="00964F37">
            <w:pPr>
              <w:spacing w:line="480" w:lineRule="auto"/>
              <w:jc w:val="center"/>
              <w:rPr>
                <w:bCs/>
              </w:rPr>
            </w:pPr>
            <w:r w:rsidRPr="00223E1A">
              <w:rPr>
                <w:bCs/>
              </w:rPr>
              <w:t>0.5</w:t>
            </w:r>
          </w:p>
        </w:tc>
        <w:tc>
          <w:tcPr>
            <w:tcW w:w="2160" w:type="dxa"/>
          </w:tcPr>
          <w:p w:rsidR="00651DD5" w:rsidRPr="00223E1A" w:rsidRDefault="00651DD5" w:rsidP="00964F37">
            <w:pPr>
              <w:spacing w:line="480" w:lineRule="auto"/>
              <w:jc w:val="center"/>
              <w:rPr>
                <w:bCs/>
              </w:rPr>
            </w:pPr>
            <w:r>
              <w:t>6.87±0.30</w:t>
            </w:r>
            <w:r w:rsidRPr="00117740">
              <w:rPr>
                <w:vertAlign w:val="superscript"/>
              </w:rPr>
              <w:t>cd</w:t>
            </w:r>
          </w:p>
        </w:tc>
        <w:tc>
          <w:tcPr>
            <w:tcW w:w="3708" w:type="dxa"/>
          </w:tcPr>
          <w:p w:rsidR="00651DD5" w:rsidRPr="00223E1A" w:rsidRDefault="00651DD5" w:rsidP="00964F37">
            <w:pPr>
              <w:spacing w:line="480" w:lineRule="auto"/>
              <w:jc w:val="center"/>
              <w:rPr>
                <w:bCs/>
              </w:rPr>
            </w:pPr>
            <w:r>
              <w:t xml:space="preserve">Yellowish friable  </w:t>
            </w:r>
          </w:p>
        </w:tc>
      </w:tr>
      <w:tr w:rsidR="00651DD5" w:rsidRPr="00223E1A" w:rsidTr="00964F37">
        <w:tc>
          <w:tcPr>
            <w:tcW w:w="1418" w:type="dxa"/>
          </w:tcPr>
          <w:p w:rsidR="00651DD5" w:rsidRPr="00223E1A" w:rsidRDefault="00651DD5" w:rsidP="00964F37">
            <w:pPr>
              <w:spacing w:line="480" w:lineRule="auto"/>
              <w:jc w:val="center"/>
              <w:rPr>
                <w:bCs/>
              </w:rPr>
            </w:pPr>
            <w:r>
              <w:t>C3</w:t>
            </w:r>
          </w:p>
        </w:tc>
        <w:tc>
          <w:tcPr>
            <w:tcW w:w="992" w:type="dxa"/>
          </w:tcPr>
          <w:p w:rsidR="00651DD5" w:rsidRPr="00223E1A" w:rsidRDefault="00651DD5" w:rsidP="00964F37">
            <w:pPr>
              <w:spacing w:line="480" w:lineRule="auto"/>
              <w:jc w:val="center"/>
              <w:rPr>
                <w:bCs/>
              </w:rPr>
            </w:pPr>
            <w:r w:rsidRPr="00223E1A">
              <w:rPr>
                <w:bCs/>
              </w:rPr>
              <w:t>0</w:t>
            </w:r>
          </w:p>
        </w:tc>
        <w:tc>
          <w:tcPr>
            <w:tcW w:w="1048" w:type="dxa"/>
          </w:tcPr>
          <w:p w:rsidR="00651DD5" w:rsidRPr="00223E1A" w:rsidRDefault="00651DD5" w:rsidP="00964F37">
            <w:pPr>
              <w:spacing w:line="480" w:lineRule="auto"/>
              <w:jc w:val="center"/>
              <w:rPr>
                <w:bCs/>
              </w:rPr>
            </w:pPr>
            <w:r w:rsidRPr="00223E1A">
              <w:rPr>
                <w:bCs/>
              </w:rPr>
              <w:t>1.0</w:t>
            </w:r>
          </w:p>
        </w:tc>
        <w:tc>
          <w:tcPr>
            <w:tcW w:w="2160" w:type="dxa"/>
          </w:tcPr>
          <w:p w:rsidR="00651DD5" w:rsidRPr="00223E1A" w:rsidRDefault="00651DD5" w:rsidP="00964F37">
            <w:pPr>
              <w:spacing w:line="480" w:lineRule="auto"/>
              <w:jc w:val="center"/>
              <w:rPr>
                <w:bCs/>
              </w:rPr>
            </w:pPr>
            <w:r>
              <w:t>6.92±0.16</w:t>
            </w:r>
            <w:r w:rsidRPr="00117740">
              <w:rPr>
                <w:vertAlign w:val="superscript"/>
              </w:rPr>
              <w:t>d</w:t>
            </w:r>
          </w:p>
        </w:tc>
        <w:tc>
          <w:tcPr>
            <w:tcW w:w="3708" w:type="dxa"/>
          </w:tcPr>
          <w:p w:rsidR="00651DD5" w:rsidRPr="00223E1A" w:rsidRDefault="00651DD5" w:rsidP="00964F37">
            <w:pPr>
              <w:spacing w:line="480" w:lineRule="auto"/>
              <w:jc w:val="center"/>
              <w:rPr>
                <w:bCs/>
              </w:rPr>
            </w:pPr>
            <w:r>
              <w:t xml:space="preserve">Yellowish friable  </w:t>
            </w:r>
          </w:p>
        </w:tc>
      </w:tr>
      <w:tr w:rsidR="00651DD5" w:rsidRPr="00223E1A" w:rsidTr="00964F37">
        <w:tc>
          <w:tcPr>
            <w:tcW w:w="1418" w:type="dxa"/>
          </w:tcPr>
          <w:p w:rsidR="00651DD5" w:rsidRPr="00223E1A" w:rsidRDefault="00651DD5" w:rsidP="00964F37">
            <w:pPr>
              <w:spacing w:line="480" w:lineRule="auto"/>
              <w:jc w:val="center"/>
              <w:rPr>
                <w:bCs/>
              </w:rPr>
            </w:pPr>
            <w:r>
              <w:t>C4</w:t>
            </w:r>
          </w:p>
        </w:tc>
        <w:tc>
          <w:tcPr>
            <w:tcW w:w="992" w:type="dxa"/>
          </w:tcPr>
          <w:p w:rsidR="00651DD5" w:rsidRPr="00223E1A" w:rsidRDefault="00651DD5" w:rsidP="00964F37">
            <w:pPr>
              <w:spacing w:line="480" w:lineRule="auto"/>
              <w:jc w:val="center"/>
              <w:rPr>
                <w:bCs/>
              </w:rPr>
            </w:pPr>
            <w:r w:rsidRPr="00223E1A">
              <w:rPr>
                <w:bCs/>
              </w:rPr>
              <w:t>0</w:t>
            </w:r>
          </w:p>
        </w:tc>
        <w:tc>
          <w:tcPr>
            <w:tcW w:w="1048" w:type="dxa"/>
          </w:tcPr>
          <w:p w:rsidR="00651DD5" w:rsidRPr="00223E1A" w:rsidRDefault="00651DD5" w:rsidP="00964F37">
            <w:pPr>
              <w:spacing w:line="480" w:lineRule="auto"/>
              <w:jc w:val="center"/>
              <w:rPr>
                <w:bCs/>
              </w:rPr>
            </w:pPr>
            <w:r w:rsidRPr="00223E1A">
              <w:rPr>
                <w:bCs/>
              </w:rPr>
              <w:t>2.0</w:t>
            </w:r>
          </w:p>
        </w:tc>
        <w:tc>
          <w:tcPr>
            <w:tcW w:w="2160" w:type="dxa"/>
          </w:tcPr>
          <w:p w:rsidR="00651DD5" w:rsidRPr="00223E1A" w:rsidRDefault="00651DD5" w:rsidP="00964F37">
            <w:pPr>
              <w:spacing w:line="480" w:lineRule="auto"/>
              <w:jc w:val="center"/>
              <w:rPr>
                <w:bCs/>
              </w:rPr>
            </w:pPr>
            <w:r>
              <w:t>7.67±0.26</w:t>
            </w:r>
            <w:r w:rsidRPr="00117740">
              <w:rPr>
                <w:vertAlign w:val="superscript"/>
              </w:rPr>
              <w:t>d</w:t>
            </w:r>
          </w:p>
        </w:tc>
        <w:tc>
          <w:tcPr>
            <w:tcW w:w="3708" w:type="dxa"/>
          </w:tcPr>
          <w:p w:rsidR="00651DD5" w:rsidRPr="00223E1A" w:rsidRDefault="00651DD5" w:rsidP="00964F37">
            <w:pPr>
              <w:spacing w:line="480" w:lineRule="auto"/>
              <w:jc w:val="center"/>
              <w:rPr>
                <w:bCs/>
              </w:rPr>
            </w:pPr>
            <w:r>
              <w:t xml:space="preserve">Yellowish friable  </w:t>
            </w:r>
          </w:p>
        </w:tc>
      </w:tr>
      <w:tr w:rsidR="00651DD5" w:rsidRPr="00223E1A" w:rsidTr="00964F37">
        <w:tc>
          <w:tcPr>
            <w:tcW w:w="1418" w:type="dxa"/>
          </w:tcPr>
          <w:p w:rsidR="00651DD5" w:rsidRPr="00223E1A" w:rsidRDefault="00651DD5" w:rsidP="00964F37">
            <w:pPr>
              <w:spacing w:line="480" w:lineRule="auto"/>
              <w:jc w:val="center"/>
              <w:rPr>
                <w:bCs/>
              </w:rPr>
            </w:pPr>
            <w:r>
              <w:t>C5</w:t>
            </w:r>
          </w:p>
        </w:tc>
        <w:tc>
          <w:tcPr>
            <w:tcW w:w="992" w:type="dxa"/>
          </w:tcPr>
          <w:p w:rsidR="00651DD5" w:rsidRPr="00223E1A" w:rsidRDefault="00651DD5" w:rsidP="00964F37">
            <w:pPr>
              <w:spacing w:line="480" w:lineRule="auto"/>
              <w:jc w:val="center"/>
              <w:rPr>
                <w:bCs/>
              </w:rPr>
            </w:pPr>
            <w:r w:rsidRPr="00223E1A">
              <w:rPr>
                <w:bCs/>
              </w:rPr>
              <w:t>0.1</w:t>
            </w:r>
          </w:p>
        </w:tc>
        <w:tc>
          <w:tcPr>
            <w:tcW w:w="1048" w:type="dxa"/>
          </w:tcPr>
          <w:p w:rsidR="00651DD5" w:rsidRPr="00223E1A" w:rsidRDefault="00651DD5" w:rsidP="00964F37">
            <w:pPr>
              <w:spacing w:line="480" w:lineRule="auto"/>
              <w:jc w:val="center"/>
              <w:rPr>
                <w:bCs/>
              </w:rPr>
            </w:pPr>
            <w:r w:rsidRPr="00223E1A">
              <w:rPr>
                <w:bCs/>
              </w:rPr>
              <w:t>0</w:t>
            </w:r>
          </w:p>
        </w:tc>
        <w:tc>
          <w:tcPr>
            <w:tcW w:w="2160" w:type="dxa"/>
          </w:tcPr>
          <w:p w:rsidR="00651DD5" w:rsidRPr="00223E1A" w:rsidRDefault="00651DD5" w:rsidP="00964F37">
            <w:pPr>
              <w:spacing w:line="480" w:lineRule="auto"/>
              <w:jc w:val="center"/>
              <w:rPr>
                <w:bCs/>
              </w:rPr>
            </w:pPr>
            <w:r>
              <w:t>4.37±0.39</w:t>
            </w:r>
            <w:r w:rsidRPr="00117740">
              <w:rPr>
                <w:vertAlign w:val="superscript"/>
              </w:rPr>
              <w:t>b</w:t>
            </w:r>
          </w:p>
        </w:tc>
        <w:tc>
          <w:tcPr>
            <w:tcW w:w="3708" w:type="dxa"/>
          </w:tcPr>
          <w:p w:rsidR="00651DD5" w:rsidRPr="00223E1A" w:rsidRDefault="00651DD5" w:rsidP="00964F37">
            <w:pPr>
              <w:spacing w:line="480" w:lineRule="auto"/>
              <w:jc w:val="center"/>
              <w:rPr>
                <w:bCs/>
              </w:rPr>
            </w:pPr>
            <w:r>
              <w:t xml:space="preserve">  PLBs regenerated from callus</w:t>
            </w:r>
          </w:p>
        </w:tc>
      </w:tr>
      <w:tr w:rsidR="00651DD5" w:rsidRPr="00223E1A" w:rsidTr="00964F37">
        <w:tc>
          <w:tcPr>
            <w:tcW w:w="1418" w:type="dxa"/>
          </w:tcPr>
          <w:p w:rsidR="00651DD5" w:rsidRPr="00223E1A" w:rsidRDefault="00651DD5" w:rsidP="00964F37">
            <w:pPr>
              <w:spacing w:line="480" w:lineRule="auto"/>
              <w:jc w:val="center"/>
              <w:rPr>
                <w:bCs/>
              </w:rPr>
            </w:pPr>
            <w:r>
              <w:t>C6</w:t>
            </w:r>
          </w:p>
        </w:tc>
        <w:tc>
          <w:tcPr>
            <w:tcW w:w="992" w:type="dxa"/>
          </w:tcPr>
          <w:p w:rsidR="00651DD5" w:rsidRPr="00223E1A" w:rsidRDefault="00651DD5" w:rsidP="00964F37">
            <w:pPr>
              <w:spacing w:line="480" w:lineRule="auto"/>
              <w:jc w:val="center"/>
              <w:rPr>
                <w:bCs/>
              </w:rPr>
            </w:pPr>
            <w:r w:rsidRPr="00223E1A">
              <w:rPr>
                <w:bCs/>
              </w:rPr>
              <w:t>0.1</w:t>
            </w:r>
          </w:p>
        </w:tc>
        <w:tc>
          <w:tcPr>
            <w:tcW w:w="1048" w:type="dxa"/>
          </w:tcPr>
          <w:p w:rsidR="00651DD5" w:rsidRPr="00223E1A" w:rsidRDefault="00651DD5" w:rsidP="00964F37">
            <w:pPr>
              <w:spacing w:line="480" w:lineRule="auto"/>
              <w:jc w:val="center"/>
              <w:rPr>
                <w:bCs/>
              </w:rPr>
            </w:pPr>
            <w:r w:rsidRPr="00223E1A">
              <w:rPr>
                <w:bCs/>
              </w:rPr>
              <w:t>0.5</w:t>
            </w:r>
          </w:p>
        </w:tc>
        <w:tc>
          <w:tcPr>
            <w:tcW w:w="2160" w:type="dxa"/>
          </w:tcPr>
          <w:p w:rsidR="00651DD5" w:rsidRPr="00223E1A" w:rsidRDefault="00651DD5" w:rsidP="00964F37">
            <w:pPr>
              <w:spacing w:line="480" w:lineRule="auto"/>
              <w:jc w:val="center"/>
              <w:rPr>
                <w:bCs/>
              </w:rPr>
            </w:pPr>
            <w:r>
              <w:t>0</w:t>
            </w:r>
            <w:r w:rsidRPr="00117740">
              <w:rPr>
                <w:vertAlign w:val="superscript"/>
              </w:rPr>
              <w:t>a</w:t>
            </w:r>
          </w:p>
        </w:tc>
        <w:tc>
          <w:tcPr>
            <w:tcW w:w="3708" w:type="dxa"/>
          </w:tcPr>
          <w:p w:rsidR="00651DD5" w:rsidRPr="00223E1A" w:rsidRDefault="00651DD5" w:rsidP="00964F37">
            <w:pPr>
              <w:spacing w:line="480" w:lineRule="auto"/>
              <w:jc w:val="center"/>
              <w:rPr>
                <w:bCs/>
              </w:rPr>
            </w:pPr>
            <w:r>
              <w:t>Necrotic</w:t>
            </w:r>
          </w:p>
        </w:tc>
      </w:tr>
      <w:tr w:rsidR="00651DD5" w:rsidRPr="00223E1A" w:rsidTr="00964F37">
        <w:tc>
          <w:tcPr>
            <w:tcW w:w="1418" w:type="dxa"/>
          </w:tcPr>
          <w:p w:rsidR="00651DD5" w:rsidRPr="00223E1A" w:rsidRDefault="00651DD5" w:rsidP="00964F37">
            <w:pPr>
              <w:spacing w:line="480" w:lineRule="auto"/>
              <w:jc w:val="center"/>
              <w:rPr>
                <w:bCs/>
              </w:rPr>
            </w:pPr>
            <w:r>
              <w:t>C7</w:t>
            </w:r>
          </w:p>
        </w:tc>
        <w:tc>
          <w:tcPr>
            <w:tcW w:w="992" w:type="dxa"/>
          </w:tcPr>
          <w:p w:rsidR="00651DD5" w:rsidRPr="00223E1A" w:rsidRDefault="00651DD5" w:rsidP="00964F37">
            <w:pPr>
              <w:spacing w:line="480" w:lineRule="auto"/>
              <w:jc w:val="center"/>
              <w:rPr>
                <w:bCs/>
              </w:rPr>
            </w:pPr>
            <w:r w:rsidRPr="00223E1A">
              <w:rPr>
                <w:bCs/>
              </w:rPr>
              <w:t>0.1</w:t>
            </w:r>
          </w:p>
        </w:tc>
        <w:tc>
          <w:tcPr>
            <w:tcW w:w="1048" w:type="dxa"/>
          </w:tcPr>
          <w:p w:rsidR="00651DD5" w:rsidRPr="00223E1A" w:rsidRDefault="00651DD5" w:rsidP="00964F37">
            <w:pPr>
              <w:spacing w:line="480" w:lineRule="auto"/>
              <w:jc w:val="center"/>
              <w:rPr>
                <w:bCs/>
              </w:rPr>
            </w:pPr>
            <w:r w:rsidRPr="00223E1A">
              <w:rPr>
                <w:bCs/>
              </w:rPr>
              <w:t>1.0</w:t>
            </w:r>
          </w:p>
        </w:tc>
        <w:tc>
          <w:tcPr>
            <w:tcW w:w="2160" w:type="dxa"/>
          </w:tcPr>
          <w:p w:rsidR="00651DD5" w:rsidRPr="00223E1A" w:rsidRDefault="00651DD5" w:rsidP="00964F37">
            <w:pPr>
              <w:spacing w:line="480" w:lineRule="auto"/>
              <w:jc w:val="center"/>
              <w:rPr>
                <w:bCs/>
              </w:rPr>
            </w:pPr>
            <w:r>
              <w:t>7.52±0.63</w:t>
            </w:r>
            <w:r w:rsidRPr="00117740">
              <w:rPr>
                <w:vertAlign w:val="superscript"/>
              </w:rPr>
              <w:t>d</w:t>
            </w:r>
          </w:p>
        </w:tc>
        <w:tc>
          <w:tcPr>
            <w:tcW w:w="3708" w:type="dxa"/>
          </w:tcPr>
          <w:p w:rsidR="00651DD5" w:rsidRPr="00223E1A" w:rsidRDefault="00651DD5" w:rsidP="00964F37">
            <w:pPr>
              <w:spacing w:line="480" w:lineRule="auto"/>
              <w:jc w:val="center"/>
              <w:rPr>
                <w:bCs/>
              </w:rPr>
            </w:pPr>
            <w:r>
              <w:t>PLBs regenerated from yellowish green friable callus</w:t>
            </w:r>
          </w:p>
        </w:tc>
      </w:tr>
      <w:tr w:rsidR="00651DD5" w:rsidRPr="00223E1A" w:rsidTr="00964F37">
        <w:tc>
          <w:tcPr>
            <w:tcW w:w="1418" w:type="dxa"/>
          </w:tcPr>
          <w:p w:rsidR="00651DD5" w:rsidRPr="00223E1A" w:rsidRDefault="00651DD5" w:rsidP="00964F37">
            <w:pPr>
              <w:spacing w:line="480" w:lineRule="auto"/>
              <w:jc w:val="center"/>
              <w:rPr>
                <w:bCs/>
              </w:rPr>
            </w:pPr>
            <w:r>
              <w:t>C8</w:t>
            </w:r>
          </w:p>
        </w:tc>
        <w:tc>
          <w:tcPr>
            <w:tcW w:w="992" w:type="dxa"/>
          </w:tcPr>
          <w:p w:rsidR="00651DD5" w:rsidRPr="00223E1A" w:rsidRDefault="00651DD5" w:rsidP="00964F37">
            <w:pPr>
              <w:spacing w:line="480" w:lineRule="auto"/>
              <w:jc w:val="center"/>
              <w:rPr>
                <w:bCs/>
              </w:rPr>
            </w:pPr>
            <w:r w:rsidRPr="00223E1A">
              <w:rPr>
                <w:bCs/>
              </w:rPr>
              <w:t>0.1</w:t>
            </w:r>
          </w:p>
        </w:tc>
        <w:tc>
          <w:tcPr>
            <w:tcW w:w="1048" w:type="dxa"/>
          </w:tcPr>
          <w:p w:rsidR="00651DD5" w:rsidRPr="00223E1A" w:rsidRDefault="00651DD5" w:rsidP="00964F37">
            <w:pPr>
              <w:spacing w:line="480" w:lineRule="auto"/>
              <w:jc w:val="center"/>
              <w:rPr>
                <w:bCs/>
              </w:rPr>
            </w:pPr>
            <w:r w:rsidRPr="00223E1A">
              <w:rPr>
                <w:bCs/>
              </w:rPr>
              <w:t>2.0</w:t>
            </w:r>
          </w:p>
        </w:tc>
        <w:tc>
          <w:tcPr>
            <w:tcW w:w="2160" w:type="dxa"/>
          </w:tcPr>
          <w:p w:rsidR="00651DD5" w:rsidRPr="00223E1A" w:rsidRDefault="00651DD5" w:rsidP="00964F37">
            <w:pPr>
              <w:spacing w:line="480" w:lineRule="auto"/>
              <w:jc w:val="center"/>
              <w:rPr>
                <w:bCs/>
              </w:rPr>
            </w:pPr>
            <w:r>
              <w:t>9.46±0.91</w:t>
            </w:r>
            <w:r w:rsidRPr="00117740">
              <w:rPr>
                <w:vertAlign w:val="superscript"/>
              </w:rPr>
              <w:t>e</w:t>
            </w:r>
          </w:p>
        </w:tc>
        <w:tc>
          <w:tcPr>
            <w:tcW w:w="3708" w:type="dxa"/>
          </w:tcPr>
          <w:p w:rsidR="00651DD5" w:rsidRPr="00223E1A" w:rsidRDefault="00651DD5" w:rsidP="00964F37">
            <w:pPr>
              <w:spacing w:line="480" w:lineRule="auto"/>
              <w:jc w:val="center"/>
              <w:rPr>
                <w:bCs/>
              </w:rPr>
            </w:pPr>
            <w:r>
              <w:t xml:space="preserve">Yellowish green friable  </w:t>
            </w:r>
          </w:p>
        </w:tc>
      </w:tr>
      <w:tr w:rsidR="00651DD5" w:rsidRPr="00223E1A" w:rsidTr="00964F37">
        <w:tc>
          <w:tcPr>
            <w:tcW w:w="1418" w:type="dxa"/>
          </w:tcPr>
          <w:p w:rsidR="00651DD5" w:rsidRPr="00223E1A" w:rsidRDefault="00651DD5" w:rsidP="00964F37">
            <w:pPr>
              <w:spacing w:line="480" w:lineRule="auto"/>
              <w:jc w:val="center"/>
              <w:rPr>
                <w:bCs/>
              </w:rPr>
            </w:pPr>
            <w:r>
              <w:t>C9</w:t>
            </w:r>
          </w:p>
        </w:tc>
        <w:tc>
          <w:tcPr>
            <w:tcW w:w="992" w:type="dxa"/>
          </w:tcPr>
          <w:p w:rsidR="00651DD5" w:rsidRPr="00223E1A" w:rsidRDefault="00651DD5" w:rsidP="00964F37">
            <w:pPr>
              <w:spacing w:line="480" w:lineRule="auto"/>
              <w:jc w:val="center"/>
              <w:rPr>
                <w:bCs/>
              </w:rPr>
            </w:pPr>
            <w:r w:rsidRPr="00223E1A">
              <w:rPr>
                <w:bCs/>
              </w:rPr>
              <w:t>1.0</w:t>
            </w:r>
          </w:p>
        </w:tc>
        <w:tc>
          <w:tcPr>
            <w:tcW w:w="1048" w:type="dxa"/>
          </w:tcPr>
          <w:p w:rsidR="00651DD5" w:rsidRPr="00223E1A" w:rsidRDefault="00651DD5" w:rsidP="00964F37">
            <w:pPr>
              <w:spacing w:line="480" w:lineRule="auto"/>
              <w:jc w:val="center"/>
              <w:rPr>
                <w:bCs/>
              </w:rPr>
            </w:pPr>
            <w:r w:rsidRPr="00223E1A">
              <w:rPr>
                <w:bCs/>
              </w:rPr>
              <w:t>0</w:t>
            </w:r>
          </w:p>
        </w:tc>
        <w:tc>
          <w:tcPr>
            <w:tcW w:w="2160" w:type="dxa"/>
          </w:tcPr>
          <w:p w:rsidR="00651DD5" w:rsidRPr="00223E1A" w:rsidRDefault="00651DD5" w:rsidP="00964F37">
            <w:pPr>
              <w:spacing w:line="480" w:lineRule="auto"/>
              <w:jc w:val="center"/>
              <w:rPr>
                <w:bCs/>
              </w:rPr>
            </w:pPr>
            <w:r>
              <w:t>7.04±0.26</w:t>
            </w:r>
            <w:r w:rsidRPr="00117740">
              <w:rPr>
                <w:vertAlign w:val="superscript"/>
              </w:rPr>
              <w:t>d</w:t>
            </w:r>
          </w:p>
        </w:tc>
        <w:tc>
          <w:tcPr>
            <w:tcW w:w="3708" w:type="dxa"/>
          </w:tcPr>
          <w:p w:rsidR="00651DD5" w:rsidRPr="00223E1A" w:rsidRDefault="00651DD5" w:rsidP="00964F37">
            <w:pPr>
              <w:spacing w:line="480" w:lineRule="auto"/>
              <w:jc w:val="center"/>
              <w:rPr>
                <w:bCs/>
              </w:rPr>
            </w:pPr>
            <w:r>
              <w:t>Necrotic</w:t>
            </w:r>
          </w:p>
        </w:tc>
      </w:tr>
      <w:tr w:rsidR="00651DD5" w:rsidRPr="00223E1A" w:rsidTr="00964F37">
        <w:tc>
          <w:tcPr>
            <w:tcW w:w="1418" w:type="dxa"/>
          </w:tcPr>
          <w:p w:rsidR="00651DD5" w:rsidRPr="00223E1A" w:rsidRDefault="00651DD5" w:rsidP="00964F37">
            <w:pPr>
              <w:spacing w:line="480" w:lineRule="auto"/>
              <w:jc w:val="center"/>
              <w:rPr>
                <w:bCs/>
              </w:rPr>
            </w:pPr>
            <w:r>
              <w:t>C10</w:t>
            </w:r>
          </w:p>
        </w:tc>
        <w:tc>
          <w:tcPr>
            <w:tcW w:w="992" w:type="dxa"/>
          </w:tcPr>
          <w:p w:rsidR="00651DD5" w:rsidRPr="00223E1A" w:rsidRDefault="00651DD5" w:rsidP="00964F37">
            <w:pPr>
              <w:spacing w:line="480" w:lineRule="auto"/>
              <w:jc w:val="center"/>
              <w:rPr>
                <w:bCs/>
              </w:rPr>
            </w:pPr>
            <w:r w:rsidRPr="00223E1A">
              <w:rPr>
                <w:bCs/>
              </w:rPr>
              <w:t>1.0</w:t>
            </w:r>
          </w:p>
        </w:tc>
        <w:tc>
          <w:tcPr>
            <w:tcW w:w="1048" w:type="dxa"/>
          </w:tcPr>
          <w:p w:rsidR="00651DD5" w:rsidRPr="00223E1A" w:rsidRDefault="00651DD5" w:rsidP="00964F37">
            <w:pPr>
              <w:spacing w:line="480" w:lineRule="auto"/>
              <w:jc w:val="center"/>
              <w:rPr>
                <w:bCs/>
              </w:rPr>
            </w:pPr>
            <w:r w:rsidRPr="00223E1A">
              <w:rPr>
                <w:bCs/>
              </w:rPr>
              <w:t>0.5</w:t>
            </w:r>
          </w:p>
        </w:tc>
        <w:tc>
          <w:tcPr>
            <w:tcW w:w="2160" w:type="dxa"/>
          </w:tcPr>
          <w:p w:rsidR="00651DD5" w:rsidRPr="00223E1A" w:rsidRDefault="00651DD5" w:rsidP="00964F37">
            <w:pPr>
              <w:spacing w:line="480" w:lineRule="auto"/>
              <w:jc w:val="center"/>
              <w:rPr>
                <w:bCs/>
              </w:rPr>
            </w:pPr>
            <w:r>
              <w:t>7.50±0.22</w:t>
            </w:r>
            <w:r w:rsidRPr="00117740">
              <w:rPr>
                <w:vertAlign w:val="superscript"/>
              </w:rPr>
              <w:t>d</w:t>
            </w:r>
          </w:p>
        </w:tc>
        <w:tc>
          <w:tcPr>
            <w:tcW w:w="3708" w:type="dxa"/>
          </w:tcPr>
          <w:p w:rsidR="00651DD5" w:rsidRPr="00223E1A" w:rsidRDefault="00651DD5" w:rsidP="00964F37">
            <w:pPr>
              <w:spacing w:line="480" w:lineRule="auto"/>
              <w:jc w:val="center"/>
              <w:rPr>
                <w:bCs/>
              </w:rPr>
            </w:pPr>
            <w:r>
              <w:t>PLBs regenerated from callus</w:t>
            </w:r>
          </w:p>
        </w:tc>
      </w:tr>
      <w:tr w:rsidR="00651DD5" w:rsidRPr="00223E1A" w:rsidTr="00964F37">
        <w:tc>
          <w:tcPr>
            <w:tcW w:w="1418" w:type="dxa"/>
          </w:tcPr>
          <w:p w:rsidR="00651DD5" w:rsidRPr="00223E1A" w:rsidRDefault="00651DD5" w:rsidP="00964F37">
            <w:pPr>
              <w:spacing w:line="480" w:lineRule="auto"/>
              <w:jc w:val="center"/>
              <w:rPr>
                <w:bCs/>
              </w:rPr>
            </w:pPr>
            <w:r>
              <w:t>C11</w:t>
            </w:r>
          </w:p>
        </w:tc>
        <w:tc>
          <w:tcPr>
            <w:tcW w:w="992" w:type="dxa"/>
          </w:tcPr>
          <w:p w:rsidR="00651DD5" w:rsidRPr="00223E1A" w:rsidRDefault="00651DD5" w:rsidP="00964F37">
            <w:pPr>
              <w:spacing w:line="480" w:lineRule="auto"/>
              <w:jc w:val="center"/>
              <w:rPr>
                <w:bCs/>
              </w:rPr>
            </w:pPr>
            <w:r w:rsidRPr="00223E1A">
              <w:rPr>
                <w:bCs/>
              </w:rPr>
              <w:t>1.0</w:t>
            </w:r>
          </w:p>
        </w:tc>
        <w:tc>
          <w:tcPr>
            <w:tcW w:w="1048" w:type="dxa"/>
          </w:tcPr>
          <w:p w:rsidR="00651DD5" w:rsidRPr="00223E1A" w:rsidRDefault="00651DD5" w:rsidP="00964F37">
            <w:pPr>
              <w:spacing w:line="480" w:lineRule="auto"/>
              <w:jc w:val="center"/>
              <w:rPr>
                <w:bCs/>
              </w:rPr>
            </w:pPr>
            <w:r w:rsidRPr="00223E1A">
              <w:rPr>
                <w:bCs/>
              </w:rPr>
              <w:t>1.0</w:t>
            </w:r>
          </w:p>
        </w:tc>
        <w:tc>
          <w:tcPr>
            <w:tcW w:w="2160" w:type="dxa"/>
          </w:tcPr>
          <w:p w:rsidR="00651DD5" w:rsidRPr="00223E1A" w:rsidRDefault="00651DD5" w:rsidP="00964F37">
            <w:pPr>
              <w:spacing w:line="480" w:lineRule="auto"/>
              <w:jc w:val="center"/>
              <w:rPr>
                <w:bCs/>
              </w:rPr>
            </w:pPr>
            <w:r>
              <w:t>5.70±0.55</w:t>
            </w:r>
            <w:r w:rsidRPr="00117740">
              <w:rPr>
                <w:vertAlign w:val="superscript"/>
              </w:rPr>
              <w:t>bc</w:t>
            </w:r>
          </w:p>
        </w:tc>
        <w:tc>
          <w:tcPr>
            <w:tcW w:w="3708" w:type="dxa"/>
          </w:tcPr>
          <w:p w:rsidR="00651DD5" w:rsidRPr="00223E1A" w:rsidRDefault="00651DD5" w:rsidP="00964F37">
            <w:pPr>
              <w:spacing w:line="480" w:lineRule="auto"/>
              <w:jc w:val="center"/>
              <w:rPr>
                <w:bCs/>
              </w:rPr>
            </w:pPr>
            <w:r>
              <w:t xml:space="preserve">Yellowish green friable </w:t>
            </w:r>
          </w:p>
        </w:tc>
      </w:tr>
      <w:tr w:rsidR="00651DD5" w:rsidRPr="00223E1A" w:rsidTr="00964F37">
        <w:tc>
          <w:tcPr>
            <w:tcW w:w="1418" w:type="dxa"/>
          </w:tcPr>
          <w:p w:rsidR="00651DD5" w:rsidRPr="00223E1A" w:rsidRDefault="00651DD5" w:rsidP="00964F37">
            <w:pPr>
              <w:spacing w:line="480" w:lineRule="auto"/>
              <w:jc w:val="center"/>
              <w:rPr>
                <w:bCs/>
              </w:rPr>
            </w:pPr>
            <w:r>
              <w:t>C12</w:t>
            </w:r>
          </w:p>
        </w:tc>
        <w:tc>
          <w:tcPr>
            <w:tcW w:w="992" w:type="dxa"/>
          </w:tcPr>
          <w:p w:rsidR="00651DD5" w:rsidRPr="00223E1A" w:rsidRDefault="00651DD5" w:rsidP="00964F37">
            <w:pPr>
              <w:spacing w:line="480" w:lineRule="auto"/>
              <w:jc w:val="center"/>
              <w:rPr>
                <w:bCs/>
              </w:rPr>
            </w:pPr>
            <w:r w:rsidRPr="00223E1A">
              <w:rPr>
                <w:bCs/>
              </w:rPr>
              <w:t>1.0</w:t>
            </w:r>
          </w:p>
        </w:tc>
        <w:tc>
          <w:tcPr>
            <w:tcW w:w="1048" w:type="dxa"/>
          </w:tcPr>
          <w:p w:rsidR="00651DD5" w:rsidRPr="00223E1A" w:rsidRDefault="00651DD5" w:rsidP="00964F37">
            <w:pPr>
              <w:spacing w:line="480" w:lineRule="auto"/>
              <w:jc w:val="center"/>
              <w:rPr>
                <w:bCs/>
              </w:rPr>
            </w:pPr>
            <w:r w:rsidRPr="00223E1A">
              <w:rPr>
                <w:bCs/>
              </w:rPr>
              <w:t>2.0</w:t>
            </w:r>
          </w:p>
        </w:tc>
        <w:tc>
          <w:tcPr>
            <w:tcW w:w="2160" w:type="dxa"/>
          </w:tcPr>
          <w:p w:rsidR="00651DD5" w:rsidRPr="00223E1A" w:rsidRDefault="00651DD5" w:rsidP="00964F37">
            <w:pPr>
              <w:spacing w:line="480" w:lineRule="auto"/>
              <w:jc w:val="center"/>
              <w:rPr>
                <w:bCs/>
              </w:rPr>
            </w:pPr>
            <w:r>
              <w:t>7.11±0.26</w:t>
            </w:r>
            <w:r w:rsidRPr="00117740">
              <w:rPr>
                <w:vertAlign w:val="superscript"/>
              </w:rPr>
              <w:t>d</w:t>
            </w:r>
          </w:p>
        </w:tc>
        <w:tc>
          <w:tcPr>
            <w:tcW w:w="3708" w:type="dxa"/>
          </w:tcPr>
          <w:p w:rsidR="00651DD5" w:rsidRPr="00223E1A" w:rsidRDefault="00651DD5" w:rsidP="00964F37">
            <w:pPr>
              <w:spacing w:line="480" w:lineRule="auto"/>
              <w:jc w:val="center"/>
              <w:rPr>
                <w:bCs/>
              </w:rPr>
            </w:pPr>
            <w:r>
              <w:t>PLBs regenerated from yellowish green friable callus</w:t>
            </w:r>
          </w:p>
        </w:tc>
      </w:tr>
    </w:tbl>
    <w:p w:rsidR="00651DD5" w:rsidRDefault="00651DD5" w:rsidP="00651DD5">
      <w:pPr>
        <w:spacing w:line="480" w:lineRule="auto"/>
        <w:ind w:left="810" w:hanging="810"/>
        <w:jc w:val="both"/>
        <w:rPr>
          <w:bCs/>
        </w:rPr>
      </w:pPr>
    </w:p>
    <w:p w:rsidR="00651DD5" w:rsidRDefault="00651DD5" w:rsidP="00651DD5">
      <w:pPr>
        <w:spacing w:line="480" w:lineRule="auto"/>
        <w:jc w:val="both"/>
      </w:pPr>
      <w:r>
        <w:rPr>
          <w:b/>
          <w:bCs/>
          <w:vertAlign w:val="superscript"/>
        </w:rPr>
        <w:t xml:space="preserve">* </w:t>
      </w:r>
      <w:r w:rsidR="00ED5BA0">
        <w:t xml:space="preserve">Mean </w:t>
      </w:r>
      <w:r>
        <w:t xml:space="preserve"> ± standard error (S.E</w:t>
      </w:r>
      <w:r w:rsidR="00CB0D5A">
        <w:t xml:space="preserve">). Values </w:t>
      </w:r>
      <w:r>
        <w:t>followed by different superscript letters   are significantly different according to Duncan’s multiple range tests at 1% probability level.</w:t>
      </w:r>
    </w:p>
    <w:p w:rsidR="00651DD5" w:rsidRPr="0064566F" w:rsidRDefault="00651DD5" w:rsidP="00651DD5">
      <w:pPr>
        <w:spacing w:line="480" w:lineRule="auto"/>
        <w:jc w:val="both"/>
      </w:pPr>
      <w:r>
        <w:t xml:space="preserve"> </w:t>
      </w:r>
    </w:p>
    <w:p w:rsidR="00651DD5" w:rsidRDefault="00651DD5" w:rsidP="00651DD5">
      <w:pPr>
        <w:spacing w:line="480" w:lineRule="auto"/>
        <w:ind w:left="900" w:hanging="900"/>
        <w:jc w:val="both"/>
      </w:pPr>
      <w:r w:rsidRPr="00C5582F">
        <w:lastRenderedPageBreak/>
        <w:t>Table 3</w:t>
      </w:r>
      <w:r>
        <w:t>.</w:t>
      </w:r>
      <w:r w:rsidRPr="00C5582F">
        <w:t xml:space="preserve"> </w:t>
      </w:r>
      <w:r>
        <w:t xml:space="preserve"> </w:t>
      </w:r>
      <w:r w:rsidRPr="00C5582F">
        <w:t>Regenerati</w:t>
      </w:r>
      <w:r>
        <w:t>on potential of different calli</w:t>
      </w:r>
      <w:r w:rsidRPr="00C5582F">
        <w:t xml:space="preserve"> lines induced from PLB</w:t>
      </w:r>
      <w:r>
        <w:t xml:space="preserve"> </w:t>
      </w:r>
      <w:r w:rsidRPr="00C5582F">
        <w:t>segments of</w:t>
      </w:r>
      <w:r w:rsidRPr="00C5582F">
        <w:rPr>
          <w:i/>
        </w:rPr>
        <w:t xml:space="preserve"> B.</w:t>
      </w:r>
      <w:r>
        <w:rPr>
          <w:i/>
        </w:rPr>
        <w:t xml:space="preserve"> </w:t>
      </w:r>
      <w:r w:rsidRPr="00C5582F">
        <w:rPr>
          <w:i/>
        </w:rPr>
        <w:t>auricomum</w:t>
      </w:r>
      <w:r w:rsidRPr="00C5582F">
        <w:t xml:space="preserve"> in the presence of different concentrations and combinations of PGRs.*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55"/>
        <w:gridCol w:w="1258"/>
        <w:gridCol w:w="1530"/>
        <w:gridCol w:w="2284"/>
        <w:gridCol w:w="1387"/>
        <w:gridCol w:w="1387"/>
      </w:tblGrid>
      <w:tr w:rsidR="00651DD5" w:rsidTr="00964F37">
        <w:tc>
          <w:tcPr>
            <w:tcW w:w="1055" w:type="dxa"/>
            <w:vMerge w:val="restart"/>
          </w:tcPr>
          <w:p w:rsidR="00651DD5" w:rsidRDefault="00651DD5" w:rsidP="00964F37">
            <w:pPr>
              <w:spacing w:line="480" w:lineRule="auto"/>
              <w:jc w:val="center"/>
            </w:pPr>
            <w:r w:rsidRPr="00B0300E">
              <w:t>Callus</w:t>
            </w:r>
            <w:r>
              <w:t xml:space="preserve"> </w:t>
            </w:r>
            <w:r w:rsidRPr="00B0300E">
              <w:t>Lines</w:t>
            </w:r>
          </w:p>
        </w:tc>
        <w:tc>
          <w:tcPr>
            <w:tcW w:w="2788" w:type="dxa"/>
            <w:gridSpan w:val="2"/>
          </w:tcPr>
          <w:p w:rsidR="00651DD5" w:rsidRDefault="00651DD5" w:rsidP="00964F37">
            <w:pPr>
              <w:spacing w:line="480" w:lineRule="auto"/>
              <w:jc w:val="center"/>
            </w:pPr>
            <w:r>
              <w:t>MS basal medium containing (mgl</w:t>
            </w:r>
            <w:r w:rsidRPr="00D564DA">
              <w:rPr>
                <w:bCs/>
                <w:vertAlign w:val="superscript"/>
              </w:rPr>
              <w:t>-1</w:t>
            </w:r>
            <w:r>
              <w:t>)</w:t>
            </w:r>
          </w:p>
        </w:tc>
        <w:tc>
          <w:tcPr>
            <w:tcW w:w="2284" w:type="dxa"/>
            <w:vMerge w:val="restart"/>
          </w:tcPr>
          <w:p w:rsidR="00651DD5" w:rsidRDefault="00651DD5" w:rsidP="00964F37">
            <w:pPr>
              <w:spacing w:line="480" w:lineRule="auto"/>
              <w:jc w:val="center"/>
            </w:pPr>
            <w:r w:rsidRPr="00B0300E">
              <w:t>Regeneration</w:t>
            </w:r>
            <w:r>
              <w:t xml:space="preserve"> </w:t>
            </w:r>
            <w:r w:rsidRPr="00B0300E">
              <w:t>frequency %</w:t>
            </w:r>
          </w:p>
        </w:tc>
        <w:tc>
          <w:tcPr>
            <w:tcW w:w="2774" w:type="dxa"/>
            <w:gridSpan w:val="2"/>
          </w:tcPr>
          <w:p w:rsidR="00651DD5" w:rsidRDefault="00651DD5" w:rsidP="00964F37">
            <w:pPr>
              <w:spacing w:line="480" w:lineRule="auto"/>
              <w:jc w:val="center"/>
            </w:pPr>
            <w:r w:rsidRPr="00B0300E">
              <w:t>No. of shoot bud</w:t>
            </w:r>
            <w:r>
              <w:t>s</w:t>
            </w:r>
            <w:r w:rsidRPr="00B0300E">
              <w:t>/100 mg callus</w:t>
            </w:r>
            <w:r>
              <w:t xml:space="preserve"> </w:t>
            </w:r>
            <w:r>
              <w:rPr>
                <w:vertAlign w:val="superscript"/>
              </w:rPr>
              <w:t>**</w:t>
            </w:r>
          </w:p>
        </w:tc>
      </w:tr>
      <w:tr w:rsidR="00651DD5" w:rsidTr="00964F37">
        <w:tc>
          <w:tcPr>
            <w:tcW w:w="1055" w:type="dxa"/>
            <w:vMerge/>
          </w:tcPr>
          <w:p w:rsidR="00651DD5" w:rsidRDefault="00651DD5" w:rsidP="00964F37">
            <w:pPr>
              <w:spacing w:line="480" w:lineRule="auto"/>
              <w:jc w:val="center"/>
            </w:pPr>
          </w:p>
        </w:tc>
        <w:tc>
          <w:tcPr>
            <w:tcW w:w="1258" w:type="dxa"/>
          </w:tcPr>
          <w:p w:rsidR="00651DD5" w:rsidRDefault="00651DD5" w:rsidP="00964F37">
            <w:pPr>
              <w:spacing w:line="480" w:lineRule="auto"/>
              <w:jc w:val="center"/>
            </w:pPr>
            <w:r>
              <w:t>TDZ</w:t>
            </w:r>
          </w:p>
        </w:tc>
        <w:tc>
          <w:tcPr>
            <w:tcW w:w="1530" w:type="dxa"/>
          </w:tcPr>
          <w:p w:rsidR="00651DD5" w:rsidRDefault="00651DD5" w:rsidP="00964F37">
            <w:pPr>
              <w:spacing w:line="480" w:lineRule="auto"/>
              <w:jc w:val="center"/>
            </w:pPr>
            <w:r>
              <w:t>2,4-D</w:t>
            </w:r>
          </w:p>
        </w:tc>
        <w:tc>
          <w:tcPr>
            <w:tcW w:w="2284" w:type="dxa"/>
            <w:vMerge/>
          </w:tcPr>
          <w:p w:rsidR="00651DD5" w:rsidRDefault="00651DD5" w:rsidP="00964F37">
            <w:pPr>
              <w:spacing w:line="480" w:lineRule="auto"/>
              <w:jc w:val="center"/>
            </w:pPr>
          </w:p>
        </w:tc>
        <w:tc>
          <w:tcPr>
            <w:tcW w:w="1387" w:type="dxa"/>
          </w:tcPr>
          <w:p w:rsidR="00651DD5" w:rsidRDefault="00651DD5" w:rsidP="00964F37">
            <w:pPr>
              <w:spacing w:line="480" w:lineRule="auto"/>
              <w:jc w:val="center"/>
            </w:pPr>
            <w:r>
              <w:t>60 days</w:t>
            </w:r>
          </w:p>
        </w:tc>
        <w:tc>
          <w:tcPr>
            <w:tcW w:w="1387" w:type="dxa"/>
          </w:tcPr>
          <w:p w:rsidR="00651DD5" w:rsidRDefault="00651DD5" w:rsidP="00964F37">
            <w:pPr>
              <w:spacing w:line="480" w:lineRule="auto"/>
              <w:jc w:val="center"/>
            </w:pPr>
            <w:r>
              <w:t>120 days</w:t>
            </w:r>
          </w:p>
        </w:tc>
      </w:tr>
      <w:tr w:rsidR="00651DD5" w:rsidTr="00964F37">
        <w:tc>
          <w:tcPr>
            <w:tcW w:w="1055" w:type="dxa"/>
          </w:tcPr>
          <w:p w:rsidR="00651DD5" w:rsidRDefault="00651DD5" w:rsidP="00964F37">
            <w:pPr>
              <w:spacing w:line="480" w:lineRule="auto"/>
              <w:jc w:val="center"/>
            </w:pPr>
            <w:r w:rsidRPr="00B0300E">
              <w:t>C2</w:t>
            </w:r>
          </w:p>
        </w:tc>
        <w:tc>
          <w:tcPr>
            <w:tcW w:w="1258" w:type="dxa"/>
          </w:tcPr>
          <w:p w:rsidR="00651DD5" w:rsidRDefault="00651DD5" w:rsidP="00964F37">
            <w:pPr>
              <w:spacing w:line="480" w:lineRule="auto"/>
              <w:jc w:val="center"/>
            </w:pPr>
            <w:r>
              <w:t>0</w:t>
            </w:r>
          </w:p>
        </w:tc>
        <w:tc>
          <w:tcPr>
            <w:tcW w:w="1530" w:type="dxa"/>
          </w:tcPr>
          <w:p w:rsidR="00651DD5" w:rsidRDefault="00651DD5" w:rsidP="00964F37">
            <w:pPr>
              <w:spacing w:line="480" w:lineRule="auto"/>
              <w:jc w:val="center"/>
            </w:pPr>
            <w:r>
              <w:t>0.5</w:t>
            </w:r>
          </w:p>
        </w:tc>
        <w:tc>
          <w:tcPr>
            <w:tcW w:w="2284" w:type="dxa"/>
          </w:tcPr>
          <w:p w:rsidR="00651DD5" w:rsidRDefault="00651DD5" w:rsidP="00964F37">
            <w:pPr>
              <w:spacing w:line="480" w:lineRule="auto"/>
              <w:jc w:val="center"/>
            </w:pPr>
            <w:r>
              <w:t>0</w:t>
            </w:r>
          </w:p>
        </w:tc>
        <w:tc>
          <w:tcPr>
            <w:tcW w:w="1387" w:type="dxa"/>
          </w:tcPr>
          <w:p w:rsidR="00651DD5" w:rsidRDefault="00651DD5" w:rsidP="00964F37">
            <w:pPr>
              <w:spacing w:line="480" w:lineRule="auto"/>
              <w:jc w:val="center"/>
            </w:pPr>
            <w:r w:rsidRPr="00B0300E">
              <w:t>0</w:t>
            </w:r>
            <w:r w:rsidRPr="007020C0">
              <w:rPr>
                <w:vertAlign w:val="superscript"/>
              </w:rPr>
              <w:t xml:space="preserve"> a</w:t>
            </w:r>
            <w:r>
              <w:t xml:space="preserve"> </w:t>
            </w:r>
          </w:p>
        </w:tc>
        <w:tc>
          <w:tcPr>
            <w:tcW w:w="1387" w:type="dxa"/>
          </w:tcPr>
          <w:p w:rsidR="00651DD5" w:rsidRDefault="00651DD5" w:rsidP="00964F37">
            <w:pPr>
              <w:spacing w:line="480" w:lineRule="auto"/>
              <w:jc w:val="center"/>
            </w:pPr>
            <w:r w:rsidRPr="00B0300E">
              <w:t>0</w:t>
            </w:r>
            <w:r w:rsidRPr="007020C0">
              <w:rPr>
                <w:vertAlign w:val="superscript"/>
              </w:rPr>
              <w:t xml:space="preserve"> a</w:t>
            </w:r>
          </w:p>
        </w:tc>
      </w:tr>
      <w:tr w:rsidR="00651DD5" w:rsidTr="00964F37">
        <w:tc>
          <w:tcPr>
            <w:tcW w:w="1055" w:type="dxa"/>
          </w:tcPr>
          <w:p w:rsidR="00651DD5" w:rsidRDefault="00651DD5" w:rsidP="00964F37">
            <w:pPr>
              <w:spacing w:line="480" w:lineRule="auto"/>
              <w:jc w:val="center"/>
            </w:pPr>
            <w:r w:rsidRPr="00B0300E">
              <w:t>C</w:t>
            </w:r>
            <w:r>
              <w:t>3</w:t>
            </w:r>
          </w:p>
        </w:tc>
        <w:tc>
          <w:tcPr>
            <w:tcW w:w="1258" w:type="dxa"/>
          </w:tcPr>
          <w:p w:rsidR="00651DD5" w:rsidRDefault="00651DD5" w:rsidP="00964F37">
            <w:pPr>
              <w:spacing w:line="480" w:lineRule="auto"/>
              <w:jc w:val="center"/>
            </w:pPr>
            <w:r>
              <w:t>0</w:t>
            </w:r>
          </w:p>
        </w:tc>
        <w:tc>
          <w:tcPr>
            <w:tcW w:w="1530" w:type="dxa"/>
          </w:tcPr>
          <w:p w:rsidR="00651DD5" w:rsidRDefault="00651DD5" w:rsidP="00964F37">
            <w:pPr>
              <w:spacing w:line="480" w:lineRule="auto"/>
              <w:jc w:val="center"/>
            </w:pPr>
            <w:r>
              <w:t>1.0</w:t>
            </w:r>
          </w:p>
        </w:tc>
        <w:tc>
          <w:tcPr>
            <w:tcW w:w="2284" w:type="dxa"/>
          </w:tcPr>
          <w:p w:rsidR="00651DD5" w:rsidRDefault="00651DD5" w:rsidP="00964F37">
            <w:pPr>
              <w:spacing w:line="480" w:lineRule="auto"/>
              <w:jc w:val="center"/>
            </w:pPr>
            <w:r>
              <w:t>0</w:t>
            </w:r>
          </w:p>
        </w:tc>
        <w:tc>
          <w:tcPr>
            <w:tcW w:w="1387" w:type="dxa"/>
          </w:tcPr>
          <w:p w:rsidR="00651DD5" w:rsidRDefault="00651DD5" w:rsidP="00964F37">
            <w:pPr>
              <w:spacing w:line="480" w:lineRule="auto"/>
              <w:jc w:val="center"/>
            </w:pPr>
            <w:r w:rsidRPr="00B0300E">
              <w:t>0</w:t>
            </w:r>
            <w:r w:rsidRPr="007020C0">
              <w:rPr>
                <w:vertAlign w:val="superscript"/>
              </w:rPr>
              <w:t>a</w:t>
            </w:r>
          </w:p>
        </w:tc>
        <w:tc>
          <w:tcPr>
            <w:tcW w:w="1387" w:type="dxa"/>
          </w:tcPr>
          <w:p w:rsidR="00651DD5" w:rsidRDefault="00651DD5" w:rsidP="00964F37">
            <w:pPr>
              <w:spacing w:line="480" w:lineRule="auto"/>
              <w:jc w:val="center"/>
            </w:pPr>
            <w:r w:rsidRPr="00B0300E">
              <w:t>0</w:t>
            </w:r>
            <w:r w:rsidRPr="007020C0">
              <w:rPr>
                <w:vertAlign w:val="superscript"/>
              </w:rPr>
              <w:t xml:space="preserve"> a</w:t>
            </w:r>
          </w:p>
        </w:tc>
      </w:tr>
      <w:tr w:rsidR="00651DD5" w:rsidTr="00964F37">
        <w:tc>
          <w:tcPr>
            <w:tcW w:w="1055" w:type="dxa"/>
          </w:tcPr>
          <w:p w:rsidR="00651DD5" w:rsidRDefault="00651DD5" w:rsidP="00964F37">
            <w:pPr>
              <w:spacing w:line="480" w:lineRule="auto"/>
              <w:jc w:val="center"/>
            </w:pPr>
            <w:r w:rsidRPr="00B0300E">
              <w:t>C</w:t>
            </w:r>
            <w:r>
              <w:t>4</w:t>
            </w:r>
          </w:p>
        </w:tc>
        <w:tc>
          <w:tcPr>
            <w:tcW w:w="1258" w:type="dxa"/>
          </w:tcPr>
          <w:p w:rsidR="00651DD5" w:rsidRDefault="00651DD5" w:rsidP="00964F37">
            <w:pPr>
              <w:spacing w:line="480" w:lineRule="auto"/>
              <w:jc w:val="center"/>
            </w:pPr>
            <w:r>
              <w:t>0</w:t>
            </w:r>
          </w:p>
        </w:tc>
        <w:tc>
          <w:tcPr>
            <w:tcW w:w="1530" w:type="dxa"/>
          </w:tcPr>
          <w:p w:rsidR="00651DD5" w:rsidRDefault="00651DD5" w:rsidP="00964F37">
            <w:pPr>
              <w:spacing w:line="480" w:lineRule="auto"/>
              <w:jc w:val="center"/>
            </w:pPr>
            <w:r>
              <w:t>2.0</w:t>
            </w:r>
          </w:p>
        </w:tc>
        <w:tc>
          <w:tcPr>
            <w:tcW w:w="2284" w:type="dxa"/>
          </w:tcPr>
          <w:p w:rsidR="00651DD5" w:rsidRDefault="00651DD5" w:rsidP="00964F37">
            <w:pPr>
              <w:spacing w:line="480" w:lineRule="auto"/>
              <w:jc w:val="center"/>
            </w:pPr>
            <w:r>
              <w:t>0</w:t>
            </w:r>
          </w:p>
        </w:tc>
        <w:tc>
          <w:tcPr>
            <w:tcW w:w="1387" w:type="dxa"/>
          </w:tcPr>
          <w:p w:rsidR="00651DD5" w:rsidRDefault="00651DD5" w:rsidP="00964F37">
            <w:pPr>
              <w:spacing w:line="480" w:lineRule="auto"/>
              <w:jc w:val="center"/>
            </w:pPr>
            <w:r w:rsidRPr="00B0300E">
              <w:t>0</w:t>
            </w:r>
            <w:r w:rsidRPr="007020C0">
              <w:rPr>
                <w:vertAlign w:val="superscript"/>
              </w:rPr>
              <w:t xml:space="preserve"> a</w:t>
            </w:r>
          </w:p>
        </w:tc>
        <w:tc>
          <w:tcPr>
            <w:tcW w:w="1387" w:type="dxa"/>
          </w:tcPr>
          <w:p w:rsidR="00651DD5" w:rsidRDefault="00651DD5" w:rsidP="00964F37">
            <w:pPr>
              <w:spacing w:line="480" w:lineRule="auto"/>
              <w:jc w:val="center"/>
            </w:pPr>
            <w:r w:rsidRPr="00B0300E">
              <w:t>0</w:t>
            </w:r>
            <w:r w:rsidRPr="007020C0">
              <w:rPr>
                <w:vertAlign w:val="superscript"/>
              </w:rPr>
              <w:t xml:space="preserve"> a</w:t>
            </w:r>
          </w:p>
        </w:tc>
      </w:tr>
      <w:tr w:rsidR="00651DD5" w:rsidRPr="007020C0" w:rsidTr="00964F37">
        <w:tc>
          <w:tcPr>
            <w:tcW w:w="1055" w:type="dxa"/>
          </w:tcPr>
          <w:p w:rsidR="00651DD5" w:rsidRDefault="00651DD5" w:rsidP="00964F37">
            <w:pPr>
              <w:spacing w:line="480" w:lineRule="auto"/>
              <w:jc w:val="center"/>
            </w:pPr>
            <w:r w:rsidRPr="00B0300E">
              <w:t>C</w:t>
            </w:r>
            <w:r>
              <w:t>5</w:t>
            </w:r>
          </w:p>
        </w:tc>
        <w:tc>
          <w:tcPr>
            <w:tcW w:w="1258" w:type="dxa"/>
          </w:tcPr>
          <w:p w:rsidR="00651DD5" w:rsidRDefault="00651DD5" w:rsidP="00964F37">
            <w:pPr>
              <w:spacing w:line="480" w:lineRule="auto"/>
              <w:jc w:val="center"/>
            </w:pPr>
            <w:r>
              <w:t>0.1</w:t>
            </w:r>
          </w:p>
        </w:tc>
        <w:tc>
          <w:tcPr>
            <w:tcW w:w="1530" w:type="dxa"/>
          </w:tcPr>
          <w:p w:rsidR="00651DD5" w:rsidRDefault="00651DD5" w:rsidP="00964F37">
            <w:pPr>
              <w:spacing w:line="480" w:lineRule="auto"/>
              <w:jc w:val="center"/>
            </w:pPr>
            <w:r>
              <w:t>0</w:t>
            </w:r>
          </w:p>
        </w:tc>
        <w:tc>
          <w:tcPr>
            <w:tcW w:w="2284" w:type="dxa"/>
          </w:tcPr>
          <w:p w:rsidR="00651DD5" w:rsidRDefault="00651DD5" w:rsidP="00964F37">
            <w:pPr>
              <w:spacing w:line="480" w:lineRule="auto"/>
              <w:jc w:val="center"/>
            </w:pPr>
            <w:r>
              <w:t>40</w:t>
            </w:r>
          </w:p>
        </w:tc>
        <w:tc>
          <w:tcPr>
            <w:tcW w:w="1387" w:type="dxa"/>
          </w:tcPr>
          <w:p w:rsidR="00651DD5" w:rsidRDefault="00651DD5" w:rsidP="00964F37">
            <w:pPr>
              <w:spacing w:line="480" w:lineRule="auto"/>
              <w:jc w:val="center"/>
            </w:pPr>
            <w:r w:rsidRPr="00B0300E">
              <w:t>2.</w:t>
            </w:r>
            <w:r>
              <w:t>5</w:t>
            </w:r>
            <w:r w:rsidRPr="00B0300E">
              <w:t>±0.29</w:t>
            </w:r>
            <w:r w:rsidRPr="003E5102">
              <w:rPr>
                <w:vertAlign w:val="superscript"/>
              </w:rPr>
              <w:t>b</w:t>
            </w:r>
          </w:p>
        </w:tc>
        <w:tc>
          <w:tcPr>
            <w:tcW w:w="1387" w:type="dxa"/>
          </w:tcPr>
          <w:p w:rsidR="00651DD5" w:rsidRPr="007020C0" w:rsidRDefault="00651DD5" w:rsidP="00964F37">
            <w:pPr>
              <w:spacing w:line="480" w:lineRule="auto"/>
              <w:jc w:val="center"/>
              <w:rPr>
                <w:lang w:val="pt-BR"/>
              </w:rPr>
            </w:pPr>
            <w:r w:rsidRPr="007020C0">
              <w:rPr>
                <w:lang w:val="pt-BR"/>
              </w:rPr>
              <w:t>11.</w:t>
            </w:r>
            <w:r>
              <w:rPr>
                <w:lang w:val="pt-BR"/>
              </w:rPr>
              <w:t>0</w:t>
            </w:r>
            <w:r w:rsidRPr="007020C0">
              <w:rPr>
                <w:lang w:val="pt-BR"/>
              </w:rPr>
              <w:t>±0.55</w:t>
            </w:r>
            <w:r w:rsidRPr="007020C0">
              <w:rPr>
                <w:vertAlign w:val="superscript"/>
                <w:lang w:val="pt-BR"/>
              </w:rPr>
              <w:t xml:space="preserve">b </w:t>
            </w:r>
            <w:r w:rsidRPr="007020C0">
              <w:rPr>
                <w:lang w:val="pt-BR"/>
              </w:rPr>
              <w:t xml:space="preserve">                         </w:t>
            </w:r>
          </w:p>
        </w:tc>
      </w:tr>
      <w:tr w:rsidR="00651DD5" w:rsidRPr="007020C0" w:rsidTr="00964F37">
        <w:tc>
          <w:tcPr>
            <w:tcW w:w="1055" w:type="dxa"/>
          </w:tcPr>
          <w:p w:rsidR="00651DD5" w:rsidRPr="007020C0" w:rsidRDefault="00651DD5" w:rsidP="00964F37">
            <w:pPr>
              <w:spacing w:line="480" w:lineRule="auto"/>
              <w:jc w:val="center"/>
              <w:rPr>
                <w:lang w:val="pt-BR"/>
              </w:rPr>
            </w:pPr>
            <w:r w:rsidRPr="007020C0">
              <w:rPr>
                <w:lang w:val="pt-BR"/>
              </w:rPr>
              <w:t>C7</w:t>
            </w:r>
          </w:p>
        </w:tc>
        <w:tc>
          <w:tcPr>
            <w:tcW w:w="1258" w:type="dxa"/>
          </w:tcPr>
          <w:p w:rsidR="00651DD5" w:rsidRPr="007020C0" w:rsidRDefault="00651DD5" w:rsidP="00964F37">
            <w:pPr>
              <w:spacing w:line="480" w:lineRule="auto"/>
              <w:jc w:val="center"/>
              <w:rPr>
                <w:lang w:val="pt-BR"/>
              </w:rPr>
            </w:pPr>
            <w:r w:rsidRPr="007020C0">
              <w:rPr>
                <w:lang w:val="pt-BR"/>
              </w:rPr>
              <w:t>0.1</w:t>
            </w:r>
          </w:p>
        </w:tc>
        <w:tc>
          <w:tcPr>
            <w:tcW w:w="1530" w:type="dxa"/>
          </w:tcPr>
          <w:p w:rsidR="00651DD5" w:rsidRPr="007020C0" w:rsidRDefault="00651DD5" w:rsidP="00964F37">
            <w:pPr>
              <w:spacing w:line="480" w:lineRule="auto"/>
              <w:jc w:val="center"/>
              <w:rPr>
                <w:lang w:val="pt-BR"/>
              </w:rPr>
            </w:pPr>
            <w:r w:rsidRPr="007020C0">
              <w:rPr>
                <w:lang w:val="pt-BR"/>
              </w:rPr>
              <w:t>1.0</w:t>
            </w:r>
          </w:p>
        </w:tc>
        <w:tc>
          <w:tcPr>
            <w:tcW w:w="2284" w:type="dxa"/>
          </w:tcPr>
          <w:p w:rsidR="00651DD5" w:rsidRPr="007020C0" w:rsidRDefault="00651DD5" w:rsidP="00964F37">
            <w:pPr>
              <w:spacing w:line="480" w:lineRule="auto"/>
              <w:jc w:val="center"/>
              <w:rPr>
                <w:lang w:val="pt-BR"/>
              </w:rPr>
            </w:pPr>
            <w:r w:rsidRPr="007020C0">
              <w:rPr>
                <w:lang w:val="pt-BR"/>
              </w:rPr>
              <w:t>30</w:t>
            </w:r>
          </w:p>
        </w:tc>
        <w:tc>
          <w:tcPr>
            <w:tcW w:w="1387" w:type="dxa"/>
          </w:tcPr>
          <w:p w:rsidR="00651DD5" w:rsidRPr="007020C0" w:rsidRDefault="00651DD5" w:rsidP="00964F37">
            <w:pPr>
              <w:spacing w:line="480" w:lineRule="auto"/>
              <w:jc w:val="center"/>
              <w:rPr>
                <w:lang w:val="pt-BR"/>
              </w:rPr>
            </w:pPr>
            <w:r>
              <w:rPr>
                <w:lang w:val="pt-BR"/>
              </w:rPr>
              <w:t>0.5</w:t>
            </w:r>
            <w:r w:rsidRPr="007020C0">
              <w:rPr>
                <w:lang w:val="pt-BR"/>
              </w:rPr>
              <w:t>±0.12</w:t>
            </w:r>
            <w:r w:rsidRPr="007020C0">
              <w:rPr>
                <w:vertAlign w:val="superscript"/>
              </w:rPr>
              <w:t xml:space="preserve"> a</w:t>
            </w:r>
          </w:p>
        </w:tc>
        <w:tc>
          <w:tcPr>
            <w:tcW w:w="1387" w:type="dxa"/>
          </w:tcPr>
          <w:p w:rsidR="00651DD5" w:rsidRPr="007020C0" w:rsidRDefault="00651DD5" w:rsidP="00964F37">
            <w:pPr>
              <w:spacing w:line="480" w:lineRule="auto"/>
              <w:jc w:val="center"/>
              <w:rPr>
                <w:lang w:val="pt-BR"/>
              </w:rPr>
            </w:pPr>
            <w:r w:rsidRPr="007020C0">
              <w:rPr>
                <w:lang w:val="pt-BR"/>
              </w:rPr>
              <w:t>1.5±0.12</w:t>
            </w:r>
            <w:r w:rsidRPr="007020C0">
              <w:rPr>
                <w:vertAlign w:val="superscript"/>
              </w:rPr>
              <w:t xml:space="preserve"> a</w:t>
            </w:r>
            <w:r w:rsidRPr="007020C0">
              <w:rPr>
                <w:lang w:val="pt-BR"/>
              </w:rPr>
              <w:t xml:space="preserve">                          </w:t>
            </w:r>
          </w:p>
        </w:tc>
      </w:tr>
      <w:tr w:rsidR="00651DD5" w:rsidRPr="007020C0" w:rsidTr="00964F37">
        <w:tc>
          <w:tcPr>
            <w:tcW w:w="1055" w:type="dxa"/>
          </w:tcPr>
          <w:p w:rsidR="00651DD5" w:rsidRPr="007020C0" w:rsidRDefault="00651DD5" w:rsidP="00964F37">
            <w:pPr>
              <w:spacing w:line="480" w:lineRule="auto"/>
              <w:jc w:val="center"/>
              <w:rPr>
                <w:lang w:val="pt-BR"/>
              </w:rPr>
            </w:pPr>
            <w:r w:rsidRPr="007020C0">
              <w:rPr>
                <w:lang w:val="pt-BR"/>
              </w:rPr>
              <w:t>C8</w:t>
            </w:r>
          </w:p>
        </w:tc>
        <w:tc>
          <w:tcPr>
            <w:tcW w:w="1258" w:type="dxa"/>
          </w:tcPr>
          <w:p w:rsidR="00651DD5" w:rsidRPr="007020C0" w:rsidRDefault="00651DD5" w:rsidP="00964F37">
            <w:pPr>
              <w:spacing w:line="480" w:lineRule="auto"/>
              <w:jc w:val="center"/>
              <w:rPr>
                <w:lang w:val="pt-BR"/>
              </w:rPr>
            </w:pPr>
            <w:r w:rsidRPr="007020C0">
              <w:rPr>
                <w:lang w:val="pt-BR"/>
              </w:rPr>
              <w:t>0.1</w:t>
            </w:r>
          </w:p>
        </w:tc>
        <w:tc>
          <w:tcPr>
            <w:tcW w:w="1530" w:type="dxa"/>
          </w:tcPr>
          <w:p w:rsidR="00651DD5" w:rsidRPr="007020C0" w:rsidRDefault="00651DD5" w:rsidP="00964F37">
            <w:pPr>
              <w:spacing w:line="480" w:lineRule="auto"/>
              <w:jc w:val="center"/>
              <w:rPr>
                <w:lang w:val="pt-BR"/>
              </w:rPr>
            </w:pPr>
            <w:r w:rsidRPr="007020C0">
              <w:rPr>
                <w:lang w:val="pt-BR"/>
              </w:rPr>
              <w:t>2.0</w:t>
            </w:r>
          </w:p>
        </w:tc>
        <w:tc>
          <w:tcPr>
            <w:tcW w:w="2284" w:type="dxa"/>
          </w:tcPr>
          <w:p w:rsidR="00651DD5" w:rsidRPr="007020C0" w:rsidRDefault="00651DD5" w:rsidP="00964F37">
            <w:pPr>
              <w:spacing w:line="480" w:lineRule="auto"/>
              <w:jc w:val="center"/>
              <w:rPr>
                <w:lang w:val="pt-BR"/>
              </w:rPr>
            </w:pPr>
            <w:r w:rsidRPr="007020C0">
              <w:rPr>
                <w:lang w:val="pt-BR"/>
              </w:rPr>
              <w:t>0</w:t>
            </w:r>
          </w:p>
        </w:tc>
        <w:tc>
          <w:tcPr>
            <w:tcW w:w="1387" w:type="dxa"/>
          </w:tcPr>
          <w:p w:rsidR="00651DD5" w:rsidRPr="007020C0" w:rsidRDefault="00651DD5" w:rsidP="00964F37">
            <w:pPr>
              <w:spacing w:line="480" w:lineRule="auto"/>
              <w:jc w:val="center"/>
              <w:rPr>
                <w:lang w:val="pt-BR"/>
              </w:rPr>
            </w:pPr>
            <w:r w:rsidRPr="007020C0">
              <w:rPr>
                <w:lang w:val="pt-BR"/>
              </w:rPr>
              <w:t>0</w:t>
            </w:r>
            <w:r w:rsidRPr="007020C0">
              <w:rPr>
                <w:vertAlign w:val="superscript"/>
              </w:rPr>
              <w:t xml:space="preserve"> a</w:t>
            </w:r>
          </w:p>
        </w:tc>
        <w:tc>
          <w:tcPr>
            <w:tcW w:w="1387" w:type="dxa"/>
          </w:tcPr>
          <w:p w:rsidR="00651DD5" w:rsidRPr="007020C0" w:rsidRDefault="00651DD5" w:rsidP="00964F37">
            <w:pPr>
              <w:spacing w:line="480" w:lineRule="auto"/>
              <w:jc w:val="center"/>
              <w:rPr>
                <w:lang w:val="pt-BR"/>
              </w:rPr>
            </w:pPr>
            <w:r w:rsidRPr="007020C0">
              <w:rPr>
                <w:lang w:val="pt-BR"/>
              </w:rPr>
              <w:t>0</w:t>
            </w:r>
            <w:r w:rsidRPr="007020C0">
              <w:rPr>
                <w:vertAlign w:val="superscript"/>
              </w:rPr>
              <w:t xml:space="preserve"> a</w:t>
            </w:r>
          </w:p>
        </w:tc>
      </w:tr>
      <w:tr w:rsidR="00651DD5" w:rsidRPr="007020C0" w:rsidTr="00964F37">
        <w:tc>
          <w:tcPr>
            <w:tcW w:w="1055" w:type="dxa"/>
          </w:tcPr>
          <w:p w:rsidR="00651DD5" w:rsidRPr="007020C0" w:rsidRDefault="00651DD5" w:rsidP="00964F37">
            <w:pPr>
              <w:spacing w:line="480" w:lineRule="auto"/>
              <w:jc w:val="center"/>
              <w:rPr>
                <w:lang w:val="pt-BR"/>
              </w:rPr>
            </w:pPr>
            <w:r w:rsidRPr="007020C0">
              <w:rPr>
                <w:lang w:val="pt-BR"/>
              </w:rPr>
              <w:t>C10</w:t>
            </w:r>
          </w:p>
        </w:tc>
        <w:tc>
          <w:tcPr>
            <w:tcW w:w="1258" w:type="dxa"/>
          </w:tcPr>
          <w:p w:rsidR="00651DD5" w:rsidRPr="007020C0" w:rsidRDefault="00651DD5" w:rsidP="00964F37">
            <w:pPr>
              <w:spacing w:line="480" w:lineRule="auto"/>
              <w:jc w:val="center"/>
              <w:rPr>
                <w:lang w:val="pt-BR"/>
              </w:rPr>
            </w:pPr>
            <w:r w:rsidRPr="007020C0">
              <w:rPr>
                <w:lang w:val="pt-BR"/>
              </w:rPr>
              <w:t>1.0</w:t>
            </w:r>
          </w:p>
        </w:tc>
        <w:tc>
          <w:tcPr>
            <w:tcW w:w="1530" w:type="dxa"/>
          </w:tcPr>
          <w:p w:rsidR="00651DD5" w:rsidRPr="007020C0" w:rsidRDefault="00651DD5" w:rsidP="00964F37">
            <w:pPr>
              <w:spacing w:line="480" w:lineRule="auto"/>
              <w:jc w:val="center"/>
              <w:rPr>
                <w:lang w:val="pt-BR"/>
              </w:rPr>
            </w:pPr>
            <w:r w:rsidRPr="007020C0">
              <w:rPr>
                <w:lang w:val="pt-BR"/>
              </w:rPr>
              <w:t>0.5</w:t>
            </w:r>
          </w:p>
        </w:tc>
        <w:tc>
          <w:tcPr>
            <w:tcW w:w="2284" w:type="dxa"/>
          </w:tcPr>
          <w:p w:rsidR="00651DD5" w:rsidRPr="007020C0" w:rsidRDefault="00651DD5" w:rsidP="00964F37">
            <w:pPr>
              <w:spacing w:line="480" w:lineRule="auto"/>
              <w:jc w:val="center"/>
              <w:rPr>
                <w:lang w:val="pt-BR"/>
              </w:rPr>
            </w:pPr>
            <w:r w:rsidRPr="007020C0">
              <w:rPr>
                <w:lang w:val="pt-BR"/>
              </w:rPr>
              <w:t>100</w:t>
            </w:r>
          </w:p>
        </w:tc>
        <w:tc>
          <w:tcPr>
            <w:tcW w:w="1387" w:type="dxa"/>
          </w:tcPr>
          <w:p w:rsidR="00651DD5" w:rsidRPr="007020C0" w:rsidRDefault="00651DD5" w:rsidP="00964F37">
            <w:pPr>
              <w:spacing w:line="480" w:lineRule="auto"/>
              <w:jc w:val="center"/>
              <w:rPr>
                <w:lang w:val="pt-BR"/>
              </w:rPr>
            </w:pPr>
            <w:r w:rsidRPr="007020C0">
              <w:rPr>
                <w:lang w:val="pt-BR"/>
              </w:rPr>
              <w:t>4.5±0.52</w:t>
            </w:r>
            <w:r w:rsidRPr="007020C0">
              <w:rPr>
                <w:vertAlign w:val="superscript"/>
                <w:lang w:val="pt-BR"/>
              </w:rPr>
              <w:t>c</w:t>
            </w:r>
          </w:p>
        </w:tc>
        <w:tc>
          <w:tcPr>
            <w:tcW w:w="1387" w:type="dxa"/>
          </w:tcPr>
          <w:p w:rsidR="00651DD5" w:rsidRPr="007020C0" w:rsidRDefault="00651DD5" w:rsidP="00964F37">
            <w:pPr>
              <w:spacing w:line="480" w:lineRule="auto"/>
              <w:jc w:val="center"/>
              <w:rPr>
                <w:lang w:val="pt-BR"/>
              </w:rPr>
            </w:pPr>
            <w:r w:rsidRPr="007020C0">
              <w:rPr>
                <w:lang w:val="pt-BR"/>
              </w:rPr>
              <w:t>45.</w:t>
            </w:r>
            <w:r>
              <w:rPr>
                <w:lang w:val="pt-BR"/>
              </w:rPr>
              <w:t>5</w:t>
            </w:r>
            <w:r w:rsidRPr="007020C0">
              <w:rPr>
                <w:lang w:val="pt-BR"/>
              </w:rPr>
              <w:t>±2.48</w:t>
            </w:r>
            <w:r w:rsidRPr="007020C0">
              <w:rPr>
                <w:vertAlign w:val="superscript"/>
                <w:lang w:val="pt-BR"/>
              </w:rPr>
              <w:t>c</w:t>
            </w:r>
          </w:p>
        </w:tc>
      </w:tr>
      <w:tr w:rsidR="00651DD5" w:rsidTr="00964F37">
        <w:tc>
          <w:tcPr>
            <w:tcW w:w="1055" w:type="dxa"/>
          </w:tcPr>
          <w:p w:rsidR="00651DD5" w:rsidRPr="007020C0" w:rsidRDefault="00651DD5" w:rsidP="00964F37">
            <w:pPr>
              <w:spacing w:line="480" w:lineRule="auto"/>
              <w:jc w:val="center"/>
              <w:rPr>
                <w:lang w:val="pt-BR"/>
              </w:rPr>
            </w:pPr>
            <w:r w:rsidRPr="007020C0">
              <w:rPr>
                <w:lang w:val="pt-BR"/>
              </w:rPr>
              <w:t>C11</w:t>
            </w:r>
          </w:p>
        </w:tc>
        <w:tc>
          <w:tcPr>
            <w:tcW w:w="1258" w:type="dxa"/>
          </w:tcPr>
          <w:p w:rsidR="00651DD5" w:rsidRDefault="00651DD5" w:rsidP="00964F37">
            <w:pPr>
              <w:spacing w:line="480" w:lineRule="auto"/>
              <w:jc w:val="center"/>
            </w:pPr>
            <w:r w:rsidRPr="007020C0">
              <w:rPr>
                <w:lang w:val="pt-BR"/>
              </w:rPr>
              <w:t>1</w:t>
            </w:r>
            <w:r>
              <w:t>.0</w:t>
            </w:r>
          </w:p>
        </w:tc>
        <w:tc>
          <w:tcPr>
            <w:tcW w:w="1530" w:type="dxa"/>
          </w:tcPr>
          <w:p w:rsidR="00651DD5" w:rsidRDefault="00651DD5" w:rsidP="00964F37">
            <w:pPr>
              <w:spacing w:line="480" w:lineRule="auto"/>
              <w:jc w:val="center"/>
            </w:pPr>
            <w:r>
              <w:t>1.0</w:t>
            </w:r>
          </w:p>
        </w:tc>
        <w:tc>
          <w:tcPr>
            <w:tcW w:w="2284" w:type="dxa"/>
          </w:tcPr>
          <w:p w:rsidR="00651DD5" w:rsidRDefault="00651DD5" w:rsidP="00964F37">
            <w:pPr>
              <w:spacing w:line="480" w:lineRule="auto"/>
              <w:jc w:val="center"/>
            </w:pPr>
            <w:r>
              <w:t>0</w:t>
            </w:r>
          </w:p>
        </w:tc>
        <w:tc>
          <w:tcPr>
            <w:tcW w:w="1387" w:type="dxa"/>
          </w:tcPr>
          <w:p w:rsidR="00651DD5" w:rsidRDefault="00651DD5" w:rsidP="00964F37">
            <w:pPr>
              <w:spacing w:line="480" w:lineRule="auto"/>
              <w:jc w:val="center"/>
            </w:pPr>
            <w:r w:rsidRPr="00B0300E">
              <w:t>0</w:t>
            </w:r>
            <w:r w:rsidRPr="007020C0">
              <w:rPr>
                <w:vertAlign w:val="superscript"/>
              </w:rPr>
              <w:t xml:space="preserve"> a</w:t>
            </w:r>
            <w:r w:rsidRPr="00B0300E">
              <w:t xml:space="preserve"> </w:t>
            </w:r>
          </w:p>
        </w:tc>
        <w:tc>
          <w:tcPr>
            <w:tcW w:w="1387" w:type="dxa"/>
          </w:tcPr>
          <w:p w:rsidR="00651DD5" w:rsidRDefault="00651DD5" w:rsidP="00964F37">
            <w:pPr>
              <w:spacing w:line="480" w:lineRule="auto"/>
              <w:jc w:val="center"/>
            </w:pPr>
            <w:r w:rsidRPr="00B0300E">
              <w:t>0</w:t>
            </w:r>
            <w:r w:rsidRPr="007020C0">
              <w:rPr>
                <w:vertAlign w:val="superscript"/>
              </w:rPr>
              <w:t xml:space="preserve"> a</w:t>
            </w:r>
            <w:r w:rsidRPr="00B0300E">
              <w:t xml:space="preserve"> </w:t>
            </w:r>
          </w:p>
        </w:tc>
      </w:tr>
      <w:tr w:rsidR="00651DD5" w:rsidTr="00964F37">
        <w:tc>
          <w:tcPr>
            <w:tcW w:w="1055" w:type="dxa"/>
          </w:tcPr>
          <w:p w:rsidR="00651DD5" w:rsidRDefault="00651DD5" w:rsidP="00964F37">
            <w:pPr>
              <w:spacing w:line="480" w:lineRule="auto"/>
              <w:jc w:val="center"/>
            </w:pPr>
            <w:r w:rsidRPr="00B0300E">
              <w:t>C</w:t>
            </w:r>
            <w:r>
              <w:t>1</w:t>
            </w:r>
            <w:r w:rsidRPr="00B0300E">
              <w:t>2</w:t>
            </w:r>
          </w:p>
        </w:tc>
        <w:tc>
          <w:tcPr>
            <w:tcW w:w="1258" w:type="dxa"/>
          </w:tcPr>
          <w:p w:rsidR="00651DD5" w:rsidRDefault="00651DD5" w:rsidP="00964F37">
            <w:pPr>
              <w:spacing w:line="480" w:lineRule="auto"/>
              <w:jc w:val="center"/>
            </w:pPr>
            <w:r>
              <w:t>1.0</w:t>
            </w:r>
          </w:p>
        </w:tc>
        <w:tc>
          <w:tcPr>
            <w:tcW w:w="1530" w:type="dxa"/>
          </w:tcPr>
          <w:p w:rsidR="00651DD5" w:rsidRDefault="00651DD5" w:rsidP="00964F37">
            <w:pPr>
              <w:spacing w:line="480" w:lineRule="auto"/>
              <w:jc w:val="center"/>
            </w:pPr>
            <w:r>
              <w:t>2.0</w:t>
            </w:r>
          </w:p>
        </w:tc>
        <w:tc>
          <w:tcPr>
            <w:tcW w:w="2284" w:type="dxa"/>
          </w:tcPr>
          <w:p w:rsidR="00651DD5" w:rsidRDefault="00651DD5" w:rsidP="00964F37">
            <w:pPr>
              <w:spacing w:line="480" w:lineRule="auto"/>
              <w:jc w:val="center"/>
            </w:pPr>
            <w:r>
              <w:t>10</w:t>
            </w:r>
          </w:p>
        </w:tc>
        <w:tc>
          <w:tcPr>
            <w:tcW w:w="1387" w:type="dxa"/>
          </w:tcPr>
          <w:p w:rsidR="00651DD5" w:rsidRDefault="00651DD5" w:rsidP="00964F37">
            <w:pPr>
              <w:spacing w:line="480" w:lineRule="auto"/>
              <w:jc w:val="center"/>
            </w:pPr>
            <w:r w:rsidRPr="00B0300E">
              <w:t>0</w:t>
            </w:r>
            <w:r w:rsidRPr="007020C0">
              <w:rPr>
                <w:vertAlign w:val="superscript"/>
              </w:rPr>
              <w:t xml:space="preserve"> a</w:t>
            </w:r>
            <w:r w:rsidRPr="00B0300E">
              <w:t xml:space="preserve"> </w:t>
            </w:r>
          </w:p>
        </w:tc>
        <w:tc>
          <w:tcPr>
            <w:tcW w:w="1387" w:type="dxa"/>
          </w:tcPr>
          <w:p w:rsidR="00651DD5" w:rsidRDefault="00651DD5" w:rsidP="00964F37">
            <w:pPr>
              <w:spacing w:line="480" w:lineRule="auto"/>
              <w:jc w:val="center"/>
            </w:pPr>
            <w:r w:rsidRPr="00B0300E">
              <w:t>1.</w:t>
            </w:r>
            <w:r>
              <w:t>5</w:t>
            </w:r>
            <w:r w:rsidRPr="00B0300E">
              <w:t>±0.12</w:t>
            </w:r>
            <w:r w:rsidRPr="007020C0">
              <w:rPr>
                <w:vertAlign w:val="superscript"/>
              </w:rPr>
              <w:t xml:space="preserve"> a</w:t>
            </w:r>
            <w:r w:rsidRPr="00B0300E">
              <w:t xml:space="preserve">                  </w:t>
            </w:r>
          </w:p>
        </w:tc>
      </w:tr>
    </w:tbl>
    <w:p w:rsidR="00651DD5" w:rsidRPr="00D026E4" w:rsidRDefault="00651DD5" w:rsidP="00651DD5">
      <w:pPr>
        <w:spacing w:line="480" w:lineRule="auto"/>
      </w:pPr>
    </w:p>
    <w:p w:rsidR="00651DD5" w:rsidRPr="0064566F" w:rsidRDefault="00651DD5" w:rsidP="00651DD5">
      <w:pPr>
        <w:spacing w:line="480" w:lineRule="auto"/>
        <w:jc w:val="both"/>
      </w:pPr>
      <w:r>
        <w:t xml:space="preserve">*Cultures were maintained at 16 hr photoperiod.  </w:t>
      </w:r>
    </w:p>
    <w:p w:rsidR="00651DD5" w:rsidRDefault="00651DD5" w:rsidP="00651DD5">
      <w:pPr>
        <w:spacing w:line="480" w:lineRule="auto"/>
        <w:jc w:val="both"/>
      </w:pPr>
      <w:r>
        <w:t xml:space="preserve">**Mean number of shoot buds per 100 mg fresh weight of callus. The mean of </w:t>
      </w:r>
      <w:r w:rsidRPr="002E61D1">
        <w:t>20 replicates</w:t>
      </w:r>
      <w:r>
        <w:t xml:space="preserve"> ± standard error (S.E). Values followed by different letters within a column are significantly different according to Duncan’s multiple range tests at 1% probability level.</w:t>
      </w:r>
      <w:r>
        <w:br/>
      </w:r>
    </w:p>
    <w:p w:rsidR="00651DD5" w:rsidRDefault="00651DD5" w:rsidP="00651DD5">
      <w:pPr>
        <w:spacing w:line="480" w:lineRule="auto"/>
        <w:ind w:left="851" w:hanging="851"/>
        <w:jc w:val="both"/>
      </w:pPr>
      <w:r>
        <w:br w:type="page"/>
      </w:r>
      <w:r w:rsidRPr="00147ABD">
        <w:lastRenderedPageBreak/>
        <w:t>Table 4</w:t>
      </w:r>
      <w:r>
        <w:t>.</w:t>
      </w:r>
      <w:r w:rsidRPr="00147ABD">
        <w:t xml:space="preserve"> Shoot d</w:t>
      </w:r>
      <w:r>
        <w:t xml:space="preserve">evelopment and root induction in </w:t>
      </w:r>
      <w:r w:rsidRPr="00147ABD">
        <w:t>regenera</w:t>
      </w:r>
      <w:r>
        <w:t>ted shoots from different calli</w:t>
      </w:r>
      <w:r w:rsidRPr="00147ABD">
        <w:t xml:space="preserve"> lines </w:t>
      </w:r>
      <w:r w:rsidR="00EB69EC">
        <w:t>(n=20)</w:t>
      </w:r>
      <w:r w:rsidRPr="00147ABD">
        <w:t xml:space="preserve">cultured on half strength MS medium.*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2700"/>
        <w:gridCol w:w="2254"/>
        <w:gridCol w:w="2394"/>
      </w:tblGrid>
      <w:tr w:rsidR="00651DD5" w:rsidTr="00964F37">
        <w:tc>
          <w:tcPr>
            <w:tcW w:w="1548" w:type="dxa"/>
          </w:tcPr>
          <w:p w:rsidR="00651DD5" w:rsidRDefault="00651DD5" w:rsidP="00964F37">
            <w:pPr>
              <w:spacing w:line="480" w:lineRule="auto"/>
              <w:jc w:val="center"/>
            </w:pPr>
            <w:r>
              <w:t>Callus lines</w:t>
            </w:r>
          </w:p>
        </w:tc>
        <w:tc>
          <w:tcPr>
            <w:tcW w:w="2700" w:type="dxa"/>
          </w:tcPr>
          <w:p w:rsidR="00651DD5" w:rsidRDefault="00651DD5" w:rsidP="00964F37">
            <w:pPr>
              <w:spacing w:line="480" w:lineRule="auto"/>
              <w:jc w:val="center"/>
            </w:pPr>
            <w:r>
              <w:t xml:space="preserve">Mean no. of root/plant </w:t>
            </w:r>
            <w:r>
              <w:rPr>
                <w:vertAlign w:val="superscript"/>
              </w:rPr>
              <w:t>**</w:t>
            </w:r>
          </w:p>
        </w:tc>
        <w:tc>
          <w:tcPr>
            <w:tcW w:w="2254" w:type="dxa"/>
          </w:tcPr>
          <w:p w:rsidR="00651DD5" w:rsidRDefault="00651DD5" w:rsidP="00964F37">
            <w:pPr>
              <w:spacing w:line="480" w:lineRule="auto"/>
              <w:jc w:val="center"/>
            </w:pPr>
            <w:r>
              <w:t>Root length (mm)</w:t>
            </w:r>
            <w:r w:rsidRPr="00F505E1">
              <w:rPr>
                <w:vertAlign w:val="superscript"/>
              </w:rPr>
              <w:t xml:space="preserve"> </w:t>
            </w:r>
            <w:r>
              <w:rPr>
                <w:vertAlign w:val="superscript"/>
              </w:rPr>
              <w:t>**</w:t>
            </w:r>
            <w:r>
              <w:t xml:space="preserve"> </w:t>
            </w:r>
          </w:p>
        </w:tc>
        <w:tc>
          <w:tcPr>
            <w:tcW w:w="2394" w:type="dxa"/>
          </w:tcPr>
          <w:p w:rsidR="00651DD5" w:rsidRDefault="00651DD5" w:rsidP="00964F37">
            <w:pPr>
              <w:spacing w:line="480" w:lineRule="auto"/>
              <w:jc w:val="center"/>
            </w:pPr>
            <w:r>
              <w:t>Shoot length (mm)</w:t>
            </w:r>
            <w:r w:rsidRPr="00F505E1">
              <w:rPr>
                <w:vertAlign w:val="superscript"/>
              </w:rPr>
              <w:t xml:space="preserve"> </w:t>
            </w:r>
            <w:r>
              <w:rPr>
                <w:vertAlign w:val="superscript"/>
              </w:rPr>
              <w:t>**</w:t>
            </w:r>
          </w:p>
        </w:tc>
      </w:tr>
      <w:tr w:rsidR="00651DD5" w:rsidTr="00964F37">
        <w:tc>
          <w:tcPr>
            <w:tcW w:w="1548" w:type="dxa"/>
          </w:tcPr>
          <w:p w:rsidR="00651DD5" w:rsidRDefault="00651DD5" w:rsidP="00964F37">
            <w:pPr>
              <w:spacing w:line="480" w:lineRule="auto"/>
              <w:jc w:val="center"/>
            </w:pPr>
            <w:r>
              <w:t>C5</w:t>
            </w:r>
          </w:p>
        </w:tc>
        <w:tc>
          <w:tcPr>
            <w:tcW w:w="2700" w:type="dxa"/>
          </w:tcPr>
          <w:p w:rsidR="00651DD5" w:rsidRDefault="00651DD5" w:rsidP="00964F37">
            <w:pPr>
              <w:spacing w:line="480" w:lineRule="auto"/>
              <w:jc w:val="center"/>
            </w:pPr>
            <w:r>
              <w:t>2.9</w:t>
            </w:r>
            <w:r w:rsidRPr="00B0300E">
              <w:t>±</w:t>
            </w:r>
            <w:r>
              <w:t>0.4</w:t>
            </w:r>
            <w:r>
              <w:rPr>
                <w:vertAlign w:val="superscript"/>
              </w:rPr>
              <w:t xml:space="preserve"> </w:t>
            </w:r>
          </w:p>
        </w:tc>
        <w:tc>
          <w:tcPr>
            <w:tcW w:w="2254" w:type="dxa"/>
          </w:tcPr>
          <w:p w:rsidR="00651DD5" w:rsidRDefault="00651DD5" w:rsidP="00964F37">
            <w:pPr>
              <w:spacing w:line="480" w:lineRule="auto"/>
              <w:jc w:val="center"/>
            </w:pPr>
            <w:r>
              <w:t>4.0</w:t>
            </w:r>
            <w:r w:rsidRPr="00B0300E">
              <w:t>±</w:t>
            </w:r>
            <w:r>
              <w:t>0.7</w:t>
            </w:r>
            <w:r w:rsidRPr="00314D27">
              <w:rPr>
                <w:vertAlign w:val="superscript"/>
              </w:rPr>
              <w:t xml:space="preserve"> </w:t>
            </w:r>
            <w:r>
              <w:rPr>
                <w:vertAlign w:val="superscript"/>
              </w:rPr>
              <w:t xml:space="preserve"> </w:t>
            </w:r>
            <w:r>
              <w:t xml:space="preserve">                       </w:t>
            </w:r>
          </w:p>
        </w:tc>
        <w:tc>
          <w:tcPr>
            <w:tcW w:w="2394" w:type="dxa"/>
          </w:tcPr>
          <w:p w:rsidR="00651DD5" w:rsidRDefault="00651DD5" w:rsidP="00964F37">
            <w:pPr>
              <w:spacing w:line="480" w:lineRule="auto"/>
              <w:jc w:val="center"/>
            </w:pPr>
            <w:r>
              <w:t>12.0</w:t>
            </w:r>
            <w:r w:rsidRPr="00B0300E">
              <w:t>±</w:t>
            </w:r>
            <w:r>
              <w:t xml:space="preserve">1.0 </w:t>
            </w:r>
          </w:p>
        </w:tc>
      </w:tr>
      <w:tr w:rsidR="00651DD5" w:rsidTr="00964F37">
        <w:tc>
          <w:tcPr>
            <w:tcW w:w="1548" w:type="dxa"/>
          </w:tcPr>
          <w:p w:rsidR="00651DD5" w:rsidRDefault="00651DD5" w:rsidP="00964F37">
            <w:pPr>
              <w:spacing w:line="480" w:lineRule="auto"/>
              <w:jc w:val="center"/>
            </w:pPr>
            <w:r>
              <w:t>C7</w:t>
            </w:r>
          </w:p>
        </w:tc>
        <w:tc>
          <w:tcPr>
            <w:tcW w:w="2700" w:type="dxa"/>
          </w:tcPr>
          <w:p w:rsidR="00651DD5" w:rsidRDefault="00651DD5" w:rsidP="00964F37">
            <w:pPr>
              <w:spacing w:line="480" w:lineRule="auto"/>
              <w:jc w:val="center"/>
            </w:pPr>
            <w:r>
              <w:t>3.0</w:t>
            </w:r>
            <w:r w:rsidRPr="00B0300E">
              <w:t>±</w:t>
            </w:r>
            <w:r>
              <w:t>0.1</w:t>
            </w:r>
            <w:r w:rsidRPr="00314D27">
              <w:rPr>
                <w:vertAlign w:val="superscript"/>
              </w:rPr>
              <w:t xml:space="preserve"> </w:t>
            </w:r>
            <w:r>
              <w:rPr>
                <w:vertAlign w:val="superscript"/>
              </w:rPr>
              <w:t xml:space="preserve"> </w:t>
            </w:r>
            <w:r>
              <w:t xml:space="preserve">                             </w:t>
            </w:r>
          </w:p>
        </w:tc>
        <w:tc>
          <w:tcPr>
            <w:tcW w:w="2254" w:type="dxa"/>
          </w:tcPr>
          <w:p w:rsidR="00651DD5" w:rsidRDefault="00651DD5" w:rsidP="00964F37">
            <w:pPr>
              <w:spacing w:line="480" w:lineRule="auto"/>
              <w:jc w:val="center"/>
            </w:pPr>
            <w:r>
              <w:t>6.3</w:t>
            </w:r>
            <w:r w:rsidRPr="00B0300E">
              <w:t>±</w:t>
            </w:r>
            <w:r>
              <w:t>0.4</w:t>
            </w:r>
            <w:r w:rsidRPr="00314D27">
              <w:rPr>
                <w:vertAlign w:val="superscript"/>
              </w:rPr>
              <w:t xml:space="preserve"> </w:t>
            </w:r>
            <w:r>
              <w:rPr>
                <w:vertAlign w:val="superscript"/>
              </w:rPr>
              <w:t xml:space="preserve"> </w:t>
            </w:r>
            <w:r>
              <w:t xml:space="preserve">                      </w:t>
            </w:r>
          </w:p>
        </w:tc>
        <w:tc>
          <w:tcPr>
            <w:tcW w:w="2394" w:type="dxa"/>
          </w:tcPr>
          <w:p w:rsidR="00651DD5" w:rsidRDefault="00651DD5" w:rsidP="00964F37">
            <w:pPr>
              <w:spacing w:line="480" w:lineRule="auto"/>
              <w:jc w:val="center"/>
            </w:pPr>
            <w:r>
              <w:t>14.2</w:t>
            </w:r>
            <w:r w:rsidRPr="00B0300E">
              <w:t>±</w:t>
            </w:r>
            <w:r>
              <w:t xml:space="preserve">0.6 </w:t>
            </w:r>
          </w:p>
        </w:tc>
      </w:tr>
      <w:tr w:rsidR="00651DD5" w:rsidTr="00964F37">
        <w:tc>
          <w:tcPr>
            <w:tcW w:w="1548" w:type="dxa"/>
          </w:tcPr>
          <w:p w:rsidR="00651DD5" w:rsidRDefault="00651DD5" w:rsidP="00964F37">
            <w:pPr>
              <w:spacing w:line="480" w:lineRule="auto"/>
              <w:jc w:val="center"/>
            </w:pPr>
            <w:r>
              <w:t>C10</w:t>
            </w:r>
          </w:p>
        </w:tc>
        <w:tc>
          <w:tcPr>
            <w:tcW w:w="2700" w:type="dxa"/>
          </w:tcPr>
          <w:p w:rsidR="00651DD5" w:rsidRDefault="00651DD5" w:rsidP="00964F37">
            <w:pPr>
              <w:spacing w:line="480" w:lineRule="auto"/>
              <w:jc w:val="center"/>
            </w:pPr>
            <w:r>
              <w:t>3.8</w:t>
            </w:r>
            <w:r w:rsidRPr="00B0300E">
              <w:t>±</w:t>
            </w:r>
            <w:r>
              <w:t>0.4</w:t>
            </w:r>
            <w:r w:rsidRPr="00314D27">
              <w:rPr>
                <w:vertAlign w:val="superscript"/>
              </w:rPr>
              <w:t xml:space="preserve"> </w:t>
            </w:r>
            <w:r>
              <w:rPr>
                <w:vertAlign w:val="superscript"/>
              </w:rPr>
              <w:t xml:space="preserve"> </w:t>
            </w:r>
            <w:r>
              <w:t xml:space="preserve">                             </w:t>
            </w:r>
          </w:p>
        </w:tc>
        <w:tc>
          <w:tcPr>
            <w:tcW w:w="2254" w:type="dxa"/>
          </w:tcPr>
          <w:p w:rsidR="00651DD5" w:rsidRDefault="00651DD5" w:rsidP="00964F37">
            <w:pPr>
              <w:spacing w:line="480" w:lineRule="auto"/>
              <w:jc w:val="center"/>
            </w:pPr>
            <w:r>
              <w:t>8.1</w:t>
            </w:r>
            <w:r w:rsidRPr="00B0300E">
              <w:t>±</w:t>
            </w:r>
            <w:r>
              <w:t>0.6</w:t>
            </w:r>
            <w:r>
              <w:rPr>
                <w:vertAlign w:val="superscript"/>
              </w:rPr>
              <w:t xml:space="preserve"> </w:t>
            </w:r>
          </w:p>
        </w:tc>
        <w:tc>
          <w:tcPr>
            <w:tcW w:w="2394" w:type="dxa"/>
          </w:tcPr>
          <w:p w:rsidR="00651DD5" w:rsidRDefault="00651DD5" w:rsidP="00964F37">
            <w:pPr>
              <w:spacing w:line="480" w:lineRule="auto"/>
              <w:jc w:val="center"/>
            </w:pPr>
            <w:r>
              <w:t>17.4</w:t>
            </w:r>
            <w:r w:rsidRPr="00B0300E">
              <w:t>±</w:t>
            </w:r>
            <w:r>
              <w:t xml:space="preserve">2.7    </w:t>
            </w:r>
          </w:p>
        </w:tc>
      </w:tr>
      <w:tr w:rsidR="00651DD5" w:rsidTr="00964F37">
        <w:tc>
          <w:tcPr>
            <w:tcW w:w="1548" w:type="dxa"/>
          </w:tcPr>
          <w:p w:rsidR="00651DD5" w:rsidRDefault="00651DD5" w:rsidP="00964F37">
            <w:pPr>
              <w:spacing w:line="480" w:lineRule="auto"/>
              <w:jc w:val="center"/>
            </w:pPr>
            <w:r>
              <w:t>C12</w:t>
            </w:r>
          </w:p>
        </w:tc>
        <w:tc>
          <w:tcPr>
            <w:tcW w:w="2700" w:type="dxa"/>
          </w:tcPr>
          <w:p w:rsidR="00651DD5" w:rsidRDefault="00651DD5" w:rsidP="00964F37">
            <w:pPr>
              <w:spacing w:line="480" w:lineRule="auto"/>
              <w:jc w:val="center"/>
            </w:pPr>
            <w:r>
              <w:t>2.4</w:t>
            </w:r>
            <w:r w:rsidRPr="00B0300E">
              <w:t>±</w:t>
            </w:r>
            <w:r>
              <w:t xml:space="preserve">0.3                              </w:t>
            </w:r>
          </w:p>
        </w:tc>
        <w:tc>
          <w:tcPr>
            <w:tcW w:w="2254" w:type="dxa"/>
          </w:tcPr>
          <w:p w:rsidR="00651DD5" w:rsidRDefault="00651DD5" w:rsidP="00964F37">
            <w:pPr>
              <w:spacing w:line="480" w:lineRule="auto"/>
              <w:jc w:val="center"/>
            </w:pPr>
            <w:r>
              <w:t>4.0</w:t>
            </w:r>
            <w:r w:rsidRPr="00B0300E">
              <w:t>±</w:t>
            </w:r>
            <w:r>
              <w:t>0.3</w:t>
            </w:r>
            <w:r w:rsidRPr="00314D27">
              <w:rPr>
                <w:vertAlign w:val="superscript"/>
              </w:rPr>
              <w:t xml:space="preserve"> </w:t>
            </w:r>
            <w:r>
              <w:rPr>
                <w:vertAlign w:val="superscript"/>
              </w:rPr>
              <w:t xml:space="preserve"> </w:t>
            </w:r>
            <w:r>
              <w:t xml:space="preserve">                     </w:t>
            </w:r>
          </w:p>
        </w:tc>
        <w:tc>
          <w:tcPr>
            <w:tcW w:w="2394" w:type="dxa"/>
          </w:tcPr>
          <w:p w:rsidR="00651DD5" w:rsidRDefault="00651DD5" w:rsidP="00964F37">
            <w:pPr>
              <w:spacing w:line="480" w:lineRule="auto"/>
            </w:pPr>
            <w:r>
              <w:t xml:space="preserve">          11.4</w:t>
            </w:r>
            <w:r w:rsidRPr="00B0300E">
              <w:t>±</w:t>
            </w:r>
            <w:r>
              <w:t xml:space="preserve">1.0 </w:t>
            </w:r>
          </w:p>
        </w:tc>
      </w:tr>
    </w:tbl>
    <w:p w:rsidR="00651DD5" w:rsidRDefault="00651DD5" w:rsidP="00651DD5">
      <w:pPr>
        <w:spacing w:line="480" w:lineRule="auto"/>
      </w:pPr>
    </w:p>
    <w:p w:rsidR="00651DD5" w:rsidRDefault="00651DD5" w:rsidP="00651DD5">
      <w:pPr>
        <w:spacing w:line="480" w:lineRule="auto"/>
        <w:ind w:left="360"/>
        <w:jc w:val="both"/>
      </w:pPr>
      <w:r>
        <w:t xml:space="preserve">*Cultures were maintained at 16 hr photoperiod.  </w:t>
      </w:r>
    </w:p>
    <w:p w:rsidR="00651DD5" w:rsidRDefault="00651DD5" w:rsidP="00651DD5">
      <w:pPr>
        <w:spacing w:line="480" w:lineRule="auto"/>
        <w:ind w:left="360"/>
        <w:jc w:val="both"/>
      </w:pPr>
      <w:r>
        <w:rPr>
          <w:vertAlign w:val="superscript"/>
        </w:rPr>
        <w:t xml:space="preserve">**  </w:t>
      </w:r>
      <w:r w:rsidR="00EB69EC">
        <w:t xml:space="preserve">The mean </w:t>
      </w:r>
      <w:r>
        <w:t xml:space="preserve"> ± standard error (S.E). </w:t>
      </w:r>
    </w:p>
    <w:p w:rsidR="006A3E0D" w:rsidRDefault="006A3E0D" w:rsidP="00651DD5">
      <w:pPr>
        <w:spacing w:line="480" w:lineRule="auto"/>
        <w:ind w:left="360"/>
        <w:jc w:val="both"/>
      </w:pPr>
    </w:p>
    <w:p w:rsidR="006A3E0D" w:rsidRDefault="006A3E0D" w:rsidP="00651DD5">
      <w:pPr>
        <w:spacing w:line="480" w:lineRule="auto"/>
        <w:ind w:left="360"/>
        <w:jc w:val="both"/>
      </w:pPr>
    </w:p>
    <w:p w:rsidR="006A3E0D" w:rsidRDefault="006A3E0D" w:rsidP="00651DD5">
      <w:pPr>
        <w:spacing w:line="480" w:lineRule="auto"/>
        <w:ind w:left="360"/>
        <w:jc w:val="both"/>
      </w:pPr>
    </w:p>
    <w:p w:rsidR="00FE5C42" w:rsidRPr="006A3E0D" w:rsidRDefault="00FE5C42" w:rsidP="00FE5C42">
      <w:pPr>
        <w:spacing w:line="360" w:lineRule="auto"/>
        <w:jc w:val="center"/>
        <w:rPr>
          <w:rFonts w:eastAsia="Calibri"/>
          <w:b/>
          <w:sz w:val="32"/>
          <w:szCs w:val="32"/>
        </w:rPr>
      </w:pPr>
      <w:r w:rsidRPr="006A3E0D">
        <w:rPr>
          <w:b/>
          <w:sz w:val="32"/>
          <w:szCs w:val="32"/>
        </w:rPr>
        <w:t xml:space="preserve">Response to </w:t>
      </w:r>
      <w:r w:rsidRPr="006A3E0D">
        <w:rPr>
          <w:rFonts w:eastAsia="Calibri"/>
          <w:b/>
          <w:sz w:val="32"/>
          <w:szCs w:val="32"/>
        </w:rPr>
        <w:t xml:space="preserve"> reviewer’s questions </w:t>
      </w:r>
    </w:p>
    <w:p w:rsidR="00FE5C42" w:rsidRPr="00A531D8" w:rsidRDefault="00FE5C42" w:rsidP="00FE5C42">
      <w:pPr>
        <w:spacing w:line="360" w:lineRule="auto"/>
        <w:jc w:val="both"/>
        <w:rPr>
          <w:rFonts w:eastAsia="Calibri"/>
          <w:b/>
        </w:rPr>
      </w:pPr>
      <w:r w:rsidRPr="00A531D8">
        <w:rPr>
          <w:rFonts w:eastAsia="Calibri"/>
          <w:b/>
        </w:rPr>
        <w:t>Reviewer 1</w:t>
      </w:r>
    </w:p>
    <w:p w:rsidR="00FE5C42" w:rsidRPr="00A531D8" w:rsidRDefault="00FE5C42" w:rsidP="00FE5C42">
      <w:pPr>
        <w:spacing w:line="360" w:lineRule="auto"/>
        <w:jc w:val="both"/>
        <w:rPr>
          <w:rFonts w:eastAsia="Calibri"/>
        </w:rPr>
      </w:pPr>
      <w:r w:rsidRPr="00A531D8">
        <w:rPr>
          <w:rFonts w:eastAsia="Calibri"/>
        </w:rPr>
        <w:t>Q: Concentration of teepol solution and duration of the treatment?</w:t>
      </w:r>
    </w:p>
    <w:p w:rsidR="00FE5C42" w:rsidRPr="00A531D8" w:rsidRDefault="00FE5C42" w:rsidP="00FE5C42">
      <w:pPr>
        <w:spacing w:line="360" w:lineRule="auto"/>
        <w:jc w:val="both"/>
        <w:rPr>
          <w:rFonts w:eastAsia="Calibri"/>
        </w:rPr>
      </w:pPr>
      <w:r w:rsidRPr="00A531D8">
        <w:rPr>
          <w:rFonts w:eastAsia="Calibri"/>
        </w:rPr>
        <w:t>A: 15% teepol solution for 30 minutes</w:t>
      </w:r>
    </w:p>
    <w:p w:rsidR="00FE5C42" w:rsidRPr="00A531D8" w:rsidRDefault="00FE5C42" w:rsidP="00FE5C42">
      <w:pPr>
        <w:spacing w:line="360" w:lineRule="auto"/>
        <w:jc w:val="both"/>
        <w:rPr>
          <w:rFonts w:eastAsia="Calibri"/>
        </w:rPr>
      </w:pPr>
    </w:p>
    <w:p w:rsidR="00FE5C42" w:rsidRPr="00A531D8" w:rsidRDefault="00FE5C42" w:rsidP="00FE5C42">
      <w:pPr>
        <w:spacing w:line="360" w:lineRule="auto"/>
        <w:jc w:val="both"/>
        <w:rPr>
          <w:rFonts w:eastAsia="Calibri"/>
          <w:b/>
        </w:rPr>
      </w:pPr>
      <w:r w:rsidRPr="00A531D8">
        <w:rPr>
          <w:rFonts w:eastAsia="Calibri"/>
          <w:b/>
        </w:rPr>
        <w:t>Reviewer 2</w:t>
      </w:r>
    </w:p>
    <w:p w:rsidR="00FE5C42" w:rsidRPr="00A531D8" w:rsidRDefault="00FE5C42" w:rsidP="00FE5C42">
      <w:pPr>
        <w:spacing w:line="360" w:lineRule="auto"/>
        <w:jc w:val="both"/>
        <w:rPr>
          <w:rFonts w:eastAsia="Calibri"/>
        </w:rPr>
      </w:pPr>
      <w:r w:rsidRPr="00A531D8">
        <w:rPr>
          <w:rFonts w:eastAsia="Calibri"/>
        </w:rPr>
        <w:t>Q: What does cent percent mean?</w:t>
      </w:r>
    </w:p>
    <w:p w:rsidR="00FE5C42" w:rsidRDefault="00FE5C42" w:rsidP="00FE5C42">
      <w:pPr>
        <w:spacing w:line="360" w:lineRule="auto"/>
        <w:jc w:val="both"/>
        <w:rPr>
          <w:rFonts w:eastAsia="Calibri"/>
        </w:rPr>
      </w:pPr>
      <w:r w:rsidRPr="00A531D8">
        <w:rPr>
          <w:rFonts w:eastAsia="Calibri"/>
        </w:rPr>
        <w:t>A: Cent percent means hundred percent.</w:t>
      </w:r>
    </w:p>
    <w:p w:rsidR="00FE5C42" w:rsidRPr="00A531D8" w:rsidRDefault="00FE5C42" w:rsidP="00FE5C42">
      <w:pPr>
        <w:spacing w:line="360" w:lineRule="auto"/>
        <w:jc w:val="both"/>
        <w:rPr>
          <w:rFonts w:eastAsia="Calibri"/>
        </w:rPr>
      </w:pPr>
    </w:p>
    <w:p w:rsidR="00FE5C42" w:rsidRPr="00A531D8" w:rsidRDefault="00FE5C42" w:rsidP="00FE5C42">
      <w:pPr>
        <w:pStyle w:val="CommentText"/>
        <w:spacing w:line="360" w:lineRule="auto"/>
      </w:pPr>
      <w:r w:rsidRPr="00A531D8">
        <w:t xml:space="preserve">Q: How did you determine age? Did you tag flowers at the time that pollen was dehisced? did </w:t>
      </w:r>
    </w:p>
    <w:p w:rsidR="00FE5C42" w:rsidRPr="00A531D8" w:rsidRDefault="00FE5C42" w:rsidP="00FE5C42">
      <w:pPr>
        <w:pStyle w:val="CommentText"/>
        <w:spacing w:line="360" w:lineRule="auto"/>
      </w:pPr>
      <w:r w:rsidRPr="00A531D8">
        <w:t xml:space="preserve">     you conduct hand pollinations? Did you make an educated guess? </w:t>
      </w:r>
    </w:p>
    <w:p w:rsidR="00FE5C42" w:rsidRPr="00A531D8" w:rsidRDefault="00FE5C42" w:rsidP="00FE5C42">
      <w:pPr>
        <w:pStyle w:val="CommentText"/>
        <w:spacing w:line="360" w:lineRule="auto"/>
      </w:pPr>
      <w:r w:rsidRPr="00A531D8">
        <w:t xml:space="preserve">A: </w:t>
      </w:r>
      <w:r w:rsidRPr="00A531D8">
        <w:rPr>
          <w:i/>
        </w:rPr>
        <w:t>B. auricomum</w:t>
      </w:r>
      <w:r w:rsidRPr="00A531D8">
        <w:t xml:space="preserve"> flowers in December and</w:t>
      </w:r>
      <w:r>
        <w:t xml:space="preserve"> </w:t>
      </w:r>
      <w:r w:rsidRPr="00A531D8">
        <w:t xml:space="preserve">immature capsule </w:t>
      </w:r>
      <w:r>
        <w:t xml:space="preserve">were collected </w:t>
      </w:r>
      <w:r w:rsidRPr="00A531D8">
        <w:t xml:space="preserve">in March. </w:t>
      </w:r>
      <w:r>
        <w:t>No hand  hand pollination were conducted.</w:t>
      </w:r>
    </w:p>
    <w:p w:rsidR="00FE5C42" w:rsidRPr="00A531D8" w:rsidRDefault="00FE5C42" w:rsidP="00FE5C42">
      <w:pPr>
        <w:pStyle w:val="CommentText"/>
        <w:spacing w:line="360" w:lineRule="auto"/>
      </w:pPr>
    </w:p>
    <w:p w:rsidR="00FE5C42" w:rsidRPr="00A531D8" w:rsidRDefault="00FE5C42" w:rsidP="00FE5C42">
      <w:pPr>
        <w:pStyle w:val="CommentText"/>
        <w:spacing w:line="360" w:lineRule="auto"/>
      </w:pPr>
      <w:r w:rsidRPr="00A531D8">
        <w:t>Q: Did this medium contain any sugar or vitamins?</w:t>
      </w:r>
    </w:p>
    <w:p w:rsidR="00FE5C42" w:rsidRPr="00A531D8" w:rsidRDefault="00FE5C42" w:rsidP="00FE5C42">
      <w:pPr>
        <w:pStyle w:val="CommentText"/>
        <w:spacing w:line="360" w:lineRule="auto"/>
      </w:pPr>
      <w:r w:rsidRPr="00A531D8">
        <w:t>A: Modified KC (Knudson 1946) medium contains 20</w:t>
      </w:r>
      <w:r>
        <w:t xml:space="preserve"> </w:t>
      </w:r>
      <w:r w:rsidRPr="00A531D8">
        <w:t>gm/l sucrose without vitamins.</w:t>
      </w:r>
    </w:p>
    <w:p w:rsidR="00FE5C42" w:rsidRPr="00A531D8" w:rsidRDefault="00FE5C42" w:rsidP="00FE5C42">
      <w:pPr>
        <w:pStyle w:val="CommentText"/>
        <w:spacing w:line="360" w:lineRule="auto"/>
      </w:pPr>
    </w:p>
    <w:p w:rsidR="00FE5C42" w:rsidRPr="00A531D8" w:rsidRDefault="00FE5C42" w:rsidP="00FE5C42">
      <w:pPr>
        <w:pStyle w:val="CommentText"/>
        <w:spacing w:line="360" w:lineRule="auto"/>
      </w:pPr>
      <w:r w:rsidRPr="00A531D8">
        <w:t>Q: Was the control medium full-strength or ½-strength MS?</w:t>
      </w:r>
    </w:p>
    <w:p w:rsidR="00FE5C42" w:rsidRPr="00A531D8" w:rsidRDefault="00FE5C42" w:rsidP="00FE5C42">
      <w:pPr>
        <w:pStyle w:val="CommentText"/>
        <w:spacing w:line="360" w:lineRule="auto"/>
      </w:pPr>
      <w:r w:rsidRPr="00A531D8">
        <w:t xml:space="preserve">A: The control/basal medium containing half-strength macro- and microelements of MS </w:t>
      </w:r>
    </w:p>
    <w:p w:rsidR="00FE5C42" w:rsidRPr="00A531D8" w:rsidRDefault="00FE5C42" w:rsidP="00FE5C42">
      <w:pPr>
        <w:pStyle w:val="CommentText"/>
        <w:spacing w:line="360" w:lineRule="auto"/>
      </w:pPr>
      <w:r w:rsidRPr="00A531D8">
        <w:t xml:space="preserve">     supplemented with (in mgl</w:t>
      </w:r>
      <w:r w:rsidRPr="00A531D8">
        <w:rPr>
          <w:vertAlign w:val="superscript"/>
        </w:rPr>
        <w:t>-1</w:t>
      </w:r>
      <w:r w:rsidRPr="00A531D8">
        <w:t xml:space="preserve">) myo-inositol (100), niacin (0.5), pyridoxine HCl (0.5), </w:t>
      </w:r>
    </w:p>
    <w:p w:rsidR="00FE5C42" w:rsidRPr="00A531D8" w:rsidRDefault="00FE5C42" w:rsidP="00FE5C42">
      <w:pPr>
        <w:pStyle w:val="CommentText"/>
        <w:spacing w:line="360" w:lineRule="auto"/>
      </w:pPr>
      <w:r w:rsidRPr="00A531D8">
        <w:t xml:space="preserve">     thiamine HCl (0.1), glycine (2.0), peptone (1000), NaH</w:t>
      </w:r>
      <w:r w:rsidRPr="00A531D8">
        <w:rPr>
          <w:vertAlign w:val="subscript"/>
        </w:rPr>
        <w:t>2</w:t>
      </w:r>
      <w:r w:rsidRPr="00A531D8">
        <w:t>PO</w:t>
      </w:r>
      <w:r w:rsidRPr="00A531D8">
        <w:rPr>
          <w:vertAlign w:val="subscript"/>
        </w:rPr>
        <w:t>4</w:t>
      </w:r>
      <w:r w:rsidRPr="00A531D8">
        <w:t xml:space="preserve"> (170) and sucrose (20000)</w:t>
      </w:r>
    </w:p>
    <w:p w:rsidR="00FE5C42" w:rsidRPr="00A531D8" w:rsidRDefault="00FE5C42" w:rsidP="00FE5C42">
      <w:pPr>
        <w:pStyle w:val="CommentText"/>
        <w:spacing w:line="360" w:lineRule="auto"/>
      </w:pPr>
    </w:p>
    <w:p w:rsidR="00FE5C42" w:rsidRPr="00A531D8" w:rsidRDefault="00FE5C42" w:rsidP="00FE5C42">
      <w:pPr>
        <w:pStyle w:val="CommentText"/>
        <w:spacing w:line="360" w:lineRule="auto"/>
        <w:rPr>
          <w:rFonts w:eastAsia="Calibri"/>
          <w:b/>
        </w:rPr>
      </w:pPr>
      <w:r w:rsidRPr="00A531D8">
        <w:rPr>
          <w:b/>
        </w:rPr>
        <w:t>Reviewer 3</w:t>
      </w:r>
    </w:p>
    <w:p w:rsidR="00FE5C42" w:rsidRPr="00A531D8" w:rsidRDefault="00FE5C42" w:rsidP="00FE5C42">
      <w:pPr>
        <w:spacing w:line="360" w:lineRule="auto"/>
      </w:pPr>
      <w:r w:rsidRPr="00A531D8">
        <w:t xml:space="preserve">Q: Please indicate it is wild material or if breeding has already been undertaken, it is probably </w:t>
      </w:r>
    </w:p>
    <w:p w:rsidR="00FE5C42" w:rsidRPr="00A531D8" w:rsidRDefault="00FE5C42" w:rsidP="00FE5C42">
      <w:pPr>
        <w:spacing w:line="360" w:lineRule="auto"/>
      </w:pPr>
      <w:r w:rsidRPr="00A531D8">
        <w:t xml:space="preserve">     an outbreeding species?</w:t>
      </w:r>
    </w:p>
    <w:p w:rsidR="00FE5C42" w:rsidRDefault="00FE5C42" w:rsidP="00FE5C42">
      <w:pPr>
        <w:spacing w:line="360" w:lineRule="auto"/>
      </w:pPr>
      <w:r w:rsidRPr="00A531D8">
        <w:t>A: It is wild material.</w:t>
      </w:r>
    </w:p>
    <w:p w:rsidR="00FE5C42" w:rsidRPr="00A531D8" w:rsidRDefault="00FE5C42" w:rsidP="00FE5C42">
      <w:pPr>
        <w:spacing w:line="360" w:lineRule="auto"/>
      </w:pPr>
    </w:p>
    <w:p w:rsidR="00FE5C42" w:rsidRPr="00A531D8" w:rsidRDefault="00FE5C42" w:rsidP="00FE5C42">
      <w:pPr>
        <w:spacing w:line="360" w:lineRule="auto"/>
        <w:jc w:val="both"/>
      </w:pPr>
      <w:r w:rsidRPr="00A531D8">
        <w:t>Q: It is quite uncommon to propagate plants, and especially orchids via callus. The authors must describe their intentions why to undergo this way instead of using axillary shoot formation or PLB proliferation. If callus cultures are going to be used for mass propagation as said by the authors, experiments to test the stability of the regenerated plants are urgently needed and have to be discussed.</w:t>
      </w:r>
    </w:p>
    <w:p w:rsidR="00FE5C42" w:rsidRPr="00A531D8" w:rsidRDefault="00FE5C42" w:rsidP="00FE5C42">
      <w:pPr>
        <w:spacing w:line="360" w:lineRule="auto"/>
        <w:jc w:val="both"/>
      </w:pPr>
      <w:r w:rsidRPr="00A531D8">
        <w:t>A: Different source of explants such as seed</w:t>
      </w:r>
      <w:r>
        <w:t>, seed-derived shoot</w:t>
      </w:r>
      <w:r w:rsidRPr="00A531D8">
        <w:t xml:space="preserve"> (Than et al. 2009), pseudobulb (Than et</w:t>
      </w:r>
      <w:r>
        <w:t xml:space="preserve"> </w:t>
      </w:r>
      <w:r w:rsidRPr="00A531D8">
        <w:t>al. 2011)</w:t>
      </w:r>
      <w:r>
        <w:t xml:space="preserve">, leaf and </w:t>
      </w:r>
      <w:r w:rsidRPr="00A531D8">
        <w:t xml:space="preserve">stem segment (unpublished) have been used for mass </w:t>
      </w:r>
    </w:p>
    <w:p w:rsidR="00FE5C42" w:rsidRDefault="00FE5C42" w:rsidP="00FE5C42">
      <w:pPr>
        <w:spacing w:line="360" w:lineRule="auto"/>
        <w:jc w:val="both"/>
      </w:pPr>
      <w:r w:rsidRPr="00A531D8">
        <w:t xml:space="preserve">     propagation. </w:t>
      </w:r>
      <w:r>
        <w:t>We agree , for propagation t</w:t>
      </w:r>
      <w:r w:rsidRPr="00A531D8">
        <w:t xml:space="preserve">he stability of regenerated plants </w:t>
      </w:r>
      <w:r>
        <w:t xml:space="preserve">must be determined and </w:t>
      </w:r>
      <w:r w:rsidRPr="00A531D8">
        <w:t xml:space="preserve"> will be done.</w:t>
      </w:r>
      <w:r>
        <w:t xml:space="preserve"> </w:t>
      </w:r>
    </w:p>
    <w:p w:rsidR="00FE5C42" w:rsidRPr="00A531D8" w:rsidRDefault="00FE5C42" w:rsidP="00FE5C42">
      <w:pPr>
        <w:spacing w:line="360" w:lineRule="auto"/>
        <w:jc w:val="both"/>
      </w:pPr>
    </w:p>
    <w:p w:rsidR="00FE5C42" w:rsidRPr="00A531D8" w:rsidRDefault="00FE5C42" w:rsidP="00FE5C42">
      <w:pPr>
        <w:spacing w:line="360" w:lineRule="auto"/>
      </w:pPr>
      <w:r w:rsidRPr="00A531D8">
        <w:t xml:space="preserve">Q: It is absolutely unclear for the readers when the regenerating structures that arise from callus cultures were named PLBs, when shoots and when even somatic embryos! Please avoid this confusion and explain and use all terms properly. </w:t>
      </w:r>
    </w:p>
    <w:p w:rsidR="00FE5C42" w:rsidRPr="00A531D8" w:rsidRDefault="00FE5C42" w:rsidP="00FE5C42">
      <w:pPr>
        <w:spacing w:line="360" w:lineRule="auto"/>
      </w:pPr>
      <w:r w:rsidRPr="00A531D8">
        <w:t xml:space="preserve">A: </w:t>
      </w:r>
      <w:r>
        <w:t xml:space="preserve">Corrections done </w:t>
      </w:r>
      <w:r w:rsidRPr="00A531D8">
        <w:t>.</w:t>
      </w:r>
    </w:p>
    <w:p w:rsidR="00FE5C42" w:rsidRPr="00A531D8" w:rsidRDefault="00FE5C42" w:rsidP="00FE5C42">
      <w:pPr>
        <w:spacing w:line="360" w:lineRule="auto"/>
      </w:pPr>
    </w:p>
    <w:p w:rsidR="00FE5C42" w:rsidRPr="00A531D8" w:rsidRDefault="00FE5C42" w:rsidP="00FE5C42">
      <w:pPr>
        <w:spacing w:line="360" w:lineRule="auto"/>
      </w:pPr>
      <w:r w:rsidRPr="00A531D8">
        <w:t xml:space="preserve">Q: Materials: When were the protocorms used for the experiments? (how long after sowing?) </w:t>
      </w:r>
    </w:p>
    <w:p w:rsidR="00FE5C42" w:rsidRDefault="00FE5C42" w:rsidP="00FE5C42">
      <w:pPr>
        <w:autoSpaceDE w:val="0"/>
        <w:autoSpaceDN w:val="0"/>
        <w:adjustRightInd w:val="0"/>
        <w:spacing w:line="360" w:lineRule="auto"/>
        <w:jc w:val="both"/>
      </w:pPr>
      <w:r w:rsidRPr="00A531D8">
        <w:lastRenderedPageBreak/>
        <w:t xml:space="preserve">A: Six-week-old protocorms developed into shoots </w:t>
      </w:r>
      <w:r>
        <w:t xml:space="preserve">when transferred to Modified Knudson C medium </w:t>
      </w:r>
      <w:r w:rsidRPr="00A531D8">
        <w:t>(Than et al. 2009). Within three to four weeks, shoot</w:t>
      </w:r>
      <w:r>
        <w:t>-</w:t>
      </w:r>
      <w:r w:rsidRPr="00A531D8">
        <w:t>derived greenish PLB were collected and inoculated on MS (Murashige and Skoog 1962) nutrient medium and subcultured every two months before used as explants for callus induction.</w:t>
      </w:r>
    </w:p>
    <w:p w:rsidR="00FE5C42" w:rsidRDefault="00FE5C42" w:rsidP="00FE5C42">
      <w:pPr>
        <w:autoSpaceDE w:val="0"/>
        <w:autoSpaceDN w:val="0"/>
        <w:adjustRightInd w:val="0"/>
        <w:spacing w:line="360" w:lineRule="auto"/>
        <w:jc w:val="both"/>
      </w:pPr>
    </w:p>
    <w:p w:rsidR="00FE5C42" w:rsidRPr="00A531D8" w:rsidRDefault="00FE5C42" w:rsidP="00FE5C42">
      <w:pPr>
        <w:spacing w:line="360" w:lineRule="auto"/>
        <w:jc w:val="both"/>
      </w:pPr>
      <w:r w:rsidRPr="00A531D8">
        <w:t xml:space="preserve">Q: There are several terms that are either not used in the correct way: The authors did not </w:t>
      </w:r>
    </w:p>
    <w:p w:rsidR="00FE5C42" w:rsidRPr="00A531D8" w:rsidRDefault="00FE5C42" w:rsidP="00FE5C42">
      <w:pPr>
        <w:spacing w:line="360" w:lineRule="auto"/>
        <w:jc w:val="both"/>
      </w:pPr>
      <w:r w:rsidRPr="00A531D8">
        <w:t xml:space="preserve">     induce callus from PLBs as stated in many many places in the text, but from protocorms. </w:t>
      </w:r>
    </w:p>
    <w:p w:rsidR="00FE5C42" w:rsidRDefault="00FE5C42" w:rsidP="00FE5C42">
      <w:pPr>
        <w:spacing w:line="360" w:lineRule="auto"/>
        <w:jc w:val="both"/>
      </w:pPr>
      <w:r w:rsidRPr="00A531D8">
        <w:t xml:space="preserve">     This is not acceptable at all. </w:t>
      </w:r>
    </w:p>
    <w:p w:rsidR="00FE5C42" w:rsidRDefault="00FE5C42" w:rsidP="00FE5C42">
      <w:pPr>
        <w:spacing w:line="360" w:lineRule="auto"/>
        <w:jc w:val="both"/>
      </w:pPr>
      <w:r>
        <w:t>A: Corrected in revised MS.</w:t>
      </w:r>
    </w:p>
    <w:p w:rsidR="00FE5C42" w:rsidRPr="00A531D8" w:rsidRDefault="00FE5C42" w:rsidP="00FE5C42">
      <w:pPr>
        <w:autoSpaceDE w:val="0"/>
        <w:autoSpaceDN w:val="0"/>
        <w:adjustRightInd w:val="0"/>
        <w:spacing w:line="360" w:lineRule="auto"/>
        <w:jc w:val="both"/>
      </w:pPr>
    </w:p>
    <w:p w:rsidR="00FE5C42" w:rsidRPr="00A531D8" w:rsidRDefault="00FE5C42" w:rsidP="00FE5C42">
      <w:pPr>
        <w:spacing w:line="360" w:lineRule="auto"/>
      </w:pPr>
      <w:r w:rsidRPr="00A531D8">
        <w:t>Q: Did you really use only 2 g/l sucrose???</w:t>
      </w:r>
    </w:p>
    <w:p w:rsidR="00FE5C42" w:rsidRPr="00A531D8" w:rsidRDefault="00FE5C42" w:rsidP="00FE5C42">
      <w:pPr>
        <w:spacing w:line="360" w:lineRule="auto"/>
      </w:pPr>
      <w:r w:rsidRPr="00A531D8">
        <w:t xml:space="preserve">A: </w:t>
      </w:r>
      <w:r>
        <w:t xml:space="preserve">Corrected , used </w:t>
      </w:r>
      <w:r w:rsidRPr="00A531D8">
        <w:t xml:space="preserve">20g/l sucrose. </w:t>
      </w:r>
    </w:p>
    <w:p w:rsidR="00FE5C42" w:rsidRPr="00A531D8" w:rsidRDefault="00FE5C42" w:rsidP="00FE5C42">
      <w:pPr>
        <w:spacing w:line="360" w:lineRule="auto"/>
      </w:pPr>
    </w:p>
    <w:p w:rsidR="00FE5C42" w:rsidRPr="00A531D8" w:rsidRDefault="00FE5C42" w:rsidP="00FE5C42">
      <w:pPr>
        <w:spacing w:line="360" w:lineRule="auto"/>
      </w:pPr>
      <w:r w:rsidRPr="00A531D8">
        <w:t>Q: Table 1: How can more explants form callus than explants do survive?</w:t>
      </w:r>
    </w:p>
    <w:p w:rsidR="00FE5C42" w:rsidRPr="00A531D8" w:rsidRDefault="00FE5C42" w:rsidP="00FE5C42">
      <w:pPr>
        <w:spacing w:line="360" w:lineRule="auto"/>
      </w:pPr>
      <w:r>
        <w:t>A: Table 1: E</w:t>
      </w:r>
      <w:r w:rsidRPr="00A531D8">
        <w:t xml:space="preserve">xplants which induce callus </w:t>
      </w:r>
      <w:r>
        <w:t>are expressed as</w:t>
      </w:r>
      <w:r w:rsidRPr="00A531D8">
        <w:t xml:space="preserve"> percentage of callusing.</w:t>
      </w:r>
    </w:p>
    <w:p w:rsidR="00FE5C42" w:rsidRPr="00A531D8" w:rsidRDefault="00FE5C42" w:rsidP="00FE5C42">
      <w:pPr>
        <w:spacing w:line="360" w:lineRule="auto"/>
      </w:pPr>
    </w:p>
    <w:p w:rsidR="00FE5C42" w:rsidRPr="00A531D8" w:rsidRDefault="00FE5C42" w:rsidP="00FE5C42">
      <w:pPr>
        <w:spacing w:line="360" w:lineRule="auto"/>
      </w:pPr>
      <w:r w:rsidRPr="00A531D8">
        <w:t>Q: Are the values in the tables the means of the three replications of each experiment?</w:t>
      </w:r>
    </w:p>
    <w:p w:rsidR="00FE5C42" w:rsidRDefault="00FE5C42" w:rsidP="00FE5C42">
      <w:pPr>
        <w:spacing w:line="360" w:lineRule="auto"/>
      </w:pPr>
      <w:r w:rsidRPr="00A531D8">
        <w:t>A: Yes.</w:t>
      </w:r>
    </w:p>
    <w:p w:rsidR="008D19CD" w:rsidRDefault="008D19CD" w:rsidP="00FE5C42">
      <w:pPr>
        <w:spacing w:line="360" w:lineRule="auto"/>
      </w:pPr>
    </w:p>
    <w:p w:rsidR="008D19CD" w:rsidRDefault="008D19CD" w:rsidP="008D19CD">
      <w:pPr>
        <w:spacing w:line="360" w:lineRule="auto"/>
        <w:jc w:val="both"/>
        <w:rPr>
          <w:b/>
        </w:rPr>
      </w:pPr>
      <w:r>
        <w:rPr>
          <w:b/>
        </w:rPr>
        <w:t>Response to Editors letter</w:t>
      </w:r>
    </w:p>
    <w:p w:rsidR="008D19CD" w:rsidRDefault="008D19CD" w:rsidP="008D19CD">
      <w:pPr>
        <w:spacing w:line="360" w:lineRule="auto"/>
        <w:jc w:val="both"/>
        <w:rPr>
          <w:b/>
        </w:rPr>
      </w:pPr>
    </w:p>
    <w:p w:rsidR="008D19CD" w:rsidRDefault="008D19CD" w:rsidP="008D19CD">
      <w:pPr>
        <w:spacing w:line="360" w:lineRule="auto"/>
        <w:jc w:val="both"/>
        <w:rPr>
          <w:b/>
        </w:rPr>
      </w:pPr>
      <w:r>
        <w:rPr>
          <w:b/>
        </w:rPr>
        <w:t>Dear Sir,</w:t>
      </w:r>
    </w:p>
    <w:p w:rsidR="008D19CD" w:rsidRDefault="008D19CD" w:rsidP="008D19CD">
      <w:pPr>
        <w:spacing w:line="360" w:lineRule="auto"/>
        <w:jc w:val="both"/>
        <w:rPr>
          <w:b/>
        </w:rPr>
      </w:pPr>
      <w:r>
        <w:rPr>
          <w:b/>
        </w:rPr>
        <w:t>We have tried to respond to all your queries and also attend to reviewers comments. Hope the revised MS will be accepted for publication. The inadvertent delay was due to the fact that Ms Myo Ma Ma Than is in Myanmar and it was away for Holy Haz pilgrimage.</w:t>
      </w:r>
    </w:p>
    <w:p w:rsidR="008D19CD" w:rsidRDefault="008D19CD" w:rsidP="008D19CD">
      <w:pPr>
        <w:spacing w:line="360" w:lineRule="auto"/>
        <w:jc w:val="both"/>
        <w:rPr>
          <w:b/>
        </w:rPr>
      </w:pPr>
    </w:p>
    <w:p w:rsidR="008D19CD" w:rsidRDefault="008D19CD" w:rsidP="008D19CD">
      <w:pPr>
        <w:spacing w:line="360" w:lineRule="auto"/>
        <w:jc w:val="both"/>
        <w:rPr>
          <w:b/>
        </w:rPr>
      </w:pPr>
      <w:r>
        <w:rPr>
          <w:b/>
        </w:rPr>
        <w:t>Sincerely</w:t>
      </w:r>
    </w:p>
    <w:p w:rsidR="008D19CD" w:rsidRDefault="008D19CD" w:rsidP="008D19CD">
      <w:pPr>
        <w:spacing w:line="360" w:lineRule="auto"/>
        <w:jc w:val="both"/>
        <w:rPr>
          <w:b/>
        </w:rPr>
      </w:pPr>
      <w:r>
        <w:rPr>
          <w:b/>
        </w:rPr>
        <w:t>Authors</w:t>
      </w:r>
    </w:p>
    <w:p w:rsidR="008D19CD" w:rsidRPr="00A531D8" w:rsidRDefault="008D19CD" w:rsidP="00FE5C42">
      <w:pPr>
        <w:spacing w:line="360" w:lineRule="auto"/>
        <w:rPr>
          <w:b/>
        </w:rPr>
      </w:pPr>
    </w:p>
    <w:p w:rsidR="00FE5C42" w:rsidRPr="00A531D8" w:rsidRDefault="00FE5C42" w:rsidP="00FE5C42">
      <w:pPr>
        <w:spacing w:line="360" w:lineRule="auto"/>
        <w:jc w:val="both"/>
        <w:rPr>
          <w:b/>
        </w:rPr>
      </w:pPr>
    </w:p>
    <w:p w:rsidR="009D19BB" w:rsidRDefault="009D19BB"/>
    <w:sectPr w:rsidR="009D19BB" w:rsidSect="00074BA5">
      <w:footerReference w:type="even" r:id="rId8"/>
      <w:footerReference w:type="default" r:id="rId9"/>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C41" w:rsidRDefault="00604C41" w:rsidP="005179CA">
      <w:r>
        <w:separator/>
      </w:r>
    </w:p>
  </w:endnote>
  <w:endnote w:type="continuationSeparator" w:id="1">
    <w:p w:rsidR="00604C41" w:rsidRDefault="00604C41" w:rsidP="005179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ヒラギノ角ゴ ProN W3">
    <w:altName w:val="MS Mincho"/>
    <w:charset w:val="80"/>
    <w:family w:val="auto"/>
    <w:pitch w:val="variable"/>
    <w:sig w:usb0="00000000" w:usb1="00000000" w:usb2="07040001"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AdvP4DF60E">
    <w:altName w:val="Arial Unicode MS"/>
    <w:panose1 w:val="00000000000000000000"/>
    <w:charset w:val="88"/>
    <w:family w:val="auto"/>
    <w:notTrueType/>
    <w:pitch w:val="default"/>
    <w:sig w:usb0="00000001" w:usb1="080F0000" w:usb2="00000010" w:usb3="00000000" w:csb0="001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BA5" w:rsidRDefault="00B269E1" w:rsidP="00074BA5">
    <w:pPr>
      <w:pStyle w:val="Footer"/>
      <w:framePr w:wrap="around" w:vAnchor="text" w:hAnchor="margin" w:xAlign="right" w:y="1"/>
      <w:rPr>
        <w:rStyle w:val="PageNumber"/>
      </w:rPr>
    </w:pPr>
    <w:r>
      <w:rPr>
        <w:rStyle w:val="PageNumber"/>
      </w:rPr>
      <w:fldChar w:fldCharType="begin"/>
    </w:r>
    <w:r w:rsidR="00C35153">
      <w:rPr>
        <w:rStyle w:val="PageNumber"/>
      </w:rPr>
      <w:instrText xml:space="preserve">PAGE  </w:instrText>
    </w:r>
    <w:r>
      <w:rPr>
        <w:rStyle w:val="PageNumber"/>
      </w:rPr>
      <w:fldChar w:fldCharType="end"/>
    </w:r>
  </w:p>
  <w:p w:rsidR="00074BA5" w:rsidRDefault="00604C41" w:rsidP="00074BA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BA5" w:rsidRDefault="00B269E1" w:rsidP="00074BA5">
    <w:pPr>
      <w:pStyle w:val="Footer"/>
      <w:framePr w:wrap="around" w:vAnchor="text" w:hAnchor="margin" w:xAlign="right" w:y="1"/>
      <w:rPr>
        <w:rStyle w:val="PageNumber"/>
      </w:rPr>
    </w:pPr>
    <w:r>
      <w:rPr>
        <w:rStyle w:val="PageNumber"/>
      </w:rPr>
      <w:fldChar w:fldCharType="begin"/>
    </w:r>
    <w:r w:rsidR="00C35153">
      <w:rPr>
        <w:rStyle w:val="PageNumber"/>
      </w:rPr>
      <w:instrText xml:space="preserve">PAGE  </w:instrText>
    </w:r>
    <w:r>
      <w:rPr>
        <w:rStyle w:val="PageNumber"/>
      </w:rPr>
      <w:fldChar w:fldCharType="separate"/>
    </w:r>
    <w:r w:rsidR="008D19CD">
      <w:rPr>
        <w:rStyle w:val="PageNumber"/>
        <w:noProof/>
      </w:rPr>
      <w:t>22</w:t>
    </w:r>
    <w:r>
      <w:rPr>
        <w:rStyle w:val="PageNumber"/>
      </w:rPr>
      <w:fldChar w:fldCharType="end"/>
    </w:r>
  </w:p>
  <w:p w:rsidR="00074BA5" w:rsidRDefault="00604C41" w:rsidP="00074B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C41" w:rsidRDefault="00604C41" w:rsidP="005179CA">
      <w:r>
        <w:separator/>
      </w:r>
    </w:p>
  </w:footnote>
  <w:footnote w:type="continuationSeparator" w:id="1">
    <w:p w:rsidR="00604C41" w:rsidRDefault="00604C41" w:rsidP="005179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6620"/>
    <w:multiLevelType w:val="multilevel"/>
    <w:tmpl w:val="5E86B9CC"/>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26FE1417"/>
    <w:multiLevelType w:val="hybridMultilevel"/>
    <w:tmpl w:val="DDEAD4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AAE3B8C"/>
    <w:multiLevelType w:val="multilevel"/>
    <w:tmpl w:val="04F0A828"/>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651DD5"/>
    <w:rsid w:val="00014A24"/>
    <w:rsid w:val="00021393"/>
    <w:rsid w:val="00027136"/>
    <w:rsid w:val="000364D0"/>
    <w:rsid w:val="00072004"/>
    <w:rsid w:val="00082B20"/>
    <w:rsid w:val="0008530B"/>
    <w:rsid w:val="000938E4"/>
    <w:rsid w:val="000948AA"/>
    <w:rsid w:val="0009624D"/>
    <w:rsid w:val="000A0185"/>
    <w:rsid w:val="000B1DDD"/>
    <w:rsid w:val="000B5A39"/>
    <w:rsid w:val="000C0C35"/>
    <w:rsid w:val="000C424E"/>
    <w:rsid w:val="000C6C6C"/>
    <w:rsid w:val="000F7267"/>
    <w:rsid w:val="00101597"/>
    <w:rsid w:val="001046EE"/>
    <w:rsid w:val="00127C61"/>
    <w:rsid w:val="001569FD"/>
    <w:rsid w:val="00184ABE"/>
    <w:rsid w:val="001946EC"/>
    <w:rsid w:val="001E625A"/>
    <w:rsid w:val="001F4466"/>
    <w:rsid w:val="001F7611"/>
    <w:rsid w:val="00230DAC"/>
    <w:rsid w:val="00293B68"/>
    <w:rsid w:val="00294C56"/>
    <w:rsid w:val="003008AD"/>
    <w:rsid w:val="00321A99"/>
    <w:rsid w:val="00326D70"/>
    <w:rsid w:val="0033653F"/>
    <w:rsid w:val="00345F6A"/>
    <w:rsid w:val="00366ED9"/>
    <w:rsid w:val="003748C2"/>
    <w:rsid w:val="003A1990"/>
    <w:rsid w:val="003A40C8"/>
    <w:rsid w:val="003B027D"/>
    <w:rsid w:val="003D0530"/>
    <w:rsid w:val="00422D1C"/>
    <w:rsid w:val="00423686"/>
    <w:rsid w:val="004322FA"/>
    <w:rsid w:val="00454BA3"/>
    <w:rsid w:val="00467892"/>
    <w:rsid w:val="00481B80"/>
    <w:rsid w:val="00497A26"/>
    <w:rsid w:val="004A14C1"/>
    <w:rsid w:val="004C17E1"/>
    <w:rsid w:val="004C3184"/>
    <w:rsid w:val="004D2F5F"/>
    <w:rsid w:val="004E2E88"/>
    <w:rsid w:val="005074FF"/>
    <w:rsid w:val="005179CA"/>
    <w:rsid w:val="005356D4"/>
    <w:rsid w:val="005357BE"/>
    <w:rsid w:val="00553349"/>
    <w:rsid w:val="0056588E"/>
    <w:rsid w:val="005A0BD5"/>
    <w:rsid w:val="005C2C13"/>
    <w:rsid w:val="005D4312"/>
    <w:rsid w:val="005E131D"/>
    <w:rsid w:val="005E1C95"/>
    <w:rsid w:val="00604C41"/>
    <w:rsid w:val="00624F39"/>
    <w:rsid w:val="00633598"/>
    <w:rsid w:val="006422B7"/>
    <w:rsid w:val="00647CCA"/>
    <w:rsid w:val="00651DD5"/>
    <w:rsid w:val="00663C88"/>
    <w:rsid w:val="006670F5"/>
    <w:rsid w:val="00673228"/>
    <w:rsid w:val="00681836"/>
    <w:rsid w:val="00694E6D"/>
    <w:rsid w:val="00695D48"/>
    <w:rsid w:val="006A3E0D"/>
    <w:rsid w:val="006B421C"/>
    <w:rsid w:val="006B7F03"/>
    <w:rsid w:val="006E77AC"/>
    <w:rsid w:val="006F0FA6"/>
    <w:rsid w:val="006F340E"/>
    <w:rsid w:val="006F56CA"/>
    <w:rsid w:val="0071058A"/>
    <w:rsid w:val="00721449"/>
    <w:rsid w:val="007336C0"/>
    <w:rsid w:val="00741F7C"/>
    <w:rsid w:val="007612B9"/>
    <w:rsid w:val="007C2E04"/>
    <w:rsid w:val="007E68EF"/>
    <w:rsid w:val="00833D6B"/>
    <w:rsid w:val="008444EF"/>
    <w:rsid w:val="00846DC2"/>
    <w:rsid w:val="0085555E"/>
    <w:rsid w:val="00860B2B"/>
    <w:rsid w:val="00873E64"/>
    <w:rsid w:val="008C095A"/>
    <w:rsid w:val="008C4B5E"/>
    <w:rsid w:val="008D19CD"/>
    <w:rsid w:val="008D3BA4"/>
    <w:rsid w:val="008F0963"/>
    <w:rsid w:val="00925DF2"/>
    <w:rsid w:val="00967E3B"/>
    <w:rsid w:val="009838DD"/>
    <w:rsid w:val="00991E09"/>
    <w:rsid w:val="00994AA9"/>
    <w:rsid w:val="0099698E"/>
    <w:rsid w:val="009C6657"/>
    <w:rsid w:val="009D19BB"/>
    <w:rsid w:val="009E5C01"/>
    <w:rsid w:val="00A13780"/>
    <w:rsid w:val="00A23283"/>
    <w:rsid w:val="00A2600F"/>
    <w:rsid w:val="00A429F4"/>
    <w:rsid w:val="00A4688E"/>
    <w:rsid w:val="00A53738"/>
    <w:rsid w:val="00A666CA"/>
    <w:rsid w:val="00A7797E"/>
    <w:rsid w:val="00A91459"/>
    <w:rsid w:val="00A930AD"/>
    <w:rsid w:val="00A953E0"/>
    <w:rsid w:val="00AB124B"/>
    <w:rsid w:val="00AE3371"/>
    <w:rsid w:val="00AE659F"/>
    <w:rsid w:val="00AE6A1F"/>
    <w:rsid w:val="00B04631"/>
    <w:rsid w:val="00B13D9E"/>
    <w:rsid w:val="00B2486F"/>
    <w:rsid w:val="00B269E1"/>
    <w:rsid w:val="00B37597"/>
    <w:rsid w:val="00B711A5"/>
    <w:rsid w:val="00BA746C"/>
    <w:rsid w:val="00BB77DD"/>
    <w:rsid w:val="00BC754A"/>
    <w:rsid w:val="00C227FB"/>
    <w:rsid w:val="00C27B60"/>
    <w:rsid w:val="00C35153"/>
    <w:rsid w:val="00C40A8A"/>
    <w:rsid w:val="00C41B34"/>
    <w:rsid w:val="00CB0D5A"/>
    <w:rsid w:val="00CC28A9"/>
    <w:rsid w:val="00CD7AD7"/>
    <w:rsid w:val="00CE3CB8"/>
    <w:rsid w:val="00CF07F2"/>
    <w:rsid w:val="00D41996"/>
    <w:rsid w:val="00D51F1B"/>
    <w:rsid w:val="00D60CEB"/>
    <w:rsid w:val="00D85184"/>
    <w:rsid w:val="00DA2FA1"/>
    <w:rsid w:val="00DC4BCE"/>
    <w:rsid w:val="00DC7189"/>
    <w:rsid w:val="00DD0604"/>
    <w:rsid w:val="00DD4265"/>
    <w:rsid w:val="00E036D0"/>
    <w:rsid w:val="00E21E9D"/>
    <w:rsid w:val="00E651D5"/>
    <w:rsid w:val="00E97DA2"/>
    <w:rsid w:val="00EA0C6C"/>
    <w:rsid w:val="00EA6239"/>
    <w:rsid w:val="00EB69EC"/>
    <w:rsid w:val="00EC1B67"/>
    <w:rsid w:val="00ED5BA0"/>
    <w:rsid w:val="00ED68BA"/>
    <w:rsid w:val="00F640FF"/>
    <w:rsid w:val="00F646F8"/>
    <w:rsid w:val="00F776BF"/>
    <w:rsid w:val="00F931E3"/>
    <w:rsid w:val="00F95A9F"/>
    <w:rsid w:val="00FB4217"/>
    <w:rsid w:val="00FB73FA"/>
    <w:rsid w:val="00FE5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line number"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DD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51DD5"/>
    <w:rPr>
      <w:color w:val="0000FF"/>
      <w:u w:val="single"/>
    </w:rPr>
  </w:style>
  <w:style w:type="paragraph" w:styleId="BodyText">
    <w:name w:val="Body Text"/>
    <w:basedOn w:val="Normal"/>
    <w:link w:val="BodyTextChar"/>
    <w:rsid w:val="00651DD5"/>
    <w:pPr>
      <w:autoSpaceDE w:val="0"/>
      <w:autoSpaceDN w:val="0"/>
      <w:adjustRightInd w:val="0"/>
      <w:spacing w:line="360" w:lineRule="auto"/>
      <w:jc w:val="both"/>
    </w:pPr>
    <w:rPr>
      <w:sz w:val="40"/>
    </w:rPr>
  </w:style>
  <w:style w:type="character" w:customStyle="1" w:styleId="BodyTextChar">
    <w:name w:val="Body Text Char"/>
    <w:basedOn w:val="DefaultParagraphFont"/>
    <w:link w:val="BodyText"/>
    <w:rsid w:val="00651DD5"/>
    <w:rPr>
      <w:rFonts w:ascii="Times New Roman" w:eastAsia="Times New Roman" w:hAnsi="Times New Roman" w:cs="Times New Roman"/>
      <w:sz w:val="40"/>
      <w:szCs w:val="24"/>
      <w:lang w:val="en-US"/>
    </w:rPr>
  </w:style>
  <w:style w:type="paragraph" w:styleId="Footer">
    <w:name w:val="footer"/>
    <w:basedOn w:val="Normal"/>
    <w:link w:val="FooterChar"/>
    <w:rsid w:val="00651DD5"/>
    <w:pPr>
      <w:tabs>
        <w:tab w:val="center" w:pos="4320"/>
        <w:tab w:val="right" w:pos="8640"/>
      </w:tabs>
    </w:pPr>
  </w:style>
  <w:style w:type="character" w:customStyle="1" w:styleId="FooterChar">
    <w:name w:val="Footer Char"/>
    <w:basedOn w:val="DefaultParagraphFont"/>
    <w:link w:val="Footer"/>
    <w:rsid w:val="00651DD5"/>
    <w:rPr>
      <w:rFonts w:ascii="Times New Roman" w:eastAsia="Times New Roman" w:hAnsi="Times New Roman" w:cs="Times New Roman"/>
      <w:sz w:val="24"/>
      <w:szCs w:val="24"/>
      <w:lang w:val="en-US"/>
    </w:rPr>
  </w:style>
  <w:style w:type="character" w:styleId="PageNumber">
    <w:name w:val="page number"/>
    <w:basedOn w:val="DefaultParagraphFont"/>
    <w:rsid w:val="00651DD5"/>
  </w:style>
  <w:style w:type="character" w:styleId="LineNumber">
    <w:name w:val="line number"/>
    <w:basedOn w:val="DefaultParagraphFont"/>
    <w:rsid w:val="00651DD5"/>
  </w:style>
  <w:style w:type="paragraph" w:styleId="BalloonText">
    <w:name w:val="Balloon Text"/>
    <w:basedOn w:val="Normal"/>
    <w:link w:val="BalloonTextChar"/>
    <w:semiHidden/>
    <w:rsid w:val="00651DD5"/>
    <w:rPr>
      <w:rFonts w:ascii="ヒラギノ角ゴ ProN W3" w:eastAsia="ヒラギノ角ゴ ProN W3"/>
      <w:sz w:val="18"/>
      <w:szCs w:val="18"/>
    </w:rPr>
  </w:style>
  <w:style w:type="character" w:customStyle="1" w:styleId="BalloonTextChar">
    <w:name w:val="Balloon Text Char"/>
    <w:basedOn w:val="DefaultParagraphFont"/>
    <w:link w:val="BalloonText"/>
    <w:semiHidden/>
    <w:rsid w:val="00651DD5"/>
    <w:rPr>
      <w:rFonts w:ascii="ヒラギノ角ゴ ProN W3" w:eastAsia="ヒラギノ角ゴ ProN W3" w:hAnsi="Times New Roman" w:cs="Times New Roman"/>
      <w:sz w:val="18"/>
      <w:szCs w:val="18"/>
      <w:lang w:val="en-US"/>
    </w:rPr>
  </w:style>
  <w:style w:type="character" w:styleId="CommentReference">
    <w:name w:val="annotation reference"/>
    <w:basedOn w:val="DefaultParagraphFont"/>
    <w:semiHidden/>
    <w:rsid w:val="00651DD5"/>
    <w:rPr>
      <w:sz w:val="18"/>
    </w:rPr>
  </w:style>
  <w:style w:type="paragraph" w:styleId="CommentText">
    <w:name w:val="annotation text"/>
    <w:basedOn w:val="Normal"/>
    <w:link w:val="CommentTextChar"/>
    <w:uiPriority w:val="99"/>
    <w:rsid w:val="00651DD5"/>
  </w:style>
  <w:style w:type="character" w:customStyle="1" w:styleId="CommentTextChar">
    <w:name w:val="Comment Text Char"/>
    <w:basedOn w:val="DefaultParagraphFont"/>
    <w:link w:val="CommentText"/>
    <w:uiPriority w:val="99"/>
    <w:rsid w:val="00651DD5"/>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semiHidden/>
    <w:rsid w:val="00651DD5"/>
  </w:style>
  <w:style w:type="character" w:customStyle="1" w:styleId="CommentSubjectChar">
    <w:name w:val="Comment Subject Char"/>
    <w:basedOn w:val="CommentTextChar"/>
    <w:link w:val="CommentSubject"/>
    <w:semiHidden/>
    <w:rsid w:val="00651DD5"/>
  </w:style>
  <w:style w:type="paragraph" w:styleId="Revision">
    <w:name w:val="Revision"/>
    <w:hidden/>
    <w:uiPriority w:val="99"/>
    <w:semiHidden/>
    <w:rsid w:val="00651DD5"/>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13780"/>
    <w:pPr>
      <w:ind w:left="720"/>
      <w:contextualSpacing/>
    </w:pPr>
  </w:style>
</w:styles>
</file>

<file path=word/webSettings.xml><?xml version="1.0" encoding="utf-8"?>
<w:webSettings xmlns:r="http://schemas.openxmlformats.org/officeDocument/2006/relationships" xmlns:w="http://schemas.openxmlformats.org/wordprocessingml/2006/main">
  <w:divs>
    <w:div w:id="3171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jbot@caluniv.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22</Pages>
  <Words>4751</Words>
  <Characters>27087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Myo Ma Ma Than</dc:creator>
  <cp:lastModifiedBy>ABC</cp:lastModifiedBy>
  <cp:revision>12</cp:revision>
  <dcterms:created xsi:type="dcterms:W3CDTF">2012-01-14T16:00:00Z</dcterms:created>
  <dcterms:modified xsi:type="dcterms:W3CDTF">2012-01-14T16:32:00Z</dcterms:modified>
</cp:coreProperties>
</file>