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B9" w:rsidRDefault="00F22429">
      <w:r>
        <w:rPr>
          <w:rFonts w:asciiTheme="majorBidi" w:hAnsiTheme="majorBidi" w:cstheme="majorBidi"/>
          <w:b/>
          <w:bCs/>
          <w:noProof/>
          <w:color w:val="000000"/>
          <w:sz w:val="24"/>
          <w:szCs w:val="24"/>
        </w:rPr>
        <w:drawing>
          <wp:inline distT="0" distB="0" distL="0" distR="0" wp14:anchorId="29FA244D" wp14:editId="7C4F551E">
            <wp:extent cx="5744151" cy="2865938"/>
            <wp:effectExtent l="19050" t="0" r="0" b="0"/>
            <wp:docPr id="9" name="Chart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color w:val="000000"/>
          <w:sz w:val="24"/>
          <w:szCs w:val="24"/>
        </w:rPr>
        <w:drawing>
          <wp:inline distT="0" distB="0" distL="0" distR="0" wp14:anchorId="5D063953" wp14:editId="52D20715">
            <wp:extent cx="5860752" cy="2737063"/>
            <wp:effectExtent l="19050" t="0" r="0" b="0"/>
            <wp:docPr id="10" name="Chart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22429" w:rsidRDefault="00F22429" w:rsidP="00F22429">
      <w:pPr>
        <w:pStyle w:val="ListParagraph"/>
        <w:bidi w:val="0"/>
        <w:spacing w:before="100" w:beforeAutospacing="1" w:after="100" w:afterAutospacing="1"/>
        <w:ind w:left="284" w:hanging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F62C9">
        <w:rPr>
          <w:rFonts w:ascii="Times New Roman" w:hAnsi="Times New Roman" w:cs="Times New Roman"/>
          <w:color w:val="000000"/>
          <w:sz w:val="24"/>
          <w:szCs w:val="24"/>
        </w:rPr>
        <w:t xml:space="preserve">Fig. 1: </w:t>
      </w:r>
      <w:r>
        <w:rPr>
          <w:rFonts w:ascii="Times New Roman" w:hAnsi="Times New Roman" w:cs="Times New Roman"/>
          <w:color w:val="000000"/>
          <w:sz w:val="24"/>
          <w:szCs w:val="24"/>
        </w:rPr>
        <w:t>Interactive e</w:t>
      </w:r>
      <w:r w:rsidRPr="00CF62C9">
        <w:rPr>
          <w:rFonts w:ascii="Times New Roman" w:hAnsi="Times New Roman" w:cs="Times New Roman"/>
          <w:color w:val="000000"/>
          <w:sz w:val="24"/>
          <w:szCs w:val="24"/>
        </w:rPr>
        <w:t>ffect of washing treatment and GA</w:t>
      </w:r>
      <w:r w:rsidRPr="00CF62C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CF62C9">
        <w:rPr>
          <w:rFonts w:ascii="Times New Roman" w:hAnsi="Times New Roman" w:cs="Times New Roman"/>
          <w:color w:val="000000"/>
          <w:sz w:val="24"/>
          <w:szCs w:val="24"/>
        </w:rPr>
        <w:t xml:space="preserve"> concentration on germination percentage (A) and germination rate (B) of sweet cherry (</w:t>
      </w:r>
      <w:proofErr w:type="spellStart"/>
      <w:r w:rsidRPr="00CF62C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Prunus</w:t>
      </w:r>
      <w:proofErr w:type="spellEnd"/>
      <w:r w:rsidRPr="00CF62C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F62C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avium</w:t>
      </w:r>
      <w:proofErr w:type="spellEnd"/>
      <w:r w:rsidRPr="00CF62C9">
        <w:rPr>
          <w:rFonts w:ascii="Times New Roman" w:hAnsi="Times New Roman" w:cs="Times New Roman"/>
          <w:color w:val="000000"/>
          <w:sz w:val="24"/>
          <w:szCs w:val="24"/>
        </w:rPr>
        <w:t>) var. Lambert.  Means are separated using protected LSD (</w:t>
      </w:r>
      <w:r w:rsidRPr="00C20ABC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dvP4DF60E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C20ABC">
        <w:rPr>
          <w:rFonts w:ascii="Times New Roman" w:hAnsi="Times New Roman" w:cs="Times New Roman"/>
          <w:color w:val="000000"/>
          <w:sz w:val="24"/>
          <w:szCs w:val="24"/>
        </w:rPr>
        <w:t>0.05</w:t>
      </w:r>
      <w:r w:rsidRPr="00CF62C9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values </w:t>
      </w:r>
      <w:r w:rsidRPr="00CF62C9">
        <w:rPr>
          <w:rFonts w:ascii="Times New Roman" w:hAnsi="Times New Roman" w:cs="Times New Roman"/>
          <w:color w:val="000000"/>
          <w:sz w:val="24"/>
          <w:szCs w:val="24"/>
        </w:rPr>
        <w:t>with the same letter do not differ at 5% level of significance. Error bars represent sta</w:t>
      </w:r>
      <w:bookmarkStart w:id="0" w:name="_GoBack"/>
      <w:bookmarkEnd w:id="0"/>
      <w:r w:rsidRPr="00CF62C9">
        <w:rPr>
          <w:rFonts w:ascii="Times New Roman" w:hAnsi="Times New Roman" w:cs="Times New Roman"/>
          <w:color w:val="000000"/>
          <w:sz w:val="24"/>
          <w:szCs w:val="24"/>
        </w:rPr>
        <w:t>ndard error.</w:t>
      </w:r>
    </w:p>
    <w:p w:rsidR="00F22429" w:rsidRDefault="00F22429"/>
    <w:sectPr w:rsidR="00F2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4DF60E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429"/>
    <w:rsid w:val="00BD7FB9"/>
    <w:rsid w:val="00F2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429"/>
    <w:pPr>
      <w:bidi/>
      <w:ind w:left="720"/>
      <w:contextualSpacing/>
    </w:pPr>
    <w:rPr>
      <w:rFonts w:ascii="Calibri" w:eastAsia="Times New Roman" w:hAnsi="Calibri" w:cs="Arial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429"/>
    <w:pPr>
      <w:bidi/>
      <w:ind w:left="720"/>
      <w:contextualSpacing/>
    </w:pPr>
    <w:rPr>
      <w:rFonts w:ascii="Calibri" w:eastAsia="Times New Roman" w:hAnsi="Calibri" w:cs="Arial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G:\Keshavarz\Keshavarz\Mrs.%20Javanmard\GRAFS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G:\Keshavarz\Keshavarz\Mrs.%20Javanmard\GRAF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08050221640154"/>
          <c:y val="0.11577023484578702"/>
          <c:w val="0.65908869046872176"/>
          <c:h val="0.65054499549582523"/>
        </c:manualLayout>
      </c:layout>
      <c:lineChart>
        <c:grouping val="standard"/>
        <c:varyColors val="0"/>
        <c:ser>
          <c:idx val="1"/>
          <c:order val="1"/>
          <c:tx>
            <c:v>no washing</c:v>
          </c:tx>
          <c:spPr>
            <a:ln>
              <a:solidFill>
                <a:sysClr val="windowText" lastClr="000000"/>
              </a:solidFill>
            </a:ln>
          </c:spPr>
          <c:marker>
            <c:spPr>
              <a:solidFill>
                <a:schemeClr val="tx1"/>
              </a:solidFill>
              <a:ln>
                <a:solidFill>
                  <a:sysClr val="windowText" lastClr="000000"/>
                </a:solidFill>
              </a:ln>
            </c:spPr>
          </c:marker>
          <c:dLbls>
            <c:dLbl>
              <c:idx val="0"/>
              <c:layout>
                <c:manualLayout>
                  <c:x val="1.4930521849449981E-2"/>
                  <c:y val="4.2913031167025476E-3"/>
                </c:manualLayout>
              </c:layout>
              <c:tx>
                <c:rich>
                  <a:bodyPr/>
                  <a:lstStyle/>
                  <a:p>
                    <a:r>
                      <a:rPr lang="en-US" sz="1100">
                        <a:latin typeface="Times New Roman" pitchFamily="18" charset="0"/>
                        <a:cs typeface="Times New Roman" pitchFamily="18" charset="0"/>
                      </a:rPr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1100">
                        <a:latin typeface="Times New Roman" pitchFamily="18" charset="0"/>
                        <a:cs typeface="Times New Roman" pitchFamily="18" charset="0"/>
                      </a:rPr>
                      <a:t>cd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1100">
                        <a:latin typeface="Times New Roman" pitchFamily="18" charset="0"/>
                        <a:cs typeface="Times New Roman" pitchFamily="18" charset="0"/>
                      </a:rPr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 sz="1100">
                        <a:latin typeface="Times New Roman" pitchFamily="18" charset="0"/>
                        <a:cs typeface="Times New Roman" pitchFamily="18" charset="0"/>
                      </a:rPr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lang="en-US" sz="1100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Dir val="y"/>
            <c:errBarType val="both"/>
            <c:errValType val="cust"/>
            <c:noEndCap val="0"/>
            <c:plus>
              <c:numRef>
                <c:f>AB!$F$4:$F$7</c:f>
                <c:numCache>
                  <c:formatCode>General</c:formatCode>
                  <c:ptCount val="4"/>
                  <c:pt idx="0">
                    <c:v>0.71000000000000063</c:v>
                  </c:pt>
                  <c:pt idx="1">
                    <c:v>1.3900000000000001</c:v>
                  </c:pt>
                  <c:pt idx="2">
                    <c:v>2.46</c:v>
                  </c:pt>
                  <c:pt idx="3">
                    <c:v>2.64</c:v>
                  </c:pt>
                </c:numCache>
              </c:numRef>
            </c:plus>
            <c:minus>
              <c:numRef>
                <c:f>AB!$F$4:$F$7</c:f>
                <c:numCache>
                  <c:formatCode>General</c:formatCode>
                  <c:ptCount val="4"/>
                  <c:pt idx="0">
                    <c:v>0.71000000000000063</c:v>
                  </c:pt>
                  <c:pt idx="1">
                    <c:v>1.3900000000000001</c:v>
                  </c:pt>
                  <c:pt idx="2">
                    <c:v>2.46</c:v>
                  </c:pt>
                  <c:pt idx="3">
                    <c:v>2.64</c:v>
                  </c:pt>
                </c:numCache>
              </c:numRef>
            </c:minus>
          </c:errBars>
          <c:cat>
            <c:numLit>
              <c:formatCode>General</c:formatCode>
              <c:ptCount val="4"/>
              <c:pt idx="0">
                <c:v>0</c:v>
              </c:pt>
              <c:pt idx="1">
                <c:v>250</c:v>
              </c:pt>
              <c:pt idx="2">
                <c:v>500</c:v>
              </c:pt>
              <c:pt idx="3">
                <c:v>1000</c:v>
              </c:pt>
            </c:numLit>
          </c:cat>
          <c:val>
            <c:numRef>
              <c:f>AB!$E$4:$E$7</c:f>
              <c:numCache>
                <c:formatCode>General</c:formatCode>
                <c:ptCount val="4"/>
                <c:pt idx="0">
                  <c:v>1.6600000000000001</c:v>
                </c:pt>
                <c:pt idx="1">
                  <c:v>6.25</c:v>
                </c:pt>
                <c:pt idx="2">
                  <c:v>20</c:v>
                </c:pt>
                <c:pt idx="3">
                  <c:v>23.330000000000005</c:v>
                </c:pt>
              </c:numCache>
            </c:numRef>
          </c:val>
          <c:smooth val="0"/>
        </c:ser>
        <c:ser>
          <c:idx val="0"/>
          <c:order val="0"/>
          <c:tx>
            <c:v>24 hr washing</c:v>
          </c:tx>
          <c:spPr>
            <a:ln>
              <a:solidFill>
                <a:schemeClr val="bg1">
                  <a:lumMod val="75000"/>
                </a:schemeClr>
              </a:solidFill>
            </a:ln>
          </c:spPr>
          <c:marker>
            <c:spPr>
              <a:solidFill>
                <a:schemeClr val="bg1">
                  <a:lumMod val="75000"/>
                </a:schemeClr>
              </a:solidFill>
              <a:ln>
                <a:solidFill>
                  <a:schemeClr val="bg1">
                    <a:lumMod val="75000"/>
                  </a:schemeClr>
                </a:solidFill>
              </a:ln>
            </c:spPr>
          </c:marker>
          <c:dLbls>
            <c:dLbl>
              <c:idx val="0"/>
              <c:layout>
                <c:manualLayout>
                  <c:x val="-2.9861043698900011E-2"/>
                  <c:y val="-6.4369546750537562E-2"/>
                </c:manualLayout>
              </c:layout>
              <c:tx>
                <c:rich>
                  <a:bodyPr/>
                  <a:lstStyle/>
                  <a:p>
                    <a:r>
                      <a:rPr lang="en-US" sz="1050">
                        <a:latin typeface="Times New Roman" pitchFamily="18" charset="0"/>
                        <a:cs typeface="Times New Roman" pitchFamily="18" charset="0"/>
                      </a:rPr>
                      <a:t>de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2.9861043698900011E-2"/>
                  <c:y val="-7.2952152983942434E-2"/>
                </c:manualLayout>
              </c:layout>
              <c:tx>
                <c:rich>
                  <a:bodyPr/>
                  <a:lstStyle/>
                  <a:p>
                    <a:r>
                      <a:rPr lang="en-US" sz="1050">
                        <a:latin typeface="Times New Roman" pitchFamily="18" charset="0"/>
                        <a:cs typeface="Times New Roman" pitchFamily="18" charset="0"/>
                      </a:rPr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2.5595180313342847E-2"/>
                  <c:y val="-0.1158651841509674"/>
                </c:manualLayout>
              </c:layout>
              <c:tx>
                <c:rich>
                  <a:bodyPr/>
                  <a:lstStyle/>
                  <a:p>
                    <a:r>
                      <a:rPr lang="en-US" sz="1050">
                        <a:latin typeface="Times New Roman" pitchFamily="18" charset="0"/>
                        <a:cs typeface="Times New Roman" pitchFamily="18" charset="0"/>
                      </a:rPr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2.5595180313342777E-2"/>
                  <c:y val="-0.10299127480086002"/>
                </c:manualLayout>
              </c:layout>
              <c:tx>
                <c:rich>
                  <a:bodyPr/>
                  <a:lstStyle/>
                  <a:p>
                    <a:r>
                      <a:rPr lang="en-US" sz="1050">
                        <a:latin typeface="Times New Roman" pitchFamily="18" charset="0"/>
                        <a:cs typeface="Times New Roman" pitchFamily="18" charset="0"/>
                      </a:rPr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lang="en-US" sz="1050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Dir val="y"/>
            <c:errBarType val="both"/>
            <c:errValType val="cust"/>
            <c:noEndCap val="0"/>
            <c:plus>
              <c:numRef>
                <c:f>AB!$F$9:$F$12</c:f>
                <c:numCache>
                  <c:formatCode>General</c:formatCode>
                  <c:ptCount val="4"/>
                  <c:pt idx="0">
                    <c:v>1.0900000000000001</c:v>
                  </c:pt>
                  <c:pt idx="1">
                    <c:v>2.38</c:v>
                  </c:pt>
                  <c:pt idx="2">
                    <c:v>6.14</c:v>
                  </c:pt>
                  <c:pt idx="3">
                    <c:v>5.44</c:v>
                  </c:pt>
                </c:numCache>
              </c:numRef>
            </c:plus>
            <c:minus>
              <c:numRef>
                <c:f>AB!$F$9:$F$12</c:f>
                <c:numCache>
                  <c:formatCode>General</c:formatCode>
                  <c:ptCount val="4"/>
                  <c:pt idx="0">
                    <c:v>1.0900000000000001</c:v>
                  </c:pt>
                  <c:pt idx="1">
                    <c:v>2.38</c:v>
                  </c:pt>
                  <c:pt idx="2">
                    <c:v>6.14</c:v>
                  </c:pt>
                  <c:pt idx="3">
                    <c:v>5.44</c:v>
                  </c:pt>
                </c:numCache>
              </c:numRef>
            </c:minus>
          </c:errBars>
          <c:cat>
            <c:numLit>
              <c:formatCode>General</c:formatCode>
              <c:ptCount val="4"/>
              <c:pt idx="0">
                <c:v>0</c:v>
              </c:pt>
              <c:pt idx="1">
                <c:v>250</c:v>
              </c:pt>
              <c:pt idx="2">
                <c:v>500</c:v>
              </c:pt>
              <c:pt idx="3">
                <c:v>1000</c:v>
              </c:pt>
            </c:numLit>
          </c:cat>
          <c:val>
            <c:numRef>
              <c:f>AB!$E$9:$E$12</c:f>
              <c:numCache>
                <c:formatCode>General</c:formatCode>
                <c:ptCount val="4"/>
                <c:pt idx="0">
                  <c:v>3.75</c:v>
                </c:pt>
                <c:pt idx="1">
                  <c:v>10</c:v>
                </c:pt>
                <c:pt idx="2">
                  <c:v>47.08</c:v>
                </c:pt>
                <c:pt idx="3">
                  <c:v>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393600"/>
        <c:axId val="108663168"/>
      </c:lineChart>
      <c:catAx>
        <c:axId val="108393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 rtl="0">
              <a:defRPr lang="en-US"/>
            </a:pPr>
            <a:endParaRPr lang="en-US"/>
          </a:p>
        </c:txPr>
        <c:crossAx val="108663168"/>
        <c:crosses val="autoZero"/>
        <c:auto val="1"/>
        <c:lblAlgn val="ctr"/>
        <c:lblOffset val="100"/>
        <c:noMultiLvlLbl val="0"/>
      </c:catAx>
      <c:valAx>
        <c:axId val="108663168"/>
        <c:scaling>
          <c:orientation val="minMax"/>
        </c:scaling>
        <c:delete val="0"/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1083936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428218787063155"/>
          <c:y val="9.1970397442248192E-2"/>
          <c:w val="0.18505315366546954"/>
          <c:h val="0.15519852514331939"/>
        </c:manualLayout>
      </c:layout>
      <c:overlay val="0"/>
      <c:txPr>
        <a:bodyPr/>
        <a:lstStyle/>
        <a:p>
          <a:pPr>
            <a:defRPr lang="en-US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99062114690287"/>
          <c:y val="0.12433053290442427"/>
          <c:w val="0.6749113706758274"/>
          <c:h val="0.65912673415823064"/>
        </c:manualLayout>
      </c:layout>
      <c:lineChart>
        <c:grouping val="standard"/>
        <c:varyColors val="0"/>
        <c:ser>
          <c:idx val="1"/>
          <c:order val="1"/>
          <c:tx>
            <c:v>no washing</c:v>
          </c:tx>
          <c:spPr>
            <a:ln>
              <a:solidFill>
                <a:sysClr val="windowText" lastClr="000000"/>
              </a:solidFill>
            </a:ln>
          </c:spPr>
          <c:marker>
            <c:spPr>
              <a:solidFill>
                <a:schemeClr val="tx1"/>
              </a:solidFill>
              <a:ln>
                <a:solidFill>
                  <a:sysClr val="windowText" lastClr="000000"/>
                </a:solidFill>
              </a:ln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sz="1050">
                        <a:latin typeface="Times New Roman" pitchFamily="18" charset="0"/>
                        <a:cs typeface="Times New Roman" pitchFamily="18" charset="0"/>
                      </a:rPr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1050">
                        <a:latin typeface="Times New Roman" pitchFamily="18" charset="0"/>
                        <a:cs typeface="Times New Roman" pitchFamily="18" charset="0"/>
                      </a:rPr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1050">
                        <a:latin typeface="Times New Roman" pitchFamily="18" charset="0"/>
                        <a:cs typeface="Times New Roman" pitchFamily="18" charset="0"/>
                      </a:rPr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 sz="1050">
                        <a:latin typeface="Times New Roman" pitchFamily="18" charset="0"/>
                        <a:cs typeface="Times New Roman" pitchFamily="18" charset="0"/>
                      </a:rPr>
                      <a:t>bc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lang="en-US" sz="1050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Dir val="y"/>
            <c:errBarType val="both"/>
            <c:errValType val="cust"/>
            <c:noEndCap val="0"/>
            <c:plus>
              <c:numRef>
                <c:f>AB!$H$4:$H$7</c:f>
                <c:numCache>
                  <c:formatCode>General</c:formatCode>
                  <c:ptCount val="4"/>
                  <c:pt idx="0">
                    <c:v>1.0000000000000005E-2</c:v>
                  </c:pt>
                  <c:pt idx="1">
                    <c:v>2.0000000000000011E-2</c:v>
                  </c:pt>
                  <c:pt idx="2">
                    <c:v>0.2</c:v>
                  </c:pt>
                  <c:pt idx="3">
                    <c:v>0.22</c:v>
                  </c:pt>
                </c:numCache>
              </c:numRef>
            </c:plus>
            <c:minus>
              <c:numRef>
                <c:f>AB!$H$4:$H$7</c:f>
                <c:numCache>
                  <c:formatCode>General</c:formatCode>
                  <c:ptCount val="4"/>
                  <c:pt idx="0">
                    <c:v>1.0000000000000005E-2</c:v>
                  </c:pt>
                  <c:pt idx="1">
                    <c:v>2.0000000000000011E-2</c:v>
                  </c:pt>
                  <c:pt idx="2">
                    <c:v>0.2</c:v>
                  </c:pt>
                  <c:pt idx="3">
                    <c:v>0.22</c:v>
                  </c:pt>
                </c:numCache>
              </c:numRef>
            </c:minus>
          </c:errBars>
          <c:cat>
            <c:numLit>
              <c:formatCode>General</c:formatCode>
              <c:ptCount val="4"/>
              <c:pt idx="0">
                <c:v>0</c:v>
              </c:pt>
              <c:pt idx="1">
                <c:v>250</c:v>
              </c:pt>
              <c:pt idx="2">
                <c:v>500</c:v>
              </c:pt>
              <c:pt idx="3">
                <c:v>1000</c:v>
              </c:pt>
            </c:numLit>
          </c:cat>
          <c:val>
            <c:numRef>
              <c:f>AB!$G$4:$G$7</c:f>
              <c:numCache>
                <c:formatCode>General</c:formatCode>
                <c:ptCount val="4"/>
                <c:pt idx="0">
                  <c:v>1.6000000000000021E-2</c:v>
                </c:pt>
                <c:pt idx="1">
                  <c:v>7.6999999999999999E-2</c:v>
                </c:pt>
                <c:pt idx="2">
                  <c:v>0.91400000000000003</c:v>
                </c:pt>
                <c:pt idx="3">
                  <c:v>1.2409999999999928</c:v>
                </c:pt>
              </c:numCache>
            </c:numRef>
          </c:val>
          <c:smooth val="0"/>
        </c:ser>
        <c:ser>
          <c:idx val="0"/>
          <c:order val="0"/>
          <c:tx>
            <c:v>24 hr washing</c:v>
          </c:tx>
          <c:spPr>
            <a:ln>
              <a:solidFill>
                <a:schemeClr val="bg1">
                  <a:lumMod val="65000"/>
                </a:schemeClr>
              </a:solidFill>
            </a:ln>
          </c:spPr>
          <c:marker>
            <c:spPr>
              <a:solidFill>
                <a:schemeClr val="bg1">
                  <a:lumMod val="65000"/>
                </a:schemeClr>
              </a:solidFill>
              <a:ln>
                <a:solidFill>
                  <a:schemeClr val="bg1">
                    <a:lumMod val="65000"/>
                  </a:schemeClr>
                </a:solidFill>
              </a:ln>
            </c:spPr>
          </c:marker>
          <c:dLbls>
            <c:dLbl>
              <c:idx val="0"/>
              <c:layout>
                <c:manualLayout>
                  <c:x val="-2.7464502421733879E-2"/>
                  <c:y val="-6.2528727870967082E-2"/>
                </c:manualLayout>
              </c:layout>
              <c:tx>
                <c:rich>
                  <a:bodyPr/>
                  <a:lstStyle/>
                  <a:p>
                    <a:r>
                      <a:rPr lang="en-US" sz="1050">
                        <a:latin typeface="Times New Roman" pitchFamily="18" charset="0"/>
                        <a:cs typeface="Times New Roman" pitchFamily="18" charset="0"/>
                      </a:rPr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2.9577156454174899E-2"/>
                  <c:y val="-6.6995065576036156E-2"/>
                </c:manualLayout>
              </c:layout>
              <c:tx>
                <c:rich>
                  <a:bodyPr/>
                  <a:lstStyle/>
                  <a:p>
                    <a:r>
                      <a:rPr lang="en-US" sz="1050">
                        <a:latin typeface="Times New Roman" pitchFamily="18" charset="0"/>
                        <a:cs typeface="Times New Roman" pitchFamily="18" charset="0"/>
                      </a:rPr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2.3239194356851553E-2"/>
                  <c:y val="-0.12059111803686522"/>
                </c:manualLayout>
              </c:layout>
              <c:tx>
                <c:rich>
                  <a:bodyPr/>
                  <a:lstStyle/>
                  <a:p>
                    <a:r>
                      <a:rPr lang="en-US" sz="1050">
                        <a:latin typeface="Times New Roman" pitchFamily="18" charset="0"/>
                        <a:cs typeface="Times New Roman" pitchFamily="18" charset="0"/>
                      </a:rPr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2.3239194356851553E-2"/>
                  <c:y val="-0.13845646885714319"/>
                </c:manualLayout>
              </c:layout>
              <c:tx>
                <c:rich>
                  <a:bodyPr/>
                  <a:lstStyle/>
                  <a:p>
                    <a:r>
                      <a:rPr lang="en-US" sz="1050">
                        <a:latin typeface="Times New Roman" pitchFamily="18" charset="0"/>
                        <a:cs typeface="Times New Roman" pitchFamily="18" charset="0"/>
                      </a:rPr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lang="en-US" sz="1050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Dir val="y"/>
            <c:errBarType val="both"/>
            <c:errValType val="cust"/>
            <c:noEndCap val="0"/>
            <c:plus>
              <c:numRef>
                <c:f>AB!$H$9:$H$12</c:f>
                <c:numCache>
                  <c:formatCode>General</c:formatCode>
                  <c:ptCount val="4"/>
                  <c:pt idx="0">
                    <c:v>0.05</c:v>
                  </c:pt>
                  <c:pt idx="1">
                    <c:v>3.0000000000000002E-2</c:v>
                  </c:pt>
                  <c:pt idx="2">
                    <c:v>0.35000000000000031</c:v>
                  </c:pt>
                  <c:pt idx="3">
                    <c:v>0.49000000000000032</c:v>
                  </c:pt>
                </c:numCache>
              </c:numRef>
            </c:plus>
            <c:minus>
              <c:numRef>
                <c:f>AB!$H$9:$H$12</c:f>
                <c:numCache>
                  <c:formatCode>General</c:formatCode>
                  <c:ptCount val="4"/>
                  <c:pt idx="0">
                    <c:v>0.05</c:v>
                  </c:pt>
                  <c:pt idx="1">
                    <c:v>3.0000000000000002E-2</c:v>
                  </c:pt>
                  <c:pt idx="2">
                    <c:v>0.35000000000000031</c:v>
                  </c:pt>
                  <c:pt idx="3">
                    <c:v>0.49000000000000032</c:v>
                  </c:pt>
                </c:numCache>
              </c:numRef>
            </c:minus>
          </c:errBars>
          <c:cat>
            <c:numLit>
              <c:formatCode>General</c:formatCode>
              <c:ptCount val="4"/>
              <c:pt idx="0">
                <c:v>0</c:v>
              </c:pt>
              <c:pt idx="1">
                <c:v>250</c:v>
              </c:pt>
              <c:pt idx="2">
                <c:v>500</c:v>
              </c:pt>
              <c:pt idx="3">
                <c:v>1000</c:v>
              </c:pt>
            </c:numLit>
          </c:cat>
          <c:val>
            <c:numRef>
              <c:f>AB!$G$9:$G$12</c:f>
              <c:numCache>
                <c:formatCode>General</c:formatCode>
                <c:ptCount val="4"/>
                <c:pt idx="0">
                  <c:v>8.4100000000000022E-2</c:v>
                </c:pt>
                <c:pt idx="1">
                  <c:v>0.125</c:v>
                </c:pt>
                <c:pt idx="2">
                  <c:v>1.8720000000000001</c:v>
                </c:pt>
                <c:pt idx="3">
                  <c:v>2.58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497408"/>
        <c:axId val="116507392"/>
      </c:lineChart>
      <c:catAx>
        <c:axId val="11649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 rtl="0">
              <a:defRPr lang="en-US"/>
            </a:pPr>
            <a:endParaRPr lang="en-US"/>
          </a:p>
        </c:txPr>
        <c:crossAx val="116507392"/>
        <c:crosses val="autoZero"/>
        <c:auto val="1"/>
        <c:lblAlgn val="ctr"/>
        <c:lblOffset val="100"/>
        <c:noMultiLvlLbl val="0"/>
      </c:catAx>
      <c:valAx>
        <c:axId val="116507392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1164974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403021195076818"/>
          <c:y val="7.9793760702066632E-2"/>
          <c:w val="0.18329386385458551"/>
          <c:h val="0.16152879574523321"/>
        </c:manualLayout>
      </c:layout>
      <c:overlay val="0"/>
      <c:txPr>
        <a:bodyPr/>
        <a:lstStyle/>
        <a:p>
          <a:pPr>
            <a:defRPr lang="en-US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0.31806</cdr:x>
      <cdr:y>0.88068</cdr:y>
    </cdr:from>
    <cdr:to>
      <cdr:x>0.64917</cdr:x>
      <cdr:y>0.96861</cdr:y>
    </cdr:to>
    <cdr:sp macro="" textlink="">
      <cdr:nvSpPr>
        <cdr:cNvPr id="6" name="TextBox 1"/>
        <cdr:cNvSpPr txBox="1"/>
      </cdr:nvSpPr>
      <cdr:spPr>
        <a:xfrm xmlns:a="http://schemas.openxmlformats.org/drawingml/2006/main">
          <a:off x="1893793" y="2606358"/>
          <a:ext cx="1971546" cy="26021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1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r>
            <a:rPr lang="en-US" sz="1100">
              <a:latin typeface="Times New Roman" pitchFamily="18" charset="0"/>
              <a:cs typeface="Times New Roman" pitchFamily="18" charset="0"/>
            </a:rPr>
            <a:t>GA</a:t>
          </a:r>
          <a:r>
            <a:rPr lang="en-US" sz="1100" baseline="-25000">
              <a:latin typeface="Times New Roman" pitchFamily="18" charset="0"/>
              <a:cs typeface="Times New Roman" pitchFamily="18" charset="0"/>
            </a:rPr>
            <a:t>3</a:t>
          </a:r>
          <a:r>
            <a:rPr lang="en-US" sz="1100">
              <a:latin typeface="Times New Roman" pitchFamily="18" charset="0"/>
              <a:cs typeface="Times New Roman" pitchFamily="18" charset="0"/>
            </a:rPr>
            <a:t> concentration (ppm)</a:t>
          </a:r>
          <a:endParaRPr lang="fa-IR" sz="11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0.01201</cdr:x>
      <cdr:y>0.15652</cdr:y>
    </cdr:from>
    <cdr:to>
      <cdr:x>0.06877</cdr:x>
      <cdr:y>0.7636</cdr:y>
    </cdr:to>
    <cdr:sp macro="" textlink="">
      <cdr:nvSpPr>
        <cdr:cNvPr id="4" name="TextBox 1"/>
        <cdr:cNvSpPr txBox="1"/>
      </cdr:nvSpPr>
      <cdr:spPr>
        <a:xfrm xmlns:a="http://schemas.openxmlformats.org/drawingml/2006/main" rot="16200000">
          <a:off x="-637910" y="1155494"/>
          <a:ext cx="1739851" cy="32600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1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Germination percentage</a:t>
          </a:r>
        </a:p>
        <a:p xmlns:a="http://schemas.openxmlformats.org/drawingml/2006/main"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(%)</a:t>
          </a:r>
          <a:endParaRPr lang="fa-IR" sz="12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</cdr:x>
      <cdr:y>0</cdr:y>
    </cdr:from>
    <cdr:to>
      <cdr:x>0.08121</cdr:x>
      <cdr:y>0.10936</cdr:y>
    </cdr:to>
    <cdr:sp macro="" textlink="">
      <cdr:nvSpPr>
        <cdr:cNvPr id="5" name="TextBox 10"/>
        <cdr:cNvSpPr txBox="1"/>
      </cdr:nvSpPr>
      <cdr:spPr>
        <a:xfrm xmlns:a="http://schemas.openxmlformats.org/drawingml/2006/main">
          <a:off x="0" y="0"/>
          <a:ext cx="466494" cy="313413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 w="9525" cmpd="sng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1" anchor="t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pPr algn="ctr"/>
          <a:r>
            <a:rPr lang="en-US" sz="1400" b="1">
              <a:latin typeface="Times New Roman" pitchFamily="18" charset="0"/>
              <a:cs typeface="Times New Roman" pitchFamily="18" charset="0"/>
            </a:rPr>
            <a:t>(A)</a:t>
          </a:r>
          <a:endParaRPr lang="fa-IR" sz="14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0.00186</cdr:x>
      <cdr:y>0.23756</cdr:y>
    </cdr:from>
    <cdr:to>
      <cdr:x>0.05242</cdr:x>
      <cdr:y>0.71613</cdr:y>
    </cdr:to>
    <cdr:sp macro="" textlink="">
      <cdr:nvSpPr>
        <cdr:cNvPr id="2" name="TextBox 1"/>
        <cdr:cNvSpPr txBox="1"/>
      </cdr:nvSpPr>
      <cdr:spPr>
        <a:xfrm xmlns:a="http://schemas.openxmlformats.org/drawingml/2006/main" rot="16200000">
          <a:off x="-517255" y="1203967"/>
          <a:ext cx="1360816" cy="3038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1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r>
            <a:rPr lang="en-US" sz="1200" b="0">
              <a:latin typeface="Times New Roman" pitchFamily="18" charset="0"/>
              <a:cs typeface="Times New Roman" pitchFamily="18" charset="0"/>
            </a:rPr>
            <a:t>Germination rate </a:t>
          </a:r>
        </a:p>
        <a:p xmlns:a="http://schemas.openxmlformats.org/drawingml/2006/main">
          <a:pPr algn="ctr"/>
          <a:r>
            <a:rPr lang="en-US" sz="1200" b="0">
              <a:latin typeface="Times New Roman" pitchFamily="18" charset="0"/>
              <a:cs typeface="Times New Roman" pitchFamily="18" charset="0"/>
            </a:rPr>
            <a:t>(seeds per day)</a:t>
          </a:r>
          <a:endParaRPr lang="fa-IR" sz="1200" b="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0.32063</cdr:x>
      <cdr:y>0.88276</cdr:y>
    </cdr:from>
    <cdr:to>
      <cdr:x>0.64859</cdr:x>
      <cdr:y>0.97427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1927412" y="2510117"/>
          <a:ext cx="1971546" cy="26021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1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r>
            <a:rPr lang="en-US" sz="1100">
              <a:latin typeface="Times New Roman" pitchFamily="18" charset="0"/>
              <a:cs typeface="Times New Roman" pitchFamily="18" charset="0"/>
            </a:rPr>
            <a:t>GA</a:t>
          </a:r>
          <a:r>
            <a:rPr lang="en-US" sz="1100" baseline="-25000">
              <a:latin typeface="Times New Roman" pitchFamily="18" charset="0"/>
              <a:cs typeface="Times New Roman" pitchFamily="18" charset="0"/>
            </a:rPr>
            <a:t>3</a:t>
          </a:r>
          <a:r>
            <a:rPr lang="en-US" sz="1100">
              <a:latin typeface="Times New Roman" pitchFamily="18" charset="0"/>
              <a:cs typeface="Times New Roman" pitchFamily="18" charset="0"/>
            </a:rPr>
            <a:t> concentration (ppm)</a:t>
          </a:r>
          <a:endParaRPr lang="fa-IR" sz="11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</cdr:x>
      <cdr:y>0</cdr:y>
    </cdr:from>
    <cdr:to>
      <cdr:x>0.0796</cdr:x>
      <cdr:y>0.11451</cdr:y>
    </cdr:to>
    <cdr:sp macro="" textlink="">
      <cdr:nvSpPr>
        <cdr:cNvPr id="4" name="TextBox 10"/>
        <cdr:cNvSpPr txBox="1"/>
      </cdr:nvSpPr>
      <cdr:spPr>
        <a:xfrm xmlns:a="http://schemas.openxmlformats.org/drawingml/2006/main">
          <a:off x="0" y="0"/>
          <a:ext cx="466494" cy="313413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 w="9525" cmpd="sng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1" anchor="t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pPr algn="ctr"/>
          <a:r>
            <a:rPr lang="en-US" sz="1400" b="1">
              <a:latin typeface="Times New Roman" pitchFamily="18" charset="0"/>
              <a:cs typeface="Times New Roman" pitchFamily="18" charset="0"/>
            </a:rPr>
            <a:t>(B)</a:t>
          </a:r>
          <a:endParaRPr lang="fa-IR" sz="14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2013-04-27T19:28:00Z</dcterms:created>
  <dcterms:modified xsi:type="dcterms:W3CDTF">2013-04-27T19:29:00Z</dcterms:modified>
</cp:coreProperties>
</file>