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B9" w:rsidRDefault="00233563" w:rsidP="00233563">
      <w:pPr>
        <w:jc w:val="center"/>
      </w:pPr>
      <w:bookmarkStart w:id="0" w:name="_GoBack"/>
      <w:r w:rsidRPr="0050274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B37E14" wp14:editId="4AF89656">
            <wp:extent cx="4981575" cy="3143250"/>
            <wp:effectExtent l="0" t="0" r="9525" b="0"/>
            <wp:docPr id="16" name="Chart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D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563"/>
    <w:rsid w:val="00233563"/>
    <w:rsid w:val="00B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../embeddings/oleObject1.bin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20070369044778499"/>
          <c:y val="6.7879483814523814E-2"/>
          <c:w val="0.76299769347014046"/>
          <c:h val="0.49700765303448885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trendlineType val="linear"/>
            <c:dispRSqr val="1"/>
            <c:dispEq val="1"/>
            <c:trendlineLbl>
              <c:layout>
                <c:manualLayout>
                  <c:x val="-0.39859514435695537"/>
                  <c:y val="-9.7604986876640543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lang="en-US">
                      <a:latin typeface="Times New Roman" pitchFamily="18" charset="0"/>
                      <a:cs typeface="Times New Roman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Sheet4!$D$3:$D$26</c:f>
              <c:numCache>
                <c:formatCode>General</c:formatCode>
                <c:ptCount val="24"/>
                <c:pt idx="0">
                  <c:v>0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7.5</c:v>
                </c:pt>
                <c:pt idx="5">
                  <c:v>8.75</c:v>
                </c:pt>
                <c:pt idx="6">
                  <c:v>10</c:v>
                </c:pt>
                <c:pt idx="7">
                  <c:v>22.5</c:v>
                </c:pt>
                <c:pt idx="8">
                  <c:v>27.5</c:v>
                </c:pt>
                <c:pt idx="9">
                  <c:v>12.5</c:v>
                </c:pt>
                <c:pt idx="10">
                  <c:v>27.5</c:v>
                </c:pt>
                <c:pt idx="11">
                  <c:v>30</c:v>
                </c:pt>
                <c:pt idx="12">
                  <c:v>1.25</c:v>
                </c:pt>
                <c:pt idx="13">
                  <c:v>5</c:v>
                </c:pt>
                <c:pt idx="14">
                  <c:v>5</c:v>
                </c:pt>
                <c:pt idx="15">
                  <c:v>3.75</c:v>
                </c:pt>
                <c:pt idx="16">
                  <c:v>8.75</c:v>
                </c:pt>
                <c:pt idx="17">
                  <c:v>17.5</c:v>
                </c:pt>
                <c:pt idx="18">
                  <c:v>20</c:v>
                </c:pt>
                <c:pt idx="19">
                  <c:v>61.25</c:v>
                </c:pt>
                <c:pt idx="20">
                  <c:v>60</c:v>
                </c:pt>
                <c:pt idx="21">
                  <c:v>21.25</c:v>
                </c:pt>
                <c:pt idx="22">
                  <c:v>55</c:v>
                </c:pt>
                <c:pt idx="23">
                  <c:v>58.75</c:v>
                </c:pt>
              </c:numCache>
            </c:numRef>
          </c:xVal>
          <c:yVal>
            <c:numRef>
              <c:f>Sheet4!$E$3:$E$26</c:f>
              <c:numCache>
                <c:formatCode>General</c:formatCode>
                <c:ptCount val="24"/>
                <c:pt idx="0">
                  <c:v>0</c:v>
                </c:pt>
                <c:pt idx="1">
                  <c:v>2.0000000000000011E-2</c:v>
                </c:pt>
                <c:pt idx="2">
                  <c:v>2.0000000000000011E-2</c:v>
                </c:pt>
                <c:pt idx="3">
                  <c:v>2.0000000000000011E-2</c:v>
                </c:pt>
                <c:pt idx="4">
                  <c:v>0.1</c:v>
                </c:pt>
                <c:pt idx="5">
                  <c:v>0.1</c:v>
                </c:pt>
                <c:pt idx="6">
                  <c:v>0.13</c:v>
                </c:pt>
                <c:pt idx="7">
                  <c:v>0.95000000000000062</c:v>
                </c:pt>
                <c:pt idx="8">
                  <c:v>1.6500000000000001</c:v>
                </c:pt>
                <c:pt idx="9">
                  <c:v>0.26</c:v>
                </c:pt>
                <c:pt idx="10">
                  <c:v>1.9200000000000021</c:v>
                </c:pt>
                <c:pt idx="11">
                  <c:v>1.53</c:v>
                </c:pt>
                <c:pt idx="12">
                  <c:v>1.0000000000000005E-2</c:v>
                </c:pt>
                <c:pt idx="13">
                  <c:v>4.0000000000000022E-2</c:v>
                </c:pt>
                <c:pt idx="14">
                  <c:v>0.19</c:v>
                </c:pt>
                <c:pt idx="15">
                  <c:v>0.05</c:v>
                </c:pt>
                <c:pt idx="16">
                  <c:v>0.11</c:v>
                </c:pt>
                <c:pt idx="17">
                  <c:v>0.21000000000000021</c:v>
                </c:pt>
                <c:pt idx="18">
                  <c:v>0.29000000000000031</c:v>
                </c:pt>
                <c:pt idx="19">
                  <c:v>2.48</c:v>
                </c:pt>
                <c:pt idx="20">
                  <c:v>2.84</c:v>
                </c:pt>
                <c:pt idx="21">
                  <c:v>0.31000000000000161</c:v>
                </c:pt>
                <c:pt idx="22">
                  <c:v>3.62</c:v>
                </c:pt>
                <c:pt idx="23">
                  <c:v>3.8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971136"/>
        <c:axId val="108972672"/>
      </c:scatterChart>
      <c:valAx>
        <c:axId val="108971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108972672"/>
        <c:crosses val="autoZero"/>
        <c:crossBetween val="midCat"/>
      </c:valAx>
      <c:valAx>
        <c:axId val="108972672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108971136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0.01918</cdr:x>
      <cdr:y>0.78448</cdr:y>
    </cdr:from>
    <cdr:to>
      <cdr:x>0.99954</cdr:x>
      <cdr:y>0.97439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96460" y="2544792"/>
          <a:ext cx="4930427" cy="6160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/>
        <a:p xmlns:a="http://schemas.openxmlformats.org/drawingml/2006/main">
          <a:pPr algn="just" rtl="0"/>
          <a:r>
            <a:rPr lang="en-US" sz="1200">
              <a:latin typeface="Times New Roman" pitchFamily="18" charset="0"/>
              <a:ea typeface="+mn-ea"/>
              <a:cs typeface="Times New Roman" pitchFamily="18" charset="0"/>
            </a:rPr>
            <a:t>Fig. 3. Relationship between seed germination percentage and germination rate of</a:t>
          </a:r>
          <a:r>
            <a:rPr lang="en-US" sz="1200" baseline="0">
              <a:latin typeface="Times New Roman" pitchFamily="18" charset="0"/>
              <a:ea typeface="+mn-ea"/>
              <a:cs typeface="Times New Roman" pitchFamily="18" charset="0"/>
            </a:rPr>
            <a:t> </a:t>
          </a:r>
          <a:r>
            <a:rPr lang="en-US" sz="1200">
              <a:latin typeface="Times New Roman" pitchFamily="18" charset="0"/>
              <a:ea typeface="+mn-ea"/>
              <a:cs typeface="Times New Roman" pitchFamily="18" charset="0"/>
            </a:rPr>
            <a:t>sweet cherry (</a:t>
          </a:r>
          <a:r>
            <a:rPr lang="en-US" sz="1200" i="1">
              <a:latin typeface="Times New Roman" pitchFamily="18" charset="0"/>
              <a:ea typeface="+mn-ea"/>
              <a:cs typeface="Times New Roman" pitchFamily="18" charset="0"/>
            </a:rPr>
            <a:t>Prunus avium</a:t>
          </a:r>
          <a:r>
            <a:rPr lang="en-US" sz="1200">
              <a:latin typeface="Times New Roman" pitchFamily="18" charset="0"/>
              <a:ea typeface="+mn-ea"/>
              <a:cs typeface="Times New Roman" pitchFamily="18" charset="0"/>
            </a:rPr>
            <a:t>) var. Lambert.</a:t>
          </a:r>
        </a:p>
        <a:p xmlns:a="http://schemas.openxmlformats.org/drawingml/2006/main">
          <a:pPr algn="just" rtl="0"/>
          <a:endParaRPr lang="fa-IR" sz="12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0.02922</cdr:x>
      <cdr:y>0</cdr:y>
    </cdr:from>
    <cdr:to>
      <cdr:x>0.09632</cdr:x>
      <cdr:y>0.67785</cdr:y>
    </cdr:to>
    <cdr:sp macro="" textlink="">
      <cdr:nvSpPr>
        <cdr:cNvPr id="3" name="TextBox 2"/>
        <cdr:cNvSpPr txBox="1"/>
      </cdr:nvSpPr>
      <cdr:spPr>
        <a:xfrm xmlns:a="http://schemas.openxmlformats.org/drawingml/2006/main" rot="16200000">
          <a:off x="-783772" y="930729"/>
          <a:ext cx="2198915" cy="3374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/>
        <a:p xmlns:a="http://schemas.openxmlformats.org/drawingml/2006/main">
          <a:pPr algn="ctr"/>
          <a:r>
            <a:rPr lang="en-US" sz="1100">
              <a:latin typeface="Times New Roman" pitchFamily="18" charset="0"/>
              <a:cs typeface="Times New Roman" pitchFamily="18" charset="0"/>
            </a:rPr>
            <a:t>Seed germination rate</a:t>
          </a:r>
        </a:p>
        <a:p xmlns:a="http://schemas.openxmlformats.org/drawingml/2006/main">
          <a:pPr algn="ctr"/>
          <a:r>
            <a:rPr lang="en-US" sz="1100">
              <a:latin typeface="Times New Roman" pitchFamily="18" charset="0"/>
              <a:cs typeface="Times New Roman" pitchFamily="18" charset="0"/>
            </a:rPr>
            <a:t>(seeds per day)</a:t>
          </a:r>
          <a:endParaRPr lang="fa-IR" sz="11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0.30519</cdr:x>
      <cdr:y>0.64094</cdr:y>
    </cdr:from>
    <cdr:to>
      <cdr:x>0.75758</cdr:x>
      <cdr:y>0.75503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1534886" y="2079171"/>
          <a:ext cx="2275114" cy="37011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/>
        <a:p xmlns:a="http://schemas.openxmlformats.org/drawingml/2006/main">
          <a:pPr algn="ctr"/>
          <a:r>
            <a:rPr lang="en-US" sz="1100">
              <a:latin typeface="Times New Roman" pitchFamily="18" charset="0"/>
              <a:cs typeface="Times New Roman" pitchFamily="18" charset="0"/>
            </a:rPr>
            <a:t>Seed germination (%)</a:t>
          </a:r>
          <a:endParaRPr lang="fa-IR" sz="11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2013-04-27T19:23:00Z</dcterms:created>
  <dcterms:modified xsi:type="dcterms:W3CDTF">2013-04-27T19:24:00Z</dcterms:modified>
</cp:coreProperties>
</file>