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3B" w:rsidRDefault="00766F3B">
      <w:r w:rsidRPr="00766F3B">
        <w:rPr>
          <w:noProof/>
        </w:rPr>
        <w:drawing>
          <wp:inline distT="0" distB="0" distL="0" distR="0">
            <wp:extent cx="5125915" cy="2373923"/>
            <wp:effectExtent l="1905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8708E" w:rsidRPr="00AE4A82" w:rsidRDefault="00766F3B" w:rsidP="00AE4A82">
      <w:pPr>
        <w:spacing w:after="0" w:line="240" w:lineRule="auto"/>
        <w:jc w:val="center"/>
        <w:rPr>
          <w:rStyle w:val="hps"/>
          <w:rFonts w:asciiTheme="majorBidi" w:hAnsiTheme="majorBidi" w:cstheme="majorBidi"/>
          <w:sz w:val="20"/>
          <w:szCs w:val="20"/>
        </w:rPr>
      </w:pPr>
      <w:r>
        <w:rPr>
          <w:rStyle w:val="hps"/>
          <w:rFonts w:asciiTheme="majorBidi" w:hAnsiTheme="majorBidi" w:cstheme="majorBidi"/>
          <w:sz w:val="20"/>
          <w:szCs w:val="20"/>
        </w:rPr>
        <w:t>Fig</w:t>
      </w:r>
      <w:r w:rsidR="00862B9C">
        <w:rPr>
          <w:rStyle w:val="hps"/>
          <w:rFonts w:asciiTheme="majorBidi" w:hAnsiTheme="majorBidi" w:cstheme="majorBidi"/>
          <w:sz w:val="20"/>
          <w:szCs w:val="20"/>
        </w:rPr>
        <w:t>ure</w:t>
      </w:r>
      <w:r w:rsidRPr="00981FDD">
        <w:rPr>
          <w:rStyle w:val="hps"/>
          <w:rFonts w:asciiTheme="majorBidi" w:hAnsiTheme="majorBidi" w:cstheme="majorBidi"/>
          <w:sz w:val="20"/>
          <w:szCs w:val="20"/>
        </w:rPr>
        <w:t xml:space="preserve"> 1- Cumulative mean of</w:t>
      </w:r>
      <w:r w:rsidR="00AE4A82">
        <w:rPr>
          <w:rStyle w:val="hps"/>
          <w:rFonts w:asciiTheme="majorBidi" w:hAnsiTheme="majorBidi" w:cstheme="majorBidi"/>
          <w:sz w:val="20"/>
          <w:szCs w:val="20"/>
        </w:rPr>
        <w:t xml:space="preserve"> </w:t>
      </w:r>
      <w:r w:rsidRPr="00981FDD">
        <w:rPr>
          <w:rStyle w:val="hps"/>
          <w:rFonts w:asciiTheme="majorBidi" w:hAnsiTheme="majorBidi" w:cstheme="majorBidi"/>
          <w:sz w:val="20"/>
          <w:szCs w:val="20"/>
        </w:rPr>
        <w:t>seed</w:t>
      </w:r>
      <w:r w:rsidR="00AE4A82">
        <w:rPr>
          <w:rStyle w:val="hps"/>
          <w:rFonts w:asciiTheme="majorBidi" w:hAnsiTheme="majorBidi" w:cstheme="majorBidi"/>
          <w:sz w:val="20"/>
          <w:szCs w:val="20"/>
        </w:rPr>
        <w:t xml:space="preserve"> </w:t>
      </w:r>
      <w:r w:rsidRPr="00981FDD">
        <w:rPr>
          <w:rStyle w:val="hps"/>
          <w:rFonts w:asciiTheme="majorBidi" w:hAnsiTheme="majorBidi" w:cstheme="majorBidi"/>
          <w:sz w:val="20"/>
          <w:szCs w:val="20"/>
        </w:rPr>
        <w:t>germinationin</w:t>
      </w:r>
      <w:r w:rsidRPr="00981FDD">
        <w:rPr>
          <w:rFonts w:asciiTheme="majorBidi" w:hAnsiTheme="majorBidi" w:cstheme="majorBidi"/>
          <w:sz w:val="20"/>
          <w:szCs w:val="20"/>
        </w:rPr>
        <w:t xml:space="preserve"> the </w:t>
      </w:r>
      <w:r>
        <w:rPr>
          <w:rStyle w:val="hps"/>
          <w:rFonts w:asciiTheme="majorBidi" w:hAnsiTheme="majorBidi" w:cstheme="majorBidi"/>
          <w:sz w:val="20"/>
          <w:szCs w:val="20"/>
        </w:rPr>
        <w:t>laboratory</w:t>
      </w:r>
      <w:r w:rsidRPr="00981FDD">
        <w:rPr>
          <w:rStyle w:val="hps"/>
          <w:rFonts w:asciiTheme="majorBidi" w:hAnsiTheme="majorBidi" w:cstheme="majorBidi"/>
          <w:sz w:val="20"/>
          <w:szCs w:val="20"/>
        </w:rPr>
        <w:t xml:space="preserve"> for</w:t>
      </w:r>
      <w:r w:rsidR="00AE4A82">
        <w:rPr>
          <w:rStyle w:val="hps"/>
          <w:rFonts w:asciiTheme="majorBidi" w:hAnsiTheme="majorBidi" w:cstheme="majorBidi"/>
          <w:sz w:val="20"/>
          <w:szCs w:val="20"/>
        </w:rPr>
        <w:t xml:space="preserve"> </w:t>
      </w:r>
      <w:r w:rsidRPr="00981FDD">
        <w:rPr>
          <w:rStyle w:val="hps"/>
          <w:rFonts w:asciiTheme="majorBidi" w:hAnsiTheme="majorBidi" w:cstheme="majorBidi"/>
          <w:i/>
          <w:iCs/>
          <w:sz w:val="20"/>
          <w:szCs w:val="20"/>
        </w:rPr>
        <w:t xml:space="preserve">C. </w:t>
      </w:r>
      <w:r w:rsidR="00F8708E" w:rsidRPr="00981FDD">
        <w:rPr>
          <w:rStyle w:val="hps"/>
          <w:rFonts w:asciiTheme="majorBidi" w:hAnsiTheme="majorBidi" w:cstheme="majorBidi"/>
          <w:i/>
          <w:iCs/>
          <w:sz w:val="20"/>
          <w:szCs w:val="20"/>
        </w:rPr>
        <w:t>S</w:t>
      </w:r>
      <w:r w:rsidRPr="00981FDD">
        <w:rPr>
          <w:rStyle w:val="hps"/>
          <w:rFonts w:asciiTheme="majorBidi" w:hAnsiTheme="majorBidi" w:cstheme="majorBidi"/>
          <w:i/>
          <w:iCs/>
          <w:sz w:val="20"/>
          <w:szCs w:val="20"/>
        </w:rPr>
        <w:t>iliquastrum</w:t>
      </w:r>
      <w:r w:rsidR="00AE4A82">
        <w:rPr>
          <w:rStyle w:val="hps"/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AE4A82" w:rsidRPr="00AE4A82">
        <w:rPr>
          <w:rStyle w:val="hps"/>
          <w:rFonts w:asciiTheme="majorBidi" w:hAnsiTheme="majorBidi" w:cstheme="majorBidi"/>
          <w:sz w:val="20"/>
          <w:szCs w:val="20"/>
        </w:rPr>
        <w:t>L.</w:t>
      </w:r>
      <w:r w:rsidR="00AE4A82">
        <w:rPr>
          <w:rStyle w:val="hps"/>
          <w:rFonts w:asciiTheme="majorBidi" w:hAnsiTheme="majorBidi" w:cstheme="majorBidi"/>
          <w:sz w:val="20"/>
          <w:szCs w:val="20"/>
        </w:rPr>
        <w:t xml:space="preserve"> </w:t>
      </w:r>
      <w:r w:rsidR="00AE4A82">
        <w:rPr>
          <w:rFonts w:asciiTheme="majorBidi" w:hAnsiTheme="majorBidi" w:cstheme="majorBidi"/>
          <w:sz w:val="20"/>
          <w:szCs w:val="20"/>
        </w:rPr>
        <w:t xml:space="preserve">seed obtained from </w:t>
      </w:r>
      <w:r w:rsidR="00AE4A82" w:rsidRPr="00865D68">
        <w:rPr>
          <w:rFonts w:asciiTheme="majorBidi" w:hAnsiTheme="majorBidi" w:cstheme="majorBidi"/>
          <w:sz w:val="20"/>
          <w:szCs w:val="20"/>
        </w:rPr>
        <w:t>from</w:t>
      </w:r>
      <w:r w:rsidR="00AE4A82">
        <w:rPr>
          <w:rFonts w:asciiTheme="majorBidi" w:hAnsiTheme="majorBidi" w:cstheme="majorBidi"/>
          <w:sz w:val="20"/>
          <w:szCs w:val="20"/>
        </w:rPr>
        <w:t xml:space="preserve"> Zanjan (Iran) in 2011</w:t>
      </w:r>
    </w:p>
    <w:p w:rsidR="00F8708E" w:rsidRDefault="00F8708E" w:rsidP="00F8708E">
      <w:pPr>
        <w:spacing w:after="0" w:line="240" w:lineRule="auto"/>
        <w:jc w:val="center"/>
        <w:rPr>
          <w:rStyle w:val="hps"/>
          <w:rFonts w:asciiTheme="majorBidi" w:hAnsiTheme="majorBidi" w:cstheme="majorBidi"/>
          <w:sz w:val="20"/>
          <w:szCs w:val="20"/>
        </w:rPr>
      </w:pPr>
    </w:p>
    <w:p w:rsidR="00766F3B" w:rsidRDefault="00766F3B" w:rsidP="00766F3B">
      <w:pPr>
        <w:spacing w:after="0" w:line="480" w:lineRule="auto"/>
        <w:ind w:right="-360"/>
        <w:jc w:val="center"/>
        <w:rPr>
          <w:sz w:val="20"/>
          <w:szCs w:val="20"/>
          <w:rtl/>
          <w:lang w:bidi="fa-IR"/>
        </w:rPr>
      </w:pPr>
    </w:p>
    <w:p w:rsidR="00C6721B" w:rsidRDefault="00C6721B" w:rsidP="00766F3B">
      <w:pPr>
        <w:tabs>
          <w:tab w:val="left" w:pos="1578"/>
        </w:tabs>
        <w:jc w:val="center"/>
      </w:pPr>
    </w:p>
    <w:p w:rsidR="00F8708E" w:rsidRPr="00766F3B" w:rsidRDefault="00F8708E" w:rsidP="00766F3B">
      <w:pPr>
        <w:tabs>
          <w:tab w:val="left" w:pos="1578"/>
        </w:tabs>
        <w:jc w:val="center"/>
      </w:pPr>
    </w:p>
    <w:sectPr w:rsidR="00F8708E" w:rsidRPr="00766F3B" w:rsidSect="00C6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TrackMoves/>
  <w:defaultTabStop w:val="720"/>
  <w:hyphenationZone w:val="425"/>
  <w:characterSpacingControl w:val="doNotCompress"/>
  <w:compat/>
  <w:rsids>
    <w:rsidRoot w:val="00766F3B"/>
    <w:rsid w:val="00000FC5"/>
    <w:rsid w:val="00004A03"/>
    <w:rsid w:val="000103E6"/>
    <w:rsid w:val="0001399C"/>
    <w:rsid w:val="00014A53"/>
    <w:rsid w:val="00017A80"/>
    <w:rsid w:val="000217E4"/>
    <w:rsid w:val="0002627E"/>
    <w:rsid w:val="00026C1A"/>
    <w:rsid w:val="00037D60"/>
    <w:rsid w:val="000511F3"/>
    <w:rsid w:val="00056EF5"/>
    <w:rsid w:val="0006101B"/>
    <w:rsid w:val="0007152D"/>
    <w:rsid w:val="0007437D"/>
    <w:rsid w:val="00075CFE"/>
    <w:rsid w:val="00080B0B"/>
    <w:rsid w:val="00085599"/>
    <w:rsid w:val="00086160"/>
    <w:rsid w:val="00090333"/>
    <w:rsid w:val="00090442"/>
    <w:rsid w:val="0009373A"/>
    <w:rsid w:val="000976E9"/>
    <w:rsid w:val="000A0AEE"/>
    <w:rsid w:val="000A1B11"/>
    <w:rsid w:val="000A57F3"/>
    <w:rsid w:val="000B42B6"/>
    <w:rsid w:val="000C6F1F"/>
    <w:rsid w:val="000F342F"/>
    <w:rsid w:val="00106966"/>
    <w:rsid w:val="00120ED6"/>
    <w:rsid w:val="00127FA1"/>
    <w:rsid w:val="001341CD"/>
    <w:rsid w:val="0014032A"/>
    <w:rsid w:val="00140FBF"/>
    <w:rsid w:val="001534BE"/>
    <w:rsid w:val="00156DF3"/>
    <w:rsid w:val="00160D4C"/>
    <w:rsid w:val="00181AE9"/>
    <w:rsid w:val="00187A70"/>
    <w:rsid w:val="001A090C"/>
    <w:rsid w:val="001A2247"/>
    <w:rsid w:val="001C4824"/>
    <w:rsid w:val="001C6939"/>
    <w:rsid w:val="001D267B"/>
    <w:rsid w:val="001D37C7"/>
    <w:rsid w:val="001E14A9"/>
    <w:rsid w:val="001E70E0"/>
    <w:rsid w:val="0020112E"/>
    <w:rsid w:val="002117BC"/>
    <w:rsid w:val="002129D0"/>
    <w:rsid w:val="00220AE7"/>
    <w:rsid w:val="0022624F"/>
    <w:rsid w:val="0024211C"/>
    <w:rsid w:val="002726DA"/>
    <w:rsid w:val="00277C09"/>
    <w:rsid w:val="00277ED2"/>
    <w:rsid w:val="00281F83"/>
    <w:rsid w:val="0028731C"/>
    <w:rsid w:val="00291F7F"/>
    <w:rsid w:val="002A6B46"/>
    <w:rsid w:val="002B6480"/>
    <w:rsid w:val="002B64A5"/>
    <w:rsid w:val="002C31FB"/>
    <w:rsid w:val="002E4118"/>
    <w:rsid w:val="002E4836"/>
    <w:rsid w:val="002F53CF"/>
    <w:rsid w:val="00303C1A"/>
    <w:rsid w:val="00311FFD"/>
    <w:rsid w:val="003207DB"/>
    <w:rsid w:val="00373A50"/>
    <w:rsid w:val="0037617B"/>
    <w:rsid w:val="00392988"/>
    <w:rsid w:val="003C2117"/>
    <w:rsid w:val="003C25E8"/>
    <w:rsid w:val="003C3190"/>
    <w:rsid w:val="003D0788"/>
    <w:rsid w:val="003D3C3B"/>
    <w:rsid w:val="003D5C7B"/>
    <w:rsid w:val="003E7572"/>
    <w:rsid w:val="003F0763"/>
    <w:rsid w:val="00404306"/>
    <w:rsid w:val="00411DFF"/>
    <w:rsid w:val="004179A7"/>
    <w:rsid w:val="00421A0A"/>
    <w:rsid w:val="004452F9"/>
    <w:rsid w:val="004530F5"/>
    <w:rsid w:val="004543E6"/>
    <w:rsid w:val="00477750"/>
    <w:rsid w:val="00490220"/>
    <w:rsid w:val="00490B00"/>
    <w:rsid w:val="0049134C"/>
    <w:rsid w:val="00496464"/>
    <w:rsid w:val="004A1E22"/>
    <w:rsid w:val="004B20FC"/>
    <w:rsid w:val="004B73D2"/>
    <w:rsid w:val="004D1208"/>
    <w:rsid w:val="004D1EAE"/>
    <w:rsid w:val="004D77C0"/>
    <w:rsid w:val="004E1A5B"/>
    <w:rsid w:val="004E4599"/>
    <w:rsid w:val="004F76F8"/>
    <w:rsid w:val="00504F91"/>
    <w:rsid w:val="005148F0"/>
    <w:rsid w:val="00517EE9"/>
    <w:rsid w:val="005217EA"/>
    <w:rsid w:val="00523843"/>
    <w:rsid w:val="0052409F"/>
    <w:rsid w:val="005247B3"/>
    <w:rsid w:val="00530A7B"/>
    <w:rsid w:val="0053435B"/>
    <w:rsid w:val="00540EF9"/>
    <w:rsid w:val="00553C76"/>
    <w:rsid w:val="00554918"/>
    <w:rsid w:val="00555BD1"/>
    <w:rsid w:val="00563542"/>
    <w:rsid w:val="0058110E"/>
    <w:rsid w:val="00587AD7"/>
    <w:rsid w:val="005916F4"/>
    <w:rsid w:val="005964BA"/>
    <w:rsid w:val="00596A48"/>
    <w:rsid w:val="005C7FC6"/>
    <w:rsid w:val="005D1147"/>
    <w:rsid w:val="005D5978"/>
    <w:rsid w:val="005D6EB1"/>
    <w:rsid w:val="005F040A"/>
    <w:rsid w:val="005F2E82"/>
    <w:rsid w:val="00613B12"/>
    <w:rsid w:val="00616360"/>
    <w:rsid w:val="006228AF"/>
    <w:rsid w:val="0062771C"/>
    <w:rsid w:val="0064734E"/>
    <w:rsid w:val="006514FF"/>
    <w:rsid w:val="006624FD"/>
    <w:rsid w:val="00673BDC"/>
    <w:rsid w:val="00676561"/>
    <w:rsid w:val="0069512C"/>
    <w:rsid w:val="006966D3"/>
    <w:rsid w:val="006A4E3E"/>
    <w:rsid w:val="006B0BF5"/>
    <w:rsid w:val="006D14F7"/>
    <w:rsid w:val="007130EA"/>
    <w:rsid w:val="0072573F"/>
    <w:rsid w:val="00735C5C"/>
    <w:rsid w:val="0076203D"/>
    <w:rsid w:val="00762FC8"/>
    <w:rsid w:val="00766F3B"/>
    <w:rsid w:val="00774A81"/>
    <w:rsid w:val="0078141C"/>
    <w:rsid w:val="007821C7"/>
    <w:rsid w:val="00794A7A"/>
    <w:rsid w:val="007A57B9"/>
    <w:rsid w:val="007C2A4E"/>
    <w:rsid w:val="007C3912"/>
    <w:rsid w:val="007D2B47"/>
    <w:rsid w:val="007F1ACB"/>
    <w:rsid w:val="007F7BAA"/>
    <w:rsid w:val="008153BA"/>
    <w:rsid w:val="00841CA5"/>
    <w:rsid w:val="00847A5F"/>
    <w:rsid w:val="00856822"/>
    <w:rsid w:val="008608BA"/>
    <w:rsid w:val="00862B9C"/>
    <w:rsid w:val="008B32F7"/>
    <w:rsid w:val="008D0701"/>
    <w:rsid w:val="008D33DF"/>
    <w:rsid w:val="008E5244"/>
    <w:rsid w:val="008F476C"/>
    <w:rsid w:val="008F6D42"/>
    <w:rsid w:val="009010B9"/>
    <w:rsid w:val="00905924"/>
    <w:rsid w:val="00917A06"/>
    <w:rsid w:val="00936026"/>
    <w:rsid w:val="00937DC5"/>
    <w:rsid w:val="00940594"/>
    <w:rsid w:val="00953D5C"/>
    <w:rsid w:val="00960E1C"/>
    <w:rsid w:val="00962EE8"/>
    <w:rsid w:val="0096547A"/>
    <w:rsid w:val="00973F81"/>
    <w:rsid w:val="00975676"/>
    <w:rsid w:val="009A5BBF"/>
    <w:rsid w:val="009B2132"/>
    <w:rsid w:val="009D0FE1"/>
    <w:rsid w:val="009E2509"/>
    <w:rsid w:val="009E5AC1"/>
    <w:rsid w:val="009F1F2D"/>
    <w:rsid w:val="009F2249"/>
    <w:rsid w:val="009F731F"/>
    <w:rsid w:val="00A07DE6"/>
    <w:rsid w:val="00A2483B"/>
    <w:rsid w:val="00A26BAF"/>
    <w:rsid w:val="00A30A6F"/>
    <w:rsid w:val="00A45709"/>
    <w:rsid w:val="00A508FF"/>
    <w:rsid w:val="00A52BCA"/>
    <w:rsid w:val="00A53E5F"/>
    <w:rsid w:val="00A60C6E"/>
    <w:rsid w:val="00A753B8"/>
    <w:rsid w:val="00A775D3"/>
    <w:rsid w:val="00A82A92"/>
    <w:rsid w:val="00A867D3"/>
    <w:rsid w:val="00AA3B81"/>
    <w:rsid w:val="00AC76A3"/>
    <w:rsid w:val="00AD0B86"/>
    <w:rsid w:val="00AD3F26"/>
    <w:rsid w:val="00AD51A8"/>
    <w:rsid w:val="00AD7129"/>
    <w:rsid w:val="00AE07B4"/>
    <w:rsid w:val="00AE4A82"/>
    <w:rsid w:val="00B0304F"/>
    <w:rsid w:val="00B14463"/>
    <w:rsid w:val="00B144BB"/>
    <w:rsid w:val="00B2123F"/>
    <w:rsid w:val="00B358BB"/>
    <w:rsid w:val="00B374C8"/>
    <w:rsid w:val="00B52D66"/>
    <w:rsid w:val="00B64182"/>
    <w:rsid w:val="00B8150E"/>
    <w:rsid w:val="00B94589"/>
    <w:rsid w:val="00B95394"/>
    <w:rsid w:val="00BA0C72"/>
    <w:rsid w:val="00BC4AF6"/>
    <w:rsid w:val="00BC7486"/>
    <w:rsid w:val="00BE10DC"/>
    <w:rsid w:val="00BE32FA"/>
    <w:rsid w:val="00BE38F8"/>
    <w:rsid w:val="00BE6EA0"/>
    <w:rsid w:val="00C063B0"/>
    <w:rsid w:val="00C06DA8"/>
    <w:rsid w:val="00C10463"/>
    <w:rsid w:val="00C235B4"/>
    <w:rsid w:val="00C27C88"/>
    <w:rsid w:val="00C322AF"/>
    <w:rsid w:val="00C3701B"/>
    <w:rsid w:val="00C42F2A"/>
    <w:rsid w:val="00C6721B"/>
    <w:rsid w:val="00C70F35"/>
    <w:rsid w:val="00C832D1"/>
    <w:rsid w:val="00C86C9C"/>
    <w:rsid w:val="00C91B3E"/>
    <w:rsid w:val="00CA174D"/>
    <w:rsid w:val="00CA6AC0"/>
    <w:rsid w:val="00CD3EB0"/>
    <w:rsid w:val="00D00001"/>
    <w:rsid w:val="00D10A63"/>
    <w:rsid w:val="00D1133E"/>
    <w:rsid w:val="00D16A23"/>
    <w:rsid w:val="00D208D0"/>
    <w:rsid w:val="00D213DE"/>
    <w:rsid w:val="00D4218B"/>
    <w:rsid w:val="00D4730D"/>
    <w:rsid w:val="00D60443"/>
    <w:rsid w:val="00D63A4D"/>
    <w:rsid w:val="00D712F4"/>
    <w:rsid w:val="00D77CBC"/>
    <w:rsid w:val="00D821A2"/>
    <w:rsid w:val="00D855C5"/>
    <w:rsid w:val="00DA395B"/>
    <w:rsid w:val="00DD2762"/>
    <w:rsid w:val="00DD47F1"/>
    <w:rsid w:val="00DE6A96"/>
    <w:rsid w:val="00DE7A7A"/>
    <w:rsid w:val="00DE7D97"/>
    <w:rsid w:val="00E00272"/>
    <w:rsid w:val="00E0188C"/>
    <w:rsid w:val="00E05FBA"/>
    <w:rsid w:val="00E12925"/>
    <w:rsid w:val="00E12ADF"/>
    <w:rsid w:val="00E21564"/>
    <w:rsid w:val="00E23E4F"/>
    <w:rsid w:val="00E37D78"/>
    <w:rsid w:val="00E45C68"/>
    <w:rsid w:val="00E605BB"/>
    <w:rsid w:val="00E655E7"/>
    <w:rsid w:val="00E65895"/>
    <w:rsid w:val="00E741D7"/>
    <w:rsid w:val="00E743D9"/>
    <w:rsid w:val="00E902EB"/>
    <w:rsid w:val="00EA2906"/>
    <w:rsid w:val="00EC4A26"/>
    <w:rsid w:val="00EC5E89"/>
    <w:rsid w:val="00ED3C00"/>
    <w:rsid w:val="00EE17B9"/>
    <w:rsid w:val="00F46D4B"/>
    <w:rsid w:val="00F47212"/>
    <w:rsid w:val="00F54039"/>
    <w:rsid w:val="00F54DEF"/>
    <w:rsid w:val="00F57406"/>
    <w:rsid w:val="00F664BE"/>
    <w:rsid w:val="00F73DAF"/>
    <w:rsid w:val="00F81D8D"/>
    <w:rsid w:val="00F8708E"/>
    <w:rsid w:val="00F93C5A"/>
    <w:rsid w:val="00F96815"/>
    <w:rsid w:val="00FB4589"/>
    <w:rsid w:val="00FC2A76"/>
    <w:rsid w:val="00FC3B66"/>
    <w:rsid w:val="00FC5699"/>
    <w:rsid w:val="00FD5339"/>
    <w:rsid w:val="00FE0CF8"/>
    <w:rsid w:val="00FE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4B73D2"/>
    <w:pPr>
      <w:bidi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B7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3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766F3B"/>
  </w:style>
  <w:style w:type="character" w:styleId="CommentReference">
    <w:name w:val="annotation reference"/>
    <w:basedOn w:val="DefaultParagraphFont"/>
    <w:uiPriority w:val="99"/>
    <w:semiHidden/>
    <w:unhideWhenUsed/>
    <w:rsid w:val="00F87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0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0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0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Noiser\Desktop\&#1580;&#1608;&#1575;&#1606;&#1607;%20&#1586;&#1606;&#1610;%20&#1578;&#1585;&#1575;&#1603;&#1605;&#1610;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plotArea>
      <c:layout>
        <c:manualLayout>
          <c:layoutTarget val="inner"/>
          <c:xMode val="edge"/>
          <c:yMode val="edge"/>
          <c:x val="0.13129045481890825"/>
          <c:y val="3.554170946023074E-2"/>
          <c:w val="0.83664604286006705"/>
          <c:h val="0.786492232477633"/>
        </c:manualLayout>
      </c:layout>
      <c:lineChart>
        <c:grouping val="standard"/>
        <c:ser>
          <c:idx val="0"/>
          <c:order val="0"/>
          <c:tx>
            <c:strRef>
              <c:f>Sheet5!$E$6</c:f>
              <c:strCache>
                <c:ptCount val="1"/>
                <c:pt idx="0">
                  <c:v>100 mM</c:v>
                </c:pt>
              </c:strCache>
            </c:strRef>
          </c:tx>
          <c:marker>
            <c:symbol val="diamond"/>
            <c:size val="7"/>
            <c:spPr>
              <a:solidFill>
                <a:schemeClr val="bg1">
                  <a:lumMod val="65000"/>
                </a:schemeClr>
              </a:solidFill>
            </c:spPr>
          </c:marker>
          <c:cat>
            <c:numRef>
              <c:f>Sheet5!$F$5:$AI$5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Sheet5!$F$6:$AI$6</c:f>
              <c:numCache>
                <c:formatCode>General</c:formatCode>
                <c:ptCount val="30"/>
                <c:pt idx="6">
                  <c:v>0.25</c:v>
                </c:pt>
                <c:pt idx="7">
                  <c:v>0.5</c:v>
                </c:pt>
                <c:pt idx="8">
                  <c:v>1</c:v>
                </c:pt>
                <c:pt idx="9">
                  <c:v>1</c:v>
                </c:pt>
                <c:pt idx="10">
                  <c:v>1.7500000000000069</c:v>
                </c:pt>
                <c:pt idx="11">
                  <c:v>2.25</c:v>
                </c:pt>
                <c:pt idx="12">
                  <c:v>2.75</c:v>
                </c:pt>
                <c:pt idx="13">
                  <c:v>2.75</c:v>
                </c:pt>
                <c:pt idx="14">
                  <c:v>3.25</c:v>
                </c:pt>
                <c:pt idx="15">
                  <c:v>3.5</c:v>
                </c:pt>
                <c:pt idx="16">
                  <c:v>3.75</c:v>
                </c:pt>
                <c:pt idx="17">
                  <c:v>4.25</c:v>
                </c:pt>
                <c:pt idx="18">
                  <c:v>4.5</c:v>
                </c:pt>
                <c:pt idx="19">
                  <c:v>5.25</c:v>
                </c:pt>
                <c:pt idx="20">
                  <c:v>5.5</c:v>
                </c:pt>
                <c:pt idx="21">
                  <c:v>6</c:v>
                </c:pt>
                <c:pt idx="22">
                  <c:v>6.25</c:v>
                </c:pt>
                <c:pt idx="23">
                  <c:v>6.5</c:v>
                </c:pt>
                <c:pt idx="24">
                  <c:v>6.75</c:v>
                </c:pt>
                <c:pt idx="25">
                  <c:v>7.25</c:v>
                </c:pt>
                <c:pt idx="26">
                  <c:v>7.75</c:v>
                </c:pt>
                <c:pt idx="27">
                  <c:v>8.25</c:v>
                </c:pt>
                <c:pt idx="28">
                  <c:v>8.75</c:v>
                </c:pt>
                <c:pt idx="29">
                  <c:v>9.5</c:v>
                </c:pt>
              </c:numCache>
            </c:numRef>
          </c:val>
        </c:ser>
        <c:ser>
          <c:idx val="1"/>
          <c:order val="1"/>
          <c:tx>
            <c:strRef>
              <c:f>Sheet5!$E$7</c:f>
              <c:strCache>
                <c:ptCount val="1"/>
                <c:pt idx="0">
                  <c:v>250 mM</c:v>
                </c:pt>
              </c:strCache>
            </c:strRef>
          </c:tx>
          <c:marker>
            <c:symbol val="square"/>
            <c:size val="7"/>
            <c:spPr>
              <a:solidFill>
                <a:schemeClr val="tx1"/>
              </a:solidFill>
            </c:spPr>
          </c:marker>
          <c:cat>
            <c:numRef>
              <c:f>Sheet5!$F$5:$AI$5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Sheet5!$F$7:$AI$7</c:f>
              <c:numCache>
                <c:formatCode>General</c:formatCode>
                <c:ptCount val="30"/>
                <c:pt idx="3">
                  <c:v>0.25</c:v>
                </c:pt>
                <c:pt idx="4">
                  <c:v>0.75000000000000799</c:v>
                </c:pt>
                <c:pt idx="5">
                  <c:v>1</c:v>
                </c:pt>
                <c:pt idx="6">
                  <c:v>1.25</c:v>
                </c:pt>
                <c:pt idx="7">
                  <c:v>1.7500000000000069</c:v>
                </c:pt>
                <c:pt idx="8">
                  <c:v>3.5</c:v>
                </c:pt>
                <c:pt idx="9">
                  <c:v>3.5</c:v>
                </c:pt>
                <c:pt idx="10">
                  <c:v>4.5</c:v>
                </c:pt>
                <c:pt idx="11">
                  <c:v>5.25</c:v>
                </c:pt>
                <c:pt idx="12">
                  <c:v>5.25</c:v>
                </c:pt>
                <c:pt idx="13">
                  <c:v>6.5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9.75</c:v>
                </c:pt>
                <c:pt idx="18">
                  <c:v>10.25</c:v>
                </c:pt>
                <c:pt idx="19">
                  <c:v>10.5</c:v>
                </c:pt>
                <c:pt idx="20">
                  <c:v>11.25</c:v>
                </c:pt>
                <c:pt idx="21">
                  <c:v>11.75</c:v>
                </c:pt>
                <c:pt idx="22">
                  <c:v>12.25</c:v>
                </c:pt>
                <c:pt idx="23">
                  <c:v>12.75</c:v>
                </c:pt>
                <c:pt idx="24">
                  <c:v>13</c:v>
                </c:pt>
                <c:pt idx="25">
                  <c:v>13.5</c:v>
                </c:pt>
                <c:pt idx="26">
                  <c:v>13.75</c:v>
                </c:pt>
                <c:pt idx="27">
                  <c:v>14.5</c:v>
                </c:pt>
                <c:pt idx="28">
                  <c:v>14.5</c:v>
                </c:pt>
                <c:pt idx="29">
                  <c:v>15.25</c:v>
                </c:pt>
              </c:numCache>
            </c:numRef>
          </c:val>
        </c:ser>
        <c:ser>
          <c:idx val="2"/>
          <c:order val="2"/>
          <c:tx>
            <c:strRef>
              <c:f>Sheet5!$E$8</c:f>
              <c:strCache>
                <c:ptCount val="1"/>
                <c:pt idx="0">
                  <c:v>500 mM</c:v>
                </c:pt>
              </c:strCache>
            </c:strRef>
          </c:tx>
          <c:marker>
            <c:symbol val="triangle"/>
            <c:size val="7"/>
            <c:spPr>
              <a:solidFill>
                <a:schemeClr val="bg1"/>
              </a:solidFill>
            </c:spPr>
          </c:marker>
          <c:cat>
            <c:numRef>
              <c:f>Sheet5!$F$5:$AI$5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Sheet5!$F$8:$AI$8</c:f>
              <c:numCache>
                <c:formatCode>General</c:formatCode>
                <c:ptCount val="30"/>
                <c:pt idx="3">
                  <c:v>0.75000000000000799</c:v>
                </c:pt>
                <c:pt idx="4">
                  <c:v>1</c:v>
                </c:pt>
                <c:pt idx="5">
                  <c:v>1.7500000000000069</c:v>
                </c:pt>
                <c:pt idx="6">
                  <c:v>2.25</c:v>
                </c:pt>
                <c:pt idx="7">
                  <c:v>2.75</c:v>
                </c:pt>
                <c:pt idx="8">
                  <c:v>3.25</c:v>
                </c:pt>
                <c:pt idx="9">
                  <c:v>4</c:v>
                </c:pt>
                <c:pt idx="10">
                  <c:v>5.5</c:v>
                </c:pt>
                <c:pt idx="11">
                  <c:v>6</c:v>
                </c:pt>
                <c:pt idx="12">
                  <c:v>6.75</c:v>
                </c:pt>
                <c:pt idx="13">
                  <c:v>7.75</c:v>
                </c:pt>
                <c:pt idx="14">
                  <c:v>8.5</c:v>
                </c:pt>
                <c:pt idx="15">
                  <c:v>8.75</c:v>
                </c:pt>
                <c:pt idx="16">
                  <c:v>9.5</c:v>
                </c:pt>
                <c:pt idx="17">
                  <c:v>10.75</c:v>
                </c:pt>
                <c:pt idx="18">
                  <c:v>11.75</c:v>
                </c:pt>
                <c:pt idx="19">
                  <c:v>12.75</c:v>
                </c:pt>
                <c:pt idx="20">
                  <c:v>13</c:v>
                </c:pt>
                <c:pt idx="21">
                  <c:v>13.75</c:v>
                </c:pt>
                <c:pt idx="22">
                  <c:v>14</c:v>
                </c:pt>
                <c:pt idx="23">
                  <c:v>14.25</c:v>
                </c:pt>
                <c:pt idx="24">
                  <c:v>15.25</c:v>
                </c:pt>
                <c:pt idx="25">
                  <c:v>16</c:v>
                </c:pt>
                <c:pt idx="26">
                  <c:v>16.5</c:v>
                </c:pt>
                <c:pt idx="27">
                  <c:v>17</c:v>
                </c:pt>
                <c:pt idx="28">
                  <c:v>17.25</c:v>
                </c:pt>
                <c:pt idx="29">
                  <c:v>17.25</c:v>
                </c:pt>
              </c:numCache>
            </c:numRef>
          </c:val>
        </c:ser>
        <c:ser>
          <c:idx val="3"/>
          <c:order val="3"/>
          <c:tx>
            <c:strRef>
              <c:f>Sheet5!$E$9</c:f>
              <c:strCache>
                <c:ptCount val="1"/>
                <c:pt idx="0">
                  <c:v>750 mM</c:v>
                </c:pt>
              </c:strCache>
            </c:strRef>
          </c:tx>
          <c:marker>
            <c:symbol val="star"/>
            <c:size val="7"/>
            <c:spPr>
              <a:solidFill>
                <a:schemeClr val="bg1"/>
              </a:solidFill>
            </c:spPr>
          </c:marker>
          <c:cat>
            <c:numRef>
              <c:f>Sheet5!$F$5:$AI$5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Sheet5!$F$9:$AI$9</c:f>
              <c:numCache>
                <c:formatCode>General</c:formatCode>
                <c:ptCount val="30"/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2.75</c:v>
                </c:pt>
                <c:pt idx="7">
                  <c:v>3.5</c:v>
                </c:pt>
                <c:pt idx="8">
                  <c:v>5</c:v>
                </c:pt>
                <c:pt idx="9">
                  <c:v>5.75</c:v>
                </c:pt>
                <c:pt idx="10">
                  <c:v>7.75</c:v>
                </c:pt>
                <c:pt idx="11">
                  <c:v>8.5</c:v>
                </c:pt>
                <c:pt idx="12">
                  <c:v>9.25</c:v>
                </c:pt>
                <c:pt idx="13">
                  <c:v>10.5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15.5</c:v>
                </c:pt>
                <c:pt idx="19">
                  <c:v>15.75</c:v>
                </c:pt>
                <c:pt idx="20">
                  <c:v>16.25</c:v>
                </c:pt>
                <c:pt idx="21">
                  <c:v>16.5</c:v>
                </c:pt>
                <c:pt idx="22">
                  <c:v>16.75</c:v>
                </c:pt>
                <c:pt idx="23">
                  <c:v>17.25</c:v>
                </c:pt>
                <c:pt idx="24">
                  <c:v>17.75</c:v>
                </c:pt>
                <c:pt idx="25">
                  <c:v>18.25</c:v>
                </c:pt>
                <c:pt idx="26">
                  <c:v>18.25</c:v>
                </c:pt>
                <c:pt idx="27">
                  <c:v>18.25</c:v>
                </c:pt>
                <c:pt idx="28">
                  <c:v>18.25</c:v>
                </c:pt>
                <c:pt idx="29">
                  <c:v>18.25</c:v>
                </c:pt>
              </c:numCache>
            </c:numRef>
          </c:val>
        </c:ser>
        <c:ser>
          <c:idx val="4"/>
          <c:order val="4"/>
          <c:tx>
            <c:strRef>
              <c:f>Sheet5!$E$10</c:f>
              <c:strCache>
                <c:ptCount val="1"/>
                <c:pt idx="0">
                  <c:v>Control</c:v>
                </c:pt>
              </c:strCache>
            </c:strRef>
          </c:tx>
          <c:marker>
            <c:symbol val="circle"/>
            <c:size val="7"/>
            <c:spPr>
              <a:solidFill>
                <a:schemeClr val="tx1"/>
              </a:solidFill>
            </c:spPr>
          </c:marker>
          <c:cat>
            <c:numRef>
              <c:f>Sheet5!$F$5:$AI$5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Sheet5!$F$10:$AI$10</c:f>
              <c:numCache>
                <c:formatCode>General</c:formatCode>
                <c:ptCount val="30"/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  <c:pt idx="12">
                  <c:v>1</c:v>
                </c:pt>
                <c:pt idx="13">
                  <c:v>1.5</c:v>
                </c:pt>
                <c:pt idx="14">
                  <c:v>1.7500000000000069</c:v>
                </c:pt>
                <c:pt idx="15">
                  <c:v>2.25</c:v>
                </c:pt>
                <c:pt idx="16">
                  <c:v>1.7500000000000069</c:v>
                </c:pt>
                <c:pt idx="17">
                  <c:v>2.25</c:v>
                </c:pt>
                <c:pt idx="18">
                  <c:v>2.25</c:v>
                </c:pt>
                <c:pt idx="19">
                  <c:v>2.25</c:v>
                </c:pt>
                <c:pt idx="20">
                  <c:v>2.25</c:v>
                </c:pt>
                <c:pt idx="21">
                  <c:v>2.5</c:v>
                </c:pt>
                <c:pt idx="22">
                  <c:v>2.75</c:v>
                </c:pt>
                <c:pt idx="23">
                  <c:v>2.75</c:v>
                </c:pt>
                <c:pt idx="24">
                  <c:v>3</c:v>
                </c:pt>
                <c:pt idx="25">
                  <c:v>3</c:v>
                </c:pt>
                <c:pt idx="26">
                  <c:v>3.5</c:v>
                </c:pt>
                <c:pt idx="27">
                  <c:v>3.5</c:v>
                </c:pt>
                <c:pt idx="28">
                  <c:v>3.75</c:v>
                </c:pt>
                <c:pt idx="29">
                  <c:v>4.25</c:v>
                </c:pt>
              </c:numCache>
            </c:numRef>
          </c:val>
        </c:ser>
        <c:marker val="1"/>
        <c:axId val="103975552"/>
        <c:axId val="106115456"/>
      </c:lineChart>
      <c:catAx>
        <c:axId val="103975552"/>
        <c:scaling>
          <c:orientation val="minMax"/>
        </c:scaling>
        <c:axPos val="b"/>
        <c:numFmt formatCode="General" sourceLinked="1"/>
        <c:tickLblPos val="nextTo"/>
        <c:crossAx val="106115456"/>
        <c:crosses val="autoZero"/>
        <c:auto val="1"/>
        <c:lblAlgn val="ctr"/>
        <c:lblOffset val="100"/>
        <c:tickLblSkip val="2"/>
        <c:tickMarkSkip val="2"/>
      </c:catAx>
      <c:valAx>
        <c:axId val="106115456"/>
        <c:scaling>
          <c:orientation val="minMax"/>
        </c:scaling>
        <c:axPos val="l"/>
        <c:numFmt formatCode="General" sourceLinked="1"/>
        <c:tickLblPos val="nextTo"/>
        <c:crossAx val="103975552"/>
        <c:crosses val="autoZero"/>
        <c:crossBetween val="between"/>
        <c:majorUnit val="2"/>
      </c:valAx>
    </c:plotArea>
    <c:legend>
      <c:legendPos val="t"/>
      <c:layout>
        <c:manualLayout>
          <c:xMode val="edge"/>
          <c:yMode val="edge"/>
          <c:x val="0.132924118685908"/>
          <c:y val="2.406813434035018E-2"/>
          <c:w val="0.71014899159910438"/>
          <c:h val="4.8512165166924887E-2"/>
        </c:manualLayout>
      </c:layout>
    </c:legend>
    <c:plotVisOnly val="1"/>
    <c:dispBlanksAs val="gap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0.08176</cdr:x>
      <cdr:y>0.86109</cdr:y>
    </cdr:to>
    <cdr:sp macro="" textlink="">
      <cdr:nvSpPr>
        <cdr:cNvPr id="3" name="TextBox 3"/>
        <cdr:cNvSpPr txBox="1"/>
      </cdr:nvSpPr>
      <cdr:spPr>
        <a:xfrm xmlns:a="http://schemas.openxmlformats.org/drawingml/2006/main" rot="16200000">
          <a:off x="-812531" y="812530"/>
          <a:ext cx="2044161" cy="419100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9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mean accumulated germination </a:t>
          </a:r>
        </a:p>
        <a:p xmlns:a="http://schemas.openxmlformats.org/drawingml/2006/main">
          <a:pPr algn="ctr"/>
          <a:r>
            <a:rPr lang="en-US" sz="9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(number of germinated</a:t>
          </a:r>
          <a:r>
            <a:rPr lang="en-US" sz="900" baseline="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 seed</a:t>
          </a:r>
          <a:r>
            <a:rPr lang="en-US" sz="900">
              <a:solidFill>
                <a:sysClr val="windowText" lastClr="000000"/>
              </a:solidFill>
              <a:latin typeface="Times New Roman" pitchFamily="18" charset="0"/>
              <a:ea typeface="+mn-ea"/>
              <a:cs typeface="Times New Roman" pitchFamily="18" charset="0"/>
            </a:rPr>
            <a:t>)</a:t>
          </a:r>
          <a:endParaRPr lang="en-US" sz="9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0.28071</cdr:x>
      <cdr:y>0.90099</cdr:y>
    </cdr:from>
    <cdr:to>
      <cdr:x>0.68374</cdr:x>
      <cdr:y>0.97045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438896" y="2138870"/>
          <a:ext cx="2065897" cy="1648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900">
              <a:latin typeface="Times New Roman" pitchFamily="18" charset="0"/>
              <a:ea typeface="+mn-ea"/>
              <a:cs typeface="Times New Roman" pitchFamily="18" charset="0"/>
            </a:rPr>
            <a:t>days after sown (day)</a:t>
          </a:r>
          <a:endParaRPr lang="en-US" sz="9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0.77158</cdr:x>
      <cdr:y>0</cdr:y>
    </cdr:from>
    <cdr:to>
      <cdr:x>0.90023</cdr:x>
      <cdr:y>0.08889</cdr:y>
    </cdr:to>
    <cdr:sp macro="" textlink="">
      <cdr:nvSpPr>
        <cdr:cNvPr id="5" name="Rectangle 4"/>
        <cdr:cNvSpPr/>
      </cdr:nvSpPr>
      <cdr:spPr>
        <a:xfrm xmlns:a="http://schemas.openxmlformats.org/drawingml/2006/main">
          <a:off x="3955072" y="0"/>
          <a:ext cx="659424" cy="211014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800">
              <a:solidFill>
                <a:sysClr val="windowText" lastClr="000000"/>
              </a:solidFill>
            </a:rPr>
            <a:t>unprimed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SePiDeH</cp:lastModifiedBy>
  <cp:revision>6</cp:revision>
  <dcterms:created xsi:type="dcterms:W3CDTF">2013-09-12T20:06:00Z</dcterms:created>
  <dcterms:modified xsi:type="dcterms:W3CDTF">2013-09-14T16:40:00Z</dcterms:modified>
</cp:coreProperties>
</file>