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BC" w:rsidRDefault="002F29BC" w:rsidP="002F29BC">
      <w:pPr>
        <w:ind w:firstLine="720"/>
      </w:pPr>
      <w:r w:rsidRPr="00766F3B">
        <w:rPr>
          <w:noProof/>
        </w:rPr>
        <w:drawing>
          <wp:inline distT="0" distB="0" distL="0" distR="0">
            <wp:extent cx="4943475" cy="240982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F29BC" w:rsidRDefault="002F29BC" w:rsidP="002F29BC">
      <w:pPr>
        <w:spacing w:after="0" w:line="240" w:lineRule="auto"/>
        <w:jc w:val="center"/>
        <w:rPr>
          <w:rStyle w:val="hps"/>
          <w:rFonts w:asciiTheme="majorBidi" w:hAnsiTheme="majorBidi" w:cstheme="majorBidi"/>
          <w:i/>
          <w:iCs/>
          <w:sz w:val="20"/>
          <w:szCs w:val="20"/>
        </w:rPr>
      </w:pPr>
    </w:p>
    <w:p w:rsidR="002F29BC" w:rsidRDefault="002F29BC" w:rsidP="002F29BC">
      <w:pPr>
        <w:spacing w:after="0" w:line="240" w:lineRule="auto"/>
        <w:jc w:val="center"/>
        <w:rPr>
          <w:rStyle w:val="hps"/>
        </w:rPr>
      </w:pPr>
      <w:r>
        <w:rPr>
          <w:rStyle w:val="hps"/>
          <w:rFonts w:asciiTheme="majorBidi" w:hAnsiTheme="majorBidi" w:cstheme="majorBidi"/>
          <w:sz w:val="20"/>
          <w:szCs w:val="20"/>
        </w:rPr>
        <w:t>Figure</w:t>
      </w:r>
      <w:r w:rsidRPr="00981FDD">
        <w:rPr>
          <w:rStyle w:val="hps"/>
          <w:rFonts w:asciiTheme="majorBidi" w:hAnsiTheme="majorBidi" w:cstheme="majorBidi"/>
          <w:sz w:val="20"/>
          <w:szCs w:val="20"/>
        </w:rPr>
        <w:t xml:space="preserve"> 2- </w:t>
      </w:r>
      <w:r>
        <w:rPr>
          <w:rStyle w:val="hps"/>
          <w:rFonts w:asciiTheme="majorBidi" w:hAnsiTheme="majorBidi" w:cstheme="majorBidi"/>
          <w:sz w:val="20"/>
          <w:szCs w:val="20"/>
        </w:rPr>
        <w:t>Effects of various concentrations of KNO</w:t>
      </w:r>
      <w:r w:rsidRPr="00117D0A">
        <w:rPr>
          <w:rStyle w:val="hps"/>
          <w:rFonts w:asciiTheme="majorBidi" w:hAnsiTheme="majorBidi" w:cstheme="majorBidi"/>
          <w:sz w:val="20"/>
          <w:szCs w:val="20"/>
          <w:vertAlign w:val="subscript"/>
        </w:rPr>
        <w:t>3</w:t>
      </w:r>
      <w:r>
        <w:rPr>
          <w:rStyle w:val="hps"/>
          <w:rFonts w:asciiTheme="majorBidi" w:hAnsiTheme="majorBidi" w:cstheme="majorBidi"/>
          <w:sz w:val="20"/>
          <w:szCs w:val="20"/>
        </w:rPr>
        <w:t xml:space="preserve"> under seedling emergence of </w:t>
      </w:r>
      <w:r w:rsidRPr="00865D68">
        <w:rPr>
          <w:rFonts w:asciiTheme="majorBidi" w:hAnsiTheme="majorBidi" w:cstheme="majorBidi"/>
          <w:sz w:val="20"/>
          <w:szCs w:val="20"/>
        </w:rPr>
        <w:t>Judas tree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65D68">
        <w:rPr>
          <w:rFonts w:asciiTheme="majorBidi" w:hAnsiTheme="majorBidi" w:cstheme="majorBidi"/>
          <w:sz w:val="20"/>
          <w:szCs w:val="20"/>
        </w:rPr>
        <w:t>(</w:t>
      </w:r>
      <w:r w:rsidRPr="00865D68">
        <w:rPr>
          <w:rFonts w:asciiTheme="majorBidi" w:hAnsiTheme="majorBidi" w:cstheme="majorBidi"/>
          <w:i/>
          <w:iCs/>
          <w:sz w:val="20"/>
          <w:szCs w:val="20"/>
        </w:rPr>
        <w:t>Cercis siliquastrum</w:t>
      </w:r>
      <w:r w:rsidRPr="00865D68">
        <w:rPr>
          <w:rFonts w:asciiTheme="majorBidi" w:hAnsiTheme="majorBidi" w:cstheme="majorBidi"/>
          <w:sz w:val="20"/>
          <w:szCs w:val="20"/>
        </w:rPr>
        <w:t xml:space="preserve"> L.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05924">
        <w:rPr>
          <w:rFonts w:asciiTheme="majorBidi" w:hAnsiTheme="majorBidi" w:cstheme="majorBidi"/>
          <w:sz w:val="20"/>
          <w:szCs w:val="20"/>
        </w:rPr>
        <w:t>Caesalpiniaceae</w:t>
      </w:r>
      <w:r w:rsidRPr="00865D68"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 seed obtained from </w:t>
      </w:r>
      <w:r w:rsidRPr="00865D68">
        <w:rPr>
          <w:rFonts w:asciiTheme="majorBidi" w:hAnsiTheme="majorBidi" w:cstheme="majorBidi"/>
          <w:sz w:val="20"/>
          <w:szCs w:val="20"/>
        </w:rPr>
        <w:t>from</w:t>
      </w:r>
      <w:r>
        <w:rPr>
          <w:rFonts w:asciiTheme="majorBidi" w:hAnsiTheme="majorBidi" w:cstheme="majorBidi"/>
          <w:sz w:val="20"/>
          <w:szCs w:val="20"/>
        </w:rPr>
        <w:t xml:space="preserve"> Zanjan (Iran) in 2012</w:t>
      </w:r>
    </w:p>
    <w:p w:rsidR="00C6721B" w:rsidRDefault="00C6721B"/>
    <w:sectPr w:rsidR="00C6721B" w:rsidSect="00C6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2F29BC"/>
    <w:rsid w:val="00000FC5"/>
    <w:rsid w:val="0000183C"/>
    <w:rsid w:val="00004A03"/>
    <w:rsid w:val="00004FF8"/>
    <w:rsid w:val="000062CC"/>
    <w:rsid w:val="000103E6"/>
    <w:rsid w:val="00011FFD"/>
    <w:rsid w:val="0001399C"/>
    <w:rsid w:val="00014A53"/>
    <w:rsid w:val="00015CD2"/>
    <w:rsid w:val="0001773D"/>
    <w:rsid w:val="00017A80"/>
    <w:rsid w:val="00017E45"/>
    <w:rsid w:val="000216CE"/>
    <w:rsid w:val="000217E4"/>
    <w:rsid w:val="00022546"/>
    <w:rsid w:val="00023105"/>
    <w:rsid w:val="000252C1"/>
    <w:rsid w:val="0002616F"/>
    <w:rsid w:val="0002627E"/>
    <w:rsid w:val="00026AAB"/>
    <w:rsid w:val="00026C1A"/>
    <w:rsid w:val="00027E26"/>
    <w:rsid w:val="00030953"/>
    <w:rsid w:val="0003296F"/>
    <w:rsid w:val="0003367F"/>
    <w:rsid w:val="000359D5"/>
    <w:rsid w:val="000370E4"/>
    <w:rsid w:val="00037D60"/>
    <w:rsid w:val="00043CE1"/>
    <w:rsid w:val="00044480"/>
    <w:rsid w:val="0004463E"/>
    <w:rsid w:val="000446BC"/>
    <w:rsid w:val="000502E8"/>
    <w:rsid w:val="000511F3"/>
    <w:rsid w:val="0005227B"/>
    <w:rsid w:val="0005388A"/>
    <w:rsid w:val="00053D67"/>
    <w:rsid w:val="00056EF5"/>
    <w:rsid w:val="0006101B"/>
    <w:rsid w:val="00061B03"/>
    <w:rsid w:val="00062F91"/>
    <w:rsid w:val="0006564C"/>
    <w:rsid w:val="0007152D"/>
    <w:rsid w:val="000719AD"/>
    <w:rsid w:val="00072518"/>
    <w:rsid w:val="00073D8F"/>
    <w:rsid w:val="0007425D"/>
    <w:rsid w:val="0007437D"/>
    <w:rsid w:val="000757FE"/>
    <w:rsid w:val="000759C1"/>
    <w:rsid w:val="00075CFE"/>
    <w:rsid w:val="00080B0B"/>
    <w:rsid w:val="00085599"/>
    <w:rsid w:val="00086160"/>
    <w:rsid w:val="00090333"/>
    <w:rsid w:val="00090442"/>
    <w:rsid w:val="000936BF"/>
    <w:rsid w:val="0009373A"/>
    <w:rsid w:val="0009406F"/>
    <w:rsid w:val="000A0AEE"/>
    <w:rsid w:val="000A17CB"/>
    <w:rsid w:val="000A19D7"/>
    <w:rsid w:val="000A1B11"/>
    <w:rsid w:val="000A52F5"/>
    <w:rsid w:val="000A57F3"/>
    <w:rsid w:val="000A7C17"/>
    <w:rsid w:val="000B0791"/>
    <w:rsid w:val="000B2A97"/>
    <w:rsid w:val="000B37B6"/>
    <w:rsid w:val="000B42B6"/>
    <w:rsid w:val="000B71E2"/>
    <w:rsid w:val="000C145F"/>
    <w:rsid w:val="000C4731"/>
    <w:rsid w:val="000C6F1F"/>
    <w:rsid w:val="000C70AB"/>
    <w:rsid w:val="000D05C2"/>
    <w:rsid w:val="000D181E"/>
    <w:rsid w:val="000D2527"/>
    <w:rsid w:val="000E01D8"/>
    <w:rsid w:val="000E122C"/>
    <w:rsid w:val="000E1631"/>
    <w:rsid w:val="000E7CE1"/>
    <w:rsid w:val="000F2077"/>
    <w:rsid w:val="000F342F"/>
    <w:rsid w:val="000F3597"/>
    <w:rsid w:val="000F5FEE"/>
    <w:rsid w:val="0010237B"/>
    <w:rsid w:val="00106966"/>
    <w:rsid w:val="00111DF8"/>
    <w:rsid w:val="001158C3"/>
    <w:rsid w:val="001175BA"/>
    <w:rsid w:val="00120ED6"/>
    <w:rsid w:val="00121786"/>
    <w:rsid w:val="00127FA1"/>
    <w:rsid w:val="001302A1"/>
    <w:rsid w:val="00130B77"/>
    <w:rsid w:val="00133A56"/>
    <w:rsid w:val="001341CD"/>
    <w:rsid w:val="001378E6"/>
    <w:rsid w:val="0014032A"/>
    <w:rsid w:val="00140FBF"/>
    <w:rsid w:val="0014229A"/>
    <w:rsid w:val="001433BC"/>
    <w:rsid w:val="0015217D"/>
    <w:rsid w:val="001534BE"/>
    <w:rsid w:val="001535DF"/>
    <w:rsid w:val="00156DF3"/>
    <w:rsid w:val="00157917"/>
    <w:rsid w:val="00160D4C"/>
    <w:rsid w:val="00163319"/>
    <w:rsid w:val="00164041"/>
    <w:rsid w:val="00170A8B"/>
    <w:rsid w:val="00172D5F"/>
    <w:rsid w:val="00173375"/>
    <w:rsid w:val="00181AE9"/>
    <w:rsid w:val="00182063"/>
    <w:rsid w:val="0018421B"/>
    <w:rsid w:val="00184C71"/>
    <w:rsid w:val="00186584"/>
    <w:rsid w:val="00187A70"/>
    <w:rsid w:val="00192022"/>
    <w:rsid w:val="00192968"/>
    <w:rsid w:val="00194567"/>
    <w:rsid w:val="001951AF"/>
    <w:rsid w:val="00195C50"/>
    <w:rsid w:val="001A090C"/>
    <w:rsid w:val="001A2247"/>
    <w:rsid w:val="001A4B76"/>
    <w:rsid w:val="001A7B55"/>
    <w:rsid w:val="001B1AA9"/>
    <w:rsid w:val="001B602E"/>
    <w:rsid w:val="001B682B"/>
    <w:rsid w:val="001B69D8"/>
    <w:rsid w:val="001C4824"/>
    <w:rsid w:val="001C6939"/>
    <w:rsid w:val="001D267B"/>
    <w:rsid w:val="001D2AE2"/>
    <w:rsid w:val="001D34BA"/>
    <w:rsid w:val="001D390E"/>
    <w:rsid w:val="001D66F0"/>
    <w:rsid w:val="001D70FC"/>
    <w:rsid w:val="001D723F"/>
    <w:rsid w:val="001E06D4"/>
    <w:rsid w:val="001E0F75"/>
    <w:rsid w:val="001E14A9"/>
    <w:rsid w:val="001E48D2"/>
    <w:rsid w:val="001E5F0B"/>
    <w:rsid w:val="001E70E0"/>
    <w:rsid w:val="001F09C1"/>
    <w:rsid w:val="001F21B9"/>
    <w:rsid w:val="001F2213"/>
    <w:rsid w:val="001F35EA"/>
    <w:rsid w:val="001F369C"/>
    <w:rsid w:val="001F3BFC"/>
    <w:rsid w:val="001F4B98"/>
    <w:rsid w:val="001F6BE4"/>
    <w:rsid w:val="001F6ED2"/>
    <w:rsid w:val="0020112E"/>
    <w:rsid w:val="00203131"/>
    <w:rsid w:val="0020560C"/>
    <w:rsid w:val="00207800"/>
    <w:rsid w:val="002117BC"/>
    <w:rsid w:val="002129D0"/>
    <w:rsid w:val="00217E57"/>
    <w:rsid w:val="00220AE7"/>
    <w:rsid w:val="00221FDC"/>
    <w:rsid w:val="00224A0E"/>
    <w:rsid w:val="0022624F"/>
    <w:rsid w:val="00230473"/>
    <w:rsid w:val="0023179C"/>
    <w:rsid w:val="00232F81"/>
    <w:rsid w:val="0024028A"/>
    <w:rsid w:val="00240479"/>
    <w:rsid w:val="0024211C"/>
    <w:rsid w:val="00242DED"/>
    <w:rsid w:val="002448C0"/>
    <w:rsid w:val="00250F8B"/>
    <w:rsid w:val="00255D67"/>
    <w:rsid w:val="0025645B"/>
    <w:rsid w:val="00260AF6"/>
    <w:rsid w:val="002613D0"/>
    <w:rsid w:val="002621F7"/>
    <w:rsid w:val="00264B8E"/>
    <w:rsid w:val="00266829"/>
    <w:rsid w:val="002701E7"/>
    <w:rsid w:val="00271290"/>
    <w:rsid w:val="002726DA"/>
    <w:rsid w:val="002756D2"/>
    <w:rsid w:val="0027753B"/>
    <w:rsid w:val="00277C09"/>
    <w:rsid w:val="00277ED2"/>
    <w:rsid w:val="00281EA8"/>
    <w:rsid w:val="00281F83"/>
    <w:rsid w:val="002853FB"/>
    <w:rsid w:val="00285744"/>
    <w:rsid w:val="0028646D"/>
    <w:rsid w:val="0028731C"/>
    <w:rsid w:val="00291F7F"/>
    <w:rsid w:val="0029468F"/>
    <w:rsid w:val="002956F7"/>
    <w:rsid w:val="002A129F"/>
    <w:rsid w:val="002A6B35"/>
    <w:rsid w:val="002A6B46"/>
    <w:rsid w:val="002B069D"/>
    <w:rsid w:val="002B4EB5"/>
    <w:rsid w:val="002B501C"/>
    <w:rsid w:val="002B6480"/>
    <w:rsid w:val="002B64A5"/>
    <w:rsid w:val="002C236F"/>
    <w:rsid w:val="002C31FB"/>
    <w:rsid w:val="002C4695"/>
    <w:rsid w:val="002C5028"/>
    <w:rsid w:val="002C689F"/>
    <w:rsid w:val="002C7123"/>
    <w:rsid w:val="002C7276"/>
    <w:rsid w:val="002E4118"/>
    <w:rsid w:val="002E4836"/>
    <w:rsid w:val="002F0A97"/>
    <w:rsid w:val="002F29BC"/>
    <w:rsid w:val="002F3546"/>
    <w:rsid w:val="002F3D52"/>
    <w:rsid w:val="002F3F38"/>
    <w:rsid w:val="002F53CF"/>
    <w:rsid w:val="00300391"/>
    <w:rsid w:val="00303C1A"/>
    <w:rsid w:val="00304F27"/>
    <w:rsid w:val="00305689"/>
    <w:rsid w:val="00307215"/>
    <w:rsid w:val="003078A7"/>
    <w:rsid w:val="00311FFD"/>
    <w:rsid w:val="00317667"/>
    <w:rsid w:val="003207DB"/>
    <w:rsid w:val="0032539A"/>
    <w:rsid w:val="0033158D"/>
    <w:rsid w:val="0033165E"/>
    <w:rsid w:val="0033630D"/>
    <w:rsid w:val="00341239"/>
    <w:rsid w:val="003479C9"/>
    <w:rsid w:val="00355A41"/>
    <w:rsid w:val="00361567"/>
    <w:rsid w:val="003619F2"/>
    <w:rsid w:val="00364E01"/>
    <w:rsid w:val="003677C3"/>
    <w:rsid w:val="0037177B"/>
    <w:rsid w:val="00372296"/>
    <w:rsid w:val="00373A50"/>
    <w:rsid w:val="0037617B"/>
    <w:rsid w:val="00384892"/>
    <w:rsid w:val="003903C5"/>
    <w:rsid w:val="00392988"/>
    <w:rsid w:val="00393334"/>
    <w:rsid w:val="00393D23"/>
    <w:rsid w:val="00393F3F"/>
    <w:rsid w:val="0039517C"/>
    <w:rsid w:val="0039746E"/>
    <w:rsid w:val="003A2102"/>
    <w:rsid w:val="003A2722"/>
    <w:rsid w:val="003A6B0D"/>
    <w:rsid w:val="003B19C6"/>
    <w:rsid w:val="003B2530"/>
    <w:rsid w:val="003B4244"/>
    <w:rsid w:val="003C0BA2"/>
    <w:rsid w:val="003C2117"/>
    <w:rsid w:val="003C25E8"/>
    <w:rsid w:val="003C3190"/>
    <w:rsid w:val="003C3D89"/>
    <w:rsid w:val="003C42AB"/>
    <w:rsid w:val="003C45C4"/>
    <w:rsid w:val="003D0788"/>
    <w:rsid w:val="003D0CDA"/>
    <w:rsid w:val="003D220C"/>
    <w:rsid w:val="003D3C3B"/>
    <w:rsid w:val="003D4733"/>
    <w:rsid w:val="003D502E"/>
    <w:rsid w:val="003D5C7B"/>
    <w:rsid w:val="003D5FAA"/>
    <w:rsid w:val="003D6712"/>
    <w:rsid w:val="003E017F"/>
    <w:rsid w:val="003E04A7"/>
    <w:rsid w:val="003E2456"/>
    <w:rsid w:val="003E2517"/>
    <w:rsid w:val="003E5DA8"/>
    <w:rsid w:val="003E7572"/>
    <w:rsid w:val="003F0763"/>
    <w:rsid w:val="003F5ED2"/>
    <w:rsid w:val="003F7B54"/>
    <w:rsid w:val="003F7EB2"/>
    <w:rsid w:val="004011CE"/>
    <w:rsid w:val="00404306"/>
    <w:rsid w:val="00411DFF"/>
    <w:rsid w:val="004171C7"/>
    <w:rsid w:val="004179A7"/>
    <w:rsid w:val="00420046"/>
    <w:rsid w:val="00421A0A"/>
    <w:rsid w:val="0042209D"/>
    <w:rsid w:val="00424EB5"/>
    <w:rsid w:val="004269AA"/>
    <w:rsid w:val="00435466"/>
    <w:rsid w:val="00437575"/>
    <w:rsid w:val="00440A68"/>
    <w:rsid w:val="004427E8"/>
    <w:rsid w:val="0044322E"/>
    <w:rsid w:val="004452F9"/>
    <w:rsid w:val="0045038B"/>
    <w:rsid w:val="00450796"/>
    <w:rsid w:val="0045081D"/>
    <w:rsid w:val="004530F5"/>
    <w:rsid w:val="004543E6"/>
    <w:rsid w:val="0045626F"/>
    <w:rsid w:val="004601EF"/>
    <w:rsid w:val="00460EC9"/>
    <w:rsid w:val="0046596B"/>
    <w:rsid w:val="00471881"/>
    <w:rsid w:val="004732D0"/>
    <w:rsid w:val="00477750"/>
    <w:rsid w:val="00483AD4"/>
    <w:rsid w:val="004845F8"/>
    <w:rsid w:val="0048603C"/>
    <w:rsid w:val="00490220"/>
    <w:rsid w:val="00490B00"/>
    <w:rsid w:val="0049134C"/>
    <w:rsid w:val="004913F4"/>
    <w:rsid w:val="0049147B"/>
    <w:rsid w:val="004925F6"/>
    <w:rsid w:val="00496464"/>
    <w:rsid w:val="004979C3"/>
    <w:rsid w:val="004A1E22"/>
    <w:rsid w:val="004A2B50"/>
    <w:rsid w:val="004A345D"/>
    <w:rsid w:val="004A47DC"/>
    <w:rsid w:val="004A5501"/>
    <w:rsid w:val="004A5B12"/>
    <w:rsid w:val="004A7598"/>
    <w:rsid w:val="004B0283"/>
    <w:rsid w:val="004B1579"/>
    <w:rsid w:val="004B20FC"/>
    <w:rsid w:val="004B73D2"/>
    <w:rsid w:val="004C161B"/>
    <w:rsid w:val="004C303E"/>
    <w:rsid w:val="004C4894"/>
    <w:rsid w:val="004C51A2"/>
    <w:rsid w:val="004C630E"/>
    <w:rsid w:val="004C7C2A"/>
    <w:rsid w:val="004D1208"/>
    <w:rsid w:val="004D1EAE"/>
    <w:rsid w:val="004D683D"/>
    <w:rsid w:val="004D6D75"/>
    <w:rsid w:val="004D77C0"/>
    <w:rsid w:val="004D79DE"/>
    <w:rsid w:val="004E34AF"/>
    <w:rsid w:val="004E7FC3"/>
    <w:rsid w:val="004F0435"/>
    <w:rsid w:val="004F1317"/>
    <w:rsid w:val="004F18B0"/>
    <w:rsid w:val="004F3847"/>
    <w:rsid w:val="004F45FB"/>
    <w:rsid w:val="004F67E5"/>
    <w:rsid w:val="004F76F8"/>
    <w:rsid w:val="004F7B97"/>
    <w:rsid w:val="00501992"/>
    <w:rsid w:val="00504F91"/>
    <w:rsid w:val="00504FFE"/>
    <w:rsid w:val="00505DBF"/>
    <w:rsid w:val="00510554"/>
    <w:rsid w:val="00513DC5"/>
    <w:rsid w:val="005148F0"/>
    <w:rsid w:val="00517EE9"/>
    <w:rsid w:val="005217EA"/>
    <w:rsid w:val="00523843"/>
    <w:rsid w:val="0052409F"/>
    <w:rsid w:val="005247B3"/>
    <w:rsid w:val="00525096"/>
    <w:rsid w:val="0052758A"/>
    <w:rsid w:val="00527D76"/>
    <w:rsid w:val="00530A7B"/>
    <w:rsid w:val="0053435B"/>
    <w:rsid w:val="005378ED"/>
    <w:rsid w:val="00540EF9"/>
    <w:rsid w:val="005410C7"/>
    <w:rsid w:val="00541824"/>
    <w:rsid w:val="00542F44"/>
    <w:rsid w:val="00550D27"/>
    <w:rsid w:val="00553C76"/>
    <w:rsid w:val="00554918"/>
    <w:rsid w:val="00555BD1"/>
    <w:rsid w:val="00556C2C"/>
    <w:rsid w:val="00563542"/>
    <w:rsid w:val="005665C6"/>
    <w:rsid w:val="00573AEE"/>
    <w:rsid w:val="0057488B"/>
    <w:rsid w:val="0058110E"/>
    <w:rsid w:val="0058215F"/>
    <w:rsid w:val="00582E05"/>
    <w:rsid w:val="00585492"/>
    <w:rsid w:val="00587AD7"/>
    <w:rsid w:val="005916F4"/>
    <w:rsid w:val="0059195D"/>
    <w:rsid w:val="00592648"/>
    <w:rsid w:val="00592F2F"/>
    <w:rsid w:val="00592FEB"/>
    <w:rsid w:val="00595F6D"/>
    <w:rsid w:val="005964BA"/>
    <w:rsid w:val="00596A48"/>
    <w:rsid w:val="005971DB"/>
    <w:rsid w:val="005A1568"/>
    <w:rsid w:val="005A2DCC"/>
    <w:rsid w:val="005A6526"/>
    <w:rsid w:val="005B03F8"/>
    <w:rsid w:val="005B146D"/>
    <w:rsid w:val="005B3191"/>
    <w:rsid w:val="005B39AE"/>
    <w:rsid w:val="005B4CD4"/>
    <w:rsid w:val="005C6B91"/>
    <w:rsid w:val="005C7FC6"/>
    <w:rsid w:val="005D0063"/>
    <w:rsid w:val="005D1147"/>
    <w:rsid w:val="005D1E1F"/>
    <w:rsid w:val="005D5978"/>
    <w:rsid w:val="005D6EB1"/>
    <w:rsid w:val="005E1388"/>
    <w:rsid w:val="005E197D"/>
    <w:rsid w:val="005E3DBF"/>
    <w:rsid w:val="005E6AB9"/>
    <w:rsid w:val="005F040A"/>
    <w:rsid w:val="005F2851"/>
    <w:rsid w:val="005F3A6C"/>
    <w:rsid w:val="005F4BC3"/>
    <w:rsid w:val="005F4E0A"/>
    <w:rsid w:val="0060048B"/>
    <w:rsid w:val="00600E9F"/>
    <w:rsid w:val="006012AC"/>
    <w:rsid w:val="00601FD1"/>
    <w:rsid w:val="00613B12"/>
    <w:rsid w:val="00616360"/>
    <w:rsid w:val="006228AF"/>
    <w:rsid w:val="00622ED2"/>
    <w:rsid w:val="00625A47"/>
    <w:rsid w:val="0062771C"/>
    <w:rsid w:val="0063124D"/>
    <w:rsid w:val="00636FFD"/>
    <w:rsid w:val="00641469"/>
    <w:rsid w:val="00641538"/>
    <w:rsid w:val="00642765"/>
    <w:rsid w:val="00643B01"/>
    <w:rsid w:val="00645BC3"/>
    <w:rsid w:val="0064734E"/>
    <w:rsid w:val="006514FF"/>
    <w:rsid w:val="00653468"/>
    <w:rsid w:val="00656B90"/>
    <w:rsid w:val="0066023E"/>
    <w:rsid w:val="006624FD"/>
    <w:rsid w:val="0066363D"/>
    <w:rsid w:val="0066413F"/>
    <w:rsid w:val="00671654"/>
    <w:rsid w:val="0067165F"/>
    <w:rsid w:val="00673BDC"/>
    <w:rsid w:val="00673E06"/>
    <w:rsid w:val="00674F30"/>
    <w:rsid w:val="006757EA"/>
    <w:rsid w:val="00675C1D"/>
    <w:rsid w:val="00676111"/>
    <w:rsid w:val="00676561"/>
    <w:rsid w:val="00685798"/>
    <w:rsid w:val="00685A4C"/>
    <w:rsid w:val="00687725"/>
    <w:rsid w:val="00691EDF"/>
    <w:rsid w:val="0069512C"/>
    <w:rsid w:val="006953F2"/>
    <w:rsid w:val="006966D3"/>
    <w:rsid w:val="006973E7"/>
    <w:rsid w:val="006A1B0D"/>
    <w:rsid w:val="006A4E3E"/>
    <w:rsid w:val="006A5846"/>
    <w:rsid w:val="006B0BF5"/>
    <w:rsid w:val="006B30BB"/>
    <w:rsid w:val="006B3E7F"/>
    <w:rsid w:val="006B65D9"/>
    <w:rsid w:val="006C0F42"/>
    <w:rsid w:val="006C17BE"/>
    <w:rsid w:val="006C2BA2"/>
    <w:rsid w:val="006D0849"/>
    <w:rsid w:val="006D14F7"/>
    <w:rsid w:val="006D278E"/>
    <w:rsid w:val="006D40D3"/>
    <w:rsid w:val="006D49C8"/>
    <w:rsid w:val="006D67F6"/>
    <w:rsid w:val="006D79F0"/>
    <w:rsid w:val="006E376A"/>
    <w:rsid w:val="006E426C"/>
    <w:rsid w:val="006E48C5"/>
    <w:rsid w:val="006E7888"/>
    <w:rsid w:val="006F29C5"/>
    <w:rsid w:val="006F6236"/>
    <w:rsid w:val="006F6A1A"/>
    <w:rsid w:val="006F73FE"/>
    <w:rsid w:val="00701285"/>
    <w:rsid w:val="007053A9"/>
    <w:rsid w:val="0071050C"/>
    <w:rsid w:val="007130EA"/>
    <w:rsid w:val="00714C01"/>
    <w:rsid w:val="00717B7B"/>
    <w:rsid w:val="007226E6"/>
    <w:rsid w:val="007228AA"/>
    <w:rsid w:val="0072321C"/>
    <w:rsid w:val="0072573F"/>
    <w:rsid w:val="0072799F"/>
    <w:rsid w:val="0073054C"/>
    <w:rsid w:val="007334B2"/>
    <w:rsid w:val="00734BEC"/>
    <w:rsid w:val="00735293"/>
    <w:rsid w:val="00735C5C"/>
    <w:rsid w:val="00737857"/>
    <w:rsid w:val="0074132D"/>
    <w:rsid w:val="00742136"/>
    <w:rsid w:val="007451E0"/>
    <w:rsid w:val="00745F4C"/>
    <w:rsid w:val="0074687B"/>
    <w:rsid w:val="0074697B"/>
    <w:rsid w:val="00747EAD"/>
    <w:rsid w:val="0075027E"/>
    <w:rsid w:val="00751D1C"/>
    <w:rsid w:val="0075379B"/>
    <w:rsid w:val="00753D25"/>
    <w:rsid w:val="0075431A"/>
    <w:rsid w:val="007547A4"/>
    <w:rsid w:val="007627E7"/>
    <w:rsid w:val="00762FC8"/>
    <w:rsid w:val="00765FE1"/>
    <w:rsid w:val="007673CB"/>
    <w:rsid w:val="00771CAA"/>
    <w:rsid w:val="00774A81"/>
    <w:rsid w:val="00775BAC"/>
    <w:rsid w:val="0078141C"/>
    <w:rsid w:val="007821C7"/>
    <w:rsid w:val="007829F8"/>
    <w:rsid w:val="007855BC"/>
    <w:rsid w:val="007927A8"/>
    <w:rsid w:val="00792ED7"/>
    <w:rsid w:val="0079303F"/>
    <w:rsid w:val="00794264"/>
    <w:rsid w:val="00794A7A"/>
    <w:rsid w:val="00797E11"/>
    <w:rsid w:val="007A0E45"/>
    <w:rsid w:val="007A165A"/>
    <w:rsid w:val="007A2156"/>
    <w:rsid w:val="007A4410"/>
    <w:rsid w:val="007A57B9"/>
    <w:rsid w:val="007B0648"/>
    <w:rsid w:val="007B1D8B"/>
    <w:rsid w:val="007B3990"/>
    <w:rsid w:val="007B5036"/>
    <w:rsid w:val="007B5B85"/>
    <w:rsid w:val="007C06B9"/>
    <w:rsid w:val="007C2A4E"/>
    <w:rsid w:val="007C3912"/>
    <w:rsid w:val="007C5DC7"/>
    <w:rsid w:val="007C6A16"/>
    <w:rsid w:val="007D0790"/>
    <w:rsid w:val="007D2B47"/>
    <w:rsid w:val="007D3917"/>
    <w:rsid w:val="007D6A53"/>
    <w:rsid w:val="007E05C5"/>
    <w:rsid w:val="007E0AFC"/>
    <w:rsid w:val="007E25EA"/>
    <w:rsid w:val="007E71CF"/>
    <w:rsid w:val="007E7E44"/>
    <w:rsid w:val="007F053C"/>
    <w:rsid w:val="007F0C07"/>
    <w:rsid w:val="007F1ACB"/>
    <w:rsid w:val="007F3E6D"/>
    <w:rsid w:val="007F47DB"/>
    <w:rsid w:val="007F7BAA"/>
    <w:rsid w:val="008051F0"/>
    <w:rsid w:val="008120A4"/>
    <w:rsid w:val="008153BA"/>
    <w:rsid w:val="0081620A"/>
    <w:rsid w:val="00822BCB"/>
    <w:rsid w:val="008249DA"/>
    <w:rsid w:val="00825F88"/>
    <w:rsid w:val="00826478"/>
    <w:rsid w:val="00827964"/>
    <w:rsid w:val="008337F8"/>
    <w:rsid w:val="0083512C"/>
    <w:rsid w:val="008407E8"/>
    <w:rsid w:val="00840DAB"/>
    <w:rsid w:val="00841CA5"/>
    <w:rsid w:val="008420A1"/>
    <w:rsid w:val="00842AE7"/>
    <w:rsid w:val="00842C84"/>
    <w:rsid w:val="00843EF5"/>
    <w:rsid w:val="00847A5F"/>
    <w:rsid w:val="00850484"/>
    <w:rsid w:val="00855293"/>
    <w:rsid w:val="00856822"/>
    <w:rsid w:val="00860296"/>
    <w:rsid w:val="008608BA"/>
    <w:rsid w:val="008642ED"/>
    <w:rsid w:val="00873D9D"/>
    <w:rsid w:val="00874230"/>
    <w:rsid w:val="00874B08"/>
    <w:rsid w:val="00877F21"/>
    <w:rsid w:val="00883941"/>
    <w:rsid w:val="0088549C"/>
    <w:rsid w:val="008856F5"/>
    <w:rsid w:val="00885E31"/>
    <w:rsid w:val="00886DAB"/>
    <w:rsid w:val="00895A44"/>
    <w:rsid w:val="008A131F"/>
    <w:rsid w:val="008A6DC7"/>
    <w:rsid w:val="008A7D45"/>
    <w:rsid w:val="008B1488"/>
    <w:rsid w:val="008B32F7"/>
    <w:rsid w:val="008C1754"/>
    <w:rsid w:val="008C214E"/>
    <w:rsid w:val="008C2B87"/>
    <w:rsid w:val="008C65B4"/>
    <w:rsid w:val="008D0701"/>
    <w:rsid w:val="008D1129"/>
    <w:rsid w:val="008D187E"/>
    <w:rsid w:val="008D1BD5"/>
    <w:rsid w:val="008D33DF"/>
    <w:rsid w:val="008E5D39"/>
    <w:rsid w:val="008E7AD7"/>
    <w:rsid w:val="008F0C2C"/>
    <w:rsid w:val="008F2696"/>
    <w:rsid w:val="008F476C"/>
    <w:rsid w:val="008F4BBD"/>
    <w:rsid w:val="008F6D42"/>
    <w:rsid w:val="009010B9"/>
    <w:rsid w:val="00910BA4"/>
    <w:rsid w:val="00911B95"/>
    <w:rsid w:val="00917A06"/>
    <w:rsid w:val="009204B8"/>
    <w:rsid w:val="00920BD8"/>
    <w:rsid w:val="00921D9B"/>
    <w:rsid w:val="00921EFD"/>
    <w:rsid w:val="0092465F"/>
    <w:rsid w:val="009311C0"/>
    <w:rsid w:val="009342D1"/>
    <w:rsid w:val="00936026"/>
    <w:rsid w:val="0093683F"/>
    <w:rsid w:val="00937CDB"/>
    <w:rsid w:val="00937DC5"/>
    <w:rsid w:val="00940594"/>
    <w:rsid w:val="00941FC7"/>
    <w:rsid w:val="009450BF"/>
    <w:rsid w:val="00951A99"/>
    <w:rsid w:val="00951B5C"/>
    <w:rsid w:val="00952242"/>
    <w:rsid w:val="00953D5C"/>
    <w:rsid w:val="009565CD"/>
    <w:rsid w:val="00956D58"/>
    <w:rsid w:val="00956FE0"/>
    <w:rsid w:val="00960E1C"/>
    <w:rsid w:val="00961B46"/>
    <w:rsid w:val="00961CFD"/>
    <w:rsid w:val="00962B39"/>
    <w:rsid w:val="00962EE8"/>
    <w:rsid w:val="009645C9"/>
    <w:rsid w:val="0096547A"/>
    <w:rsid w:val="009656BD"/>
    <w:rsid w:val="00971C74"/>
    <w:rsid w:val="00975676"/>
    <w:rsid w:val="0097581D"/>
    <w:rsid w:val="009806A9"/>
    <w:rsid w:val="00980790"/>
    <w:rsid w:val="00983AE7"/>
    <w:rsid w:val="009926E2"/>
    <w:rsid w:val="00994BC8"/>
    <w:rsid w:val="00996883"/>
    <w:rsid w:val="009A5BBF"/>
    <w:rsid w:val="009A5F3D"/>
    <w:rsid w:val="009A7C99"/>
    <w:rsid w:val="009B2132"/>
    <w:rsid w:val="009B28B6"/>
    <w:rsid w:val="009B4F97"/>
    <w:rsid w:val="009C2BFC"/>
    <w:rsid w:val="009C32F4"/>
    <w:rsid w:val="009C4582"/>
    <w:rsid w:val="009D0FE1"/>
    <w:rsid w:val="009E00D6"/>
    <w:rsid w:val="009E1970"/>
    <w:rsid w:val="009E2509"/>
    <w:rsid w:val="009E2C72"/>
    <w:rsid w:val="009E5AC1"/>
    <w:rsid w:val="009F1967"/>
    <w:rsid w:val="009F1F2D"/>
    <w:rsid w:val="009F2249"/>
    <w:rsid w:val="009F58B4"/>
    <w:rsid w:val="00A00B55"/>
    <w:rsid w:val="00A0188D"/>
    <w:rsid w:val="00A039CD"/>
    <w:rsid w:val="00A07C85"/>
    <w:rsid w:val="00A07DE6"/>
    <w:rsid w:val="00A106DF"/>
    <w:rsid w:val="00A11BB3"/>
    <w:rsid w:val="00A11FA4"/>
    <w:rsid w:val="00A14366"/>
    <w:rsid w:val="00A17AD4"/>
    <w:rsid w:val="00A2483B"/>
    <w:rsid w:val="00A2568A"/>
    <w:rsid w:val="00A25EC0"/>
    <w:rsid w:val="00A26BAF"/>
    <w:rsid w:val="00A30A6F"/>
    <w:rsid w:val="00A30B1E"/>
    <w:rsid w:val="00A31754"/>
    <w:rsid w:val="00A364C7"/>
    <w:rsid w:val="00A372B4"/>
    <w:rsid w:val="00A41BBD"/>
    <w:rsid w:val="00A42F87"/>
    <w:rsid w:val="00A45A1C"/>
    <w:rsid w:val="00A460E0"/>
    <w:rsid w:val="00A508FF"/>
    <w:rsid w:val="00A51F89"/>
    <w:rsid w:val="00A52BCA"/>
    <w:rsid w:val="00A52D70"/>
    <w:rsid w:val="00A52EC1"/>
    <w:rsid w:val="00A53E5F"/>
    <w:rsid w:val="00A54304"/>
    <w:rsid w:val="00A60C6E"/>
    <w:rsid w:val="00A66202"/>
    <w:rsid w:val="00A66D53"/>
    <w:rsid w:val="00A753B8"/>
    <w:rsid w:val="00A75D48"/>
    <w:rsid w:val="00A76C41"/>
    <w:rsid w:val="00A775D3"/>
    <w:rsid w:val="00A80236"/>
    <w:rsid w:val="00A82A92"/>
    <w:rsid w:val="00A854F8"/>
    <w:rsid w:val="00A8563C"/>
    <w:rsid w:val="00A867D3"/>
    <w:rsid w:val="00A87522"/>
    <w:rsid w:val="00A901F3"/>
    <w:rsid w:val="00A9357F"/>
    <w:rsid w:val="00A949CB"/>
    <w:rsid w:val="00A96CC4"/>
    <w:rsid w:val="00A97F1F"/>
    <w:rsid w:val="00AA3B81"/>
    <w:rsid w:val="00AA6F4E"/>
    <w:rsid w:val="00AB2B2C"/>
    <w:rsid w:val="00AB664D"/>
    <w:rsid w:val="00AB7BA8"/>
    <w:rsid w:val="00AC0A96"/>
    <w:rsid w:val="00AC76A3"/>
    <w:rsid w:val="00AD0B86"/>
    <w:rsid w:val="00AD265A"/>
    <w:rsid w:val="00AD3348"/>
    <w:rsid w:val="00AD3F26"/>
    <w:rsid w:val="00AD4B89"/>
    <w:rsid w:val="00AD51A8"/>
    <w:rsid w:val="00AD7129"/>
    <w:rsid w:val="00AE07B4"/>
    <w:rsid w:val="00AE25A7"/>
    <w:rsid w:val="00AE32B8"/>
    <w:rsid w:val="00AE6DB5"/>
    <w:rsid w:val="00AF4053"/>
    <w:rsid w:val="00AF48D6"/>
    <w:rsid w:val="00AF612E"/>
    <w:rsid w:val="00AF6D52"/>
    <w:rsid w:val="00B00B85"/>
    <w:rsid w:val="00B00E0E"/>
    <w:rsid w:val="00B01392"/>
    <w:rsid w:val="00B0304F"/>
    <w:rsid w:val="00B040CB"/>
    <w:rsid w:val="00B06100"/>
    <w:rsid w:val="00B06A54"/>
    <w:rsid w:val="00B06D66"/>
    <w:rsid w:val="00B144BB"/>
    <w:rsid w:val="00B17C29"/>
    <w:rsid w:val="00B2205C"/>
    <w:rsid w:val="00B31535"/>
    <w:rsid w:val="00B326F8"/>
    <w:rsid w:val="00B3553D"/>
    <w:rsid w:val="00B358BB"/>
    <w:rsid w:val="00B363C7"/>
    <w:rsid w:val="00B374C8"/>
    <w:rsid w:val="00B406F7"/>
    <w:rsid w:val="00B40EFD"/>
    <w:rsid w:val="00B41B19"/>
    <w:rsid w:val="00B442A2"/>
    <w:rsid w:val="00B47D63"/>
    <w:rsid w:val="00B51096"/>
    <w:rsid w:val="00B52D66"/>
    <w:rsid w:val="00B5439B"/>
    <w:rsid w:val="00B57F84"/>
    <w:rsid w:val="00B61AE9"/>
    <w:rsid w:val="00B62856"/>
    <w:rsid w:val="00B62B5E"/>
    <w:rsid w:val="00B64182"/>
    <w:rsid w:val="00B64AC3"/>
    <w:rsid w:val="00B66606"/>
    <w:rsid w:val="00B6715D"/>
    <w:rsid w:val="00B7055C"/>
    <w:rsid w:val="00B70FB3"/>
    <w:rsid w:val="00B72E25"/>
    <w:rsid w:val="00B743F4"/>
    <w:rsid w:val="00B7603E"/>
    <w:rsid w:val="00B80425"/>
    <w:rsid w:val="00B8150E"/>
    <w:rsid w:val="00B9087B"/>
    <w:rsid w:val="00B913DA"/>
    <w:rsid w:val="00B93C60"/>
    <w:rsid w:val="00B94589"/>
    <w:rsid w:val="00B95394"/>
    <w:rsid w:val="00B95D53"/>
    <w:rsid w:val="00B96696"/>
    <w:rsid w:val="00B97BCA"/>
    <w:rsid w:val="00BA0C72"/>
    <w:rsid w:val="00BB199D"/>
    <w:rsid w:val="00BC4AF6"/>
    <w:rsid w:val="00BC6B9F"/>
    <w:rsid w:val="00BC70B3"/>
    <w:rsid w:val="00BC7486"/>
    <w:rsid w:val="00BD00B1"/>
    <w:rsid w:val="00BD2AF5"/>
    <w:rsid w:val="00BD4A58"/>
    <w:rsid w:val="00BD662C"/>
    <w:rsid w:val="00BE10DC"/>
    <w:rsid w:val="00BE32FA"/>
    <w:rsid w:val="00BE38F8"/>
    <w:rsid w:val="00BE3F0C"/>
    <w:rsid w:val="00BE55E8"/>
    <w:rsid w:val="00BE6EA0"/>
    <w:rsid w:val="00BF1DE6"/>
    <w:rsid w:val="00BF43C6"/>
    <w:rsid w:val="00C016C8"/>
    <w:rsid w:val="00C01F0E"/>
    <w:rsid w:val="00C05235"/>
    <w:rsid w:val="00C063B0"/>
    <w:rsid w:val="00C06DA8"/>
    <w:rsid w:val="00C10463"/>
    <w:rsid w:val="00C106A5"/>
    <w:rsid w:val="00C1159A"/>
    <w:rsid w:val="00C14B1E"/>
    <w:rsid w:val="00C22683"/>
    <w:rsid w:val="00C23311"/>
    <w:rsid w:val="00C23404"/>
    <w:rsid w:val="00C235B4"/>
    <w:rsid w:val="00C27C88"/>
    <w:rsid w:val="00C322AF"/>
    <w:rsid w:val="00C34F60"/>
    <w:rsid w:val="00C3701B"/>
    <w:rsid w:val="00C413AA"/>
    <w:rsid w:val="00C41F0F"/>
    <w:rsid w:val="00C42F2A"/>
    <w:rsid w:val="00C4388C"/>
    <w:rsid w:val="00C45131"/>
    <w:rsid w:val="00C50AD7"/>
    <w:rsid w:val="00C51786"/>
    <w:rsid w:val="00C523CE"/>
    <w:rsid w:val="00C53981"/>
    <w:rsid w:val="00C53C97"/>
    <w:rsid w:val="00C570CE"/>
    <w:rsid w:val="00C604EE"/>
    <w:rsid w:val="00C62658"/>
    <w:rsid w:val="00C65B7A"/>
    <w:rsid w:val="00C66F0E"/>
    <w:rsid w:val="00C6721B"/>
    <w:rsid w:val="00C70F35"/>
    <w:rsid w:val="00C73BCA"/>
    <w:rsid w:val="00C751AA"/>
    <w:rsid w:val="00C75F71"/>
    <w:rsid w:val="00C8243A"/>
    <w:rsid w:val="00C832D1"/>
    <w:rsid w:val="00C86C9C"/>
    <w:rsid w:val="00C87155"/>
    <w:rsid w:val="00C91B3E"/>
    <w:rsid w:val="00C96BDC"/>
    <w:rsid w:val="00C97B30"/>
    <w:rsid w:val="00CA174D"/>
    <w:rsid w:val="00CA6AC0"/>
    <w:rsid w:val="00CA7106"/>
    <w:rsid w:val="00CB0469"/>
    <w:rsid w:val="00CB42BF"/>
    <w:rsid w:val="00CB56E6"/>
    <w:rsid w:val="00CB7676"/>
    <w:rsid w:val="00CC0223"/>
    <w:rsid w:val="00CC4990"/>
    <w:rsid w:val="00CC626D"/>
    <w:rsid w:val="00CC7E71"/>
    <w:rsid w:val="00CD1670"/>
    <w:rsid w:val="00CD3EB0"/>
    <w:rsid w:val="00CE0CA5"/>
    <w:rsid w:val="00CE3CD7"/>
    <w:rsid w:val="00CE64CF"/>
    <w:rsid w:val="00CE78CC"/>
    <w:rsid w:val="00CF3371"/>
    <w:rsid w:val="00CF3580"/>
    <w:rsid w:val="00CF365F"/>
    <w:rsid w:val="00D028E5"/>
    <w:rsid w:val="00D04AA4"/>
    <w:rsid w:val="00D04B77"/>
    <w:rsid w:val="00D0545C"/>
    <w:rsid w:val="00D10A63"/>
    <w:rsid w:val="00D1133E"/>
    <w:rsid w:val="00D11383"/>
    <w:rsid w:val="00D16A23"/>
    <w:rsid w:val="00D1709B"/>
    <w:rsid w:val="00D20828"/>
    <w:rsid w:val="00D208D0"/>
    <w:rsid w:val="00D213DE"/>
    <w:rsid w:val="00D215B5"/>
    <w:rsid w:val="00D218F0"/>
    <w:rsid w:val="00D25E83"/>
    <w:rsid w:val="00D33B5A"/>
    <w:rsid w:val="00D37D4E"/>
    <w:rsid w:val="00D41102"/>
    <w:rsid w:val="00D4218B"/>
    <w:rsid w:val="00D42A1F"/>
    <w:rsid w:val="00D44075"/>
    <w:rsid w:val="00D4730D"/>
    <w:rsid w:val="00D479EC"/>
    <w:rsid w:val="00D51AA1"/>
    <w:rsid w:val="00D53C0B"/>
    <w:rsid w:val="00D5455F"/>
    <w:rsid w:val="00D60443"/>
    <w:rsid w:val="00D63A4D"/>
    <w:rsid w:val="00D67D32"/>
    <w:rsid w:val="00D712F4"/>
    <w:rsid w:val="00D778A3"/>
    <w:rsid w:val="00D77CBC"/>
    <w:rsid w:val="00D80342"/>
    <w:rsid w:val="00D821A2"/>
    <w:rsid w:val="00D834C1"/>
    <w:rsid w:val="00D83D4A"/>
    <w:rsid w:val="00D847B1"/>
    <w:rsid w:val="00D855C5"/>
    <w:rsid w:val="00D901B3"/>
    <w:rsid w:val="00DA3004"/>
    <w:rsid w:val="00DA395B"/>
    <w:rsid w:val="00DA4DB3"/>
    <w:rsid w:val="00DA623E"/>
    <w:rsid w:val="00DA6599"/>
    <w:rsid w:val="00DB0DCD"/>
    <w:rsid w:val="00DB163C"/>
    <w:rsid w:val="00DB31A8"/>
    <w:rsid w:val="00DB46D4"/>
    <w:rsid w:val="00DC20E3"/>
    <w:rsid w:val="00DC393D"/>
    <w:rsid w:val="00DD08F8"/>
    <w:rsid w:val="00DD2079"/>
    <w:rsid w:val="00DD2709"/>
    <w:rsid w:val="00DD47F1"/>
    <w:rsid w:val="00DD5579"/>
    <w:rsid w:val="00DD7ACD"/>
    <w:rsid w:val="00DE0386"/>
    <w:rsid w:val="00DE2B65"/>
    <w:rsid w:val="00DE6A96"/>
    <w:rsid w:val="00DE7230"/>
    <w:rsid w:val="00DE7A7A"/>
    <w:rsid w:val="00DE7D97"/>
    <w:rsid w:val="00DF3D42"/>
    <w:rsid w:val="00DF570C"/>
    <w:rsid w:val="00DF68A5"/>
    <w:rsid w:val="00DF726A"/>
    <w:rsid w:val="00E00272"/>
    <w:rsid w:val="00E0188C"/>
    <w:rsid w:val="00E01F3B"/>
    <w:rsid w:val="00E05FBA"/>
    <w:rsid w:val="00E12925"/>
    <w:rsid w:val="00E12ADF"/>
    <w:rsid w:val="00E1355E"/>
    <w:rsid w:val="00E15337"/>
    <w:rsid w:val="00E156A2"/>
    <w:rsid w:val="00E17D85"/>
    <w:rsid w:val="00E21564"/>
    <w:rsid w:val="00E23E4F"/>
    <w:rsid w:val="00E2455C"/>
    <w:rsid w:val="00E25A16"/>
    <w:rsid w:val="00E25B6C"/>
    <w:rsid w:val="00E26F24"/>
    <w:rsid w:val="00E27E43"/>
    <w:rsid w:val="00E30000"/>
    <w:rsid w:val="00E31733"/>
    <w:rsid w:val="00E37D78"/>
    <w:rsid w:val="00E40B16"/>
    <w:rsid w:val="00E42345"/>
    <w:rsid w:val="00E43276"/>
    <w:rsid w:val="00E43C38"/>
    <w:rsid w:val="00E45C68"/>
    <w:rsid w:val="00E47756"/>
    <w:rsid w:val="00E535A5"/>
    <w:rsid w:val="00E5460D"/>
    <w:rsid w:val="00E607B7"/>
    <w:rsid w:val="00E655E7"/>
    <w:rsid w:val="00E65895"/>
    <w:rsid w:val="00E66AAB"/>
    <w:rsid w:val="00E66F29"/>
    <w:rsid w:val="00E7360C"/>
    <w:rsid w:val="00E741D7"/>
    <w:rsid w:val="00E743D9"/>
    <w:rsid w:val="00E74735"/>
    <w:rsid w:val="00E766F9"/>
    <w:rsid w:val="00E77BB6"/>
    <w:rsid w:val="00E83862"/>
    <w:rsid w:val="00E862DB"/>
    <w:rsid w:val="00E902EB"/>
    <w:rsid w:val="00E90588"/>
    <w:rsid w:val="00E9311F"/>
    <w:rsid w:val="00E93FB4"/>
    <w:rsid w:val="00E96A57"/>
    <w:rsid w:val="00E971A5"/>
    <w:rsid w:val="00EA07B4"/>
    <w:rsid w:val="00EA0E3D"/>
    <w:rsid w:val="00EA2906"/>
    <w:rsid w:val="00EB34CC"/>
    <w:rsid w:val="00EB58EA"/>
    <w:rsid w:val="00EB5BC2"/>
    <w:rsid w:val="00EC103D"/>
    <w:rsid w:val="00EC2E17"/>
    <w:rsid w:val="00EC4A26"/>
    <w:rsid w:val="00EC5E89"/>
    <w:rsid w:val="00EC7491"/>
    <w:rsid w:val="00ED3C00"/>
    <w:rsid w:val="00EE17B9"/>
    <w:rsid w:val="00EE2C83"/>
    <w:rsid w:val="00EE6789"/>
    <w:rsid w:val="00EE6E12"/>
    <w:rsid w:val="00EE7CDA"/>
    <w:rsid w:val="00EF0770"/>
    <w:rsid w:val="00EF0AE0"/>
    <w:rsid w:val="00EF310A"/>
    <w:rsid w:val="00EF3110"/>
    <w:rsid w:val="00EF4A64"/>
    <w:rsid w:val="00EF4F74"/>
    <w:rsid w:val="00EF6D65"/>
    <w:rsid w:val="00EF704C"/>
    <w:rsid w:val="00EF7D5D"/>
    <w:rsid w:val="00F006BA"/>
    <w:rsid w:val="00F12CAA"/>
    <w:rsid w:val="00F1650F"/>
    <w:rsid w:val="00F2263F"/>
    <w:rsid w:val="00F31232"/>
    <w:rsid w:val="00F33F67"/>
    <w:rsid w:val="00F3492A"/>
    <w:rsid w:val="00F364BE"/>
    <w:rsid w:val="00F41CD5"/>
    <w:rsid w:val="00F4429C"/>
    <w:rsid w:val="00F46D4B"/>
    <w:rsid w:val="00F47212"/>
    <w:rsid w:val="00F54039"/>
    <w:rsid w:val="00F54699"/>
    <w:rsid w:val="00F54B4E"/>
    <w:rsid w:val="00F54DEF"/>
    <w:rsid w:val="00F55E93"/>
    <w:rsid w:val="00F57406"/>
    <w:rsid w:val="00F664BE"/>
    <w:rsid w:val="00F6781F"/>
    <w:rsid w:val="00F7092E"/>
    <w:rsid w:val="00F7223A"/>
    <w:rsid w:val="00F73DAF"/>
    <w:rsid w:val="00F77561"/>
    <w:rsid w:val="00F80EFE"/>
    <w:rsid w:val="00F81D8D"/>
    <w:rsid w:val="00F823CF"/>
    <w:rsid w:val="00F84082"/>
    <w:rsid w:val="00F86F50"/>
    <w:rsid w:val="00F91E95"/>
    <w:rsid w:val="00F926F6"/>
    <w:rsid w:val="00F93C5A"/>
    <w:rsid w:val="00F94650"/>
    <w:rsid w:val="00F96815"/>
    <w:rsid w:val="00F96E64"/>
    <w:rsid w:val="00FA27BC"/>
    <w:rsid w:val="00FA31BE"/>
    <w:rsid w:val="00FA502A"/>
    <w:rsid w:val="00FA6B30"/>
    <w:rsid w:val="00FB10DE"/>
    <w:rsid w:val="00FB4589"/>
    <w:rsid w:val="00FB77DB"/>
    <w:rsid w:val="00FC2A76"/>
    <w:rsid w:val="00FC3B66"/>
    <w:rsid w:val="00FC5699"/>
    <w:rsid w:val="00FD0256"/>
    <w:rsid w:val="00FD364D"/>
    <w:rsid w:val="00FD5339"/>
    <w:rsid w:val="00FD7BAD"/>
    <w:rsid w:val="00FE0CF8"/>
    <w:rsid w:val="00FE1D61"/>
    <w:rsid w:val="00FE7871"/>
    <w:rsid w:val="00FE7FF6"/>
    <w:rsid w:val="00FF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4B73D2"/>
    <w:pPr>
      <w:bidi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B73D2"/>
    <w:pPr>
      <w:ind w:left="720"/>
      <w:contextualSpacing/>
    </w:pPr>
  </w:style>
  <w:style w:type="character" w:customStyle="1" w:styleId="hps">
    <w:name w:val="hps"/>
    <w:basedOn w:val="DefaultParagraphFont"/>
    <w:rsid w:val="002F29BC"/>
  </w:style>
  <w:style w:type="paragraph" w:styleId="BalloonText">
    <w:name w:val="Balloon Text"/>
    <w:basedOn w:val="Normal"/>
    <w:link w:val="BalloonTextChar"/>
    <w:uiPriority w:val="99"/>
    <w:semiHidden/>
    <w:unhideWhenUsed/>
    <w:rsid w:val="002F2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Noiser\Desktop\&#1580;&#1608;&#1575;&#1606;&#1607;%20&#1586;&#1606;&#1610;%20&#1578;&#1585;&#1575;&#1603;&#1605;&#1610;%20(Autosav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plotArea>
      <c:layout>
        <c:manualLayout>
          <c:layoutTarget val="inner"/>
          <c:xMode val="edge"/>
          <c:yMode val="edge"/>
          <c:x val="0.13982006584437071"/>
          <c:y val="0.11051466392787902"/>
          <c:w val="0.81688933391996521"/>
          <c:h val="0.71804384135778021"/>
        </c:manualLayout>
      </c:layout>
      <c:lineChart>
        <c:grouping val="standard"/>
        <c:ser>
          <c:idx val="0"/>
          <c:order val="0"/>
          <c:tx>
            <c:strRef>
              <c:f>Sheet5!$E$18</c:f>
              <c:strCache>
                <c:ptCount val="1"/>
                <c:pt idx="0">
                  <c:v>100 mM</c:v>
                </c:pt>
              </c:strCache>
            </c:strRef>
          </c:tx>
          <c:marker>
            <c:symbol val="diamond"/>
            <c:size val="6"/>
          </c:marker>
          <c:cat>
            <c:numRef>
              <c:f>Sheet5!$F$17:$AX$17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Sheet5!$F$18:$AX$18</c:f>
              <c:numCache>
                <c:formatCode>General</c:formatCode>
                <c:ptCount val="45"/>
                <c:pt idx="3">
                  <c:v>1.25</c:v>
                </c:pt>
                <c:pt idx="4">
                  <c:v>2.5</c:v>
                </c:pt>
                <c:pt idx="5">
                  <c:v>4.75</c:v>
                </c:pt>
                <c:pt idx="6">
                  <c:v>5.75</c:v>
                </c:pt>
                <c:pt idx="7">
                  <c:v>8.5</c:v>
                </c:pt>
                <c:pt idx="8">
                  <c:v>10.5</c:v>
                </c:pt>
                <c:pt idx="9">
                  <c:v>11.25</c:v>
                </c:pt>
                <c:pt idx="10">
                  <c:v>13.25</c:v>
                </c:pt>
                <c:pt idx="11">
                  <c:v>13.5</c:v>
                </c:pt>
                <c:pt idx="12">
                  <c:v>14.25</c:v>
                </c:pt>
                <c:pt idx="13">
                  <c:v>14.5</c:v>
                </c:pt>
                <c:pt idx="14">
                  <c:v>15</c:v>
                </c:pt>
                <c:pt idx="15">
                  <c:v>16.5</c:v>
                </c:pt>
                <c:pt idx="16">
                  <c:v>17</c:v>
                </c:pt>
                <c:pt idx="17">
                  <c:v>17</c:v>
                </c:pt>
                <c:pt idx="18">
                  <c:v>17</c:v>
                </c:pt>
                <c:pt idx="19">
                  <c:v>17.75</c:v>
                </c:pt>
                <c:pt idx="20">
                  <c:v>17.75</c:v>
                </c:pt>
                <c:pt idx="21">
                  <c:v>17.75</c:v>
                </c:pt>
                <c:pt idx="22">
                  <c:v>18</c:v>
                </c:pt>
                <c:pt idx="23">
                  <c:v>18</c:v>
                </c:pt>
                <c:pt idx="24">
                  <c:v>18</c:v>
                </c:pt>
                <c:pt idx="25">
                  <c:v>18.5</c:v>
                </c:pt>
                <c:pt idx="26">
                  <c:v>18.75</c:v>
                </c:pt>
                <c:pt idx="27">
                  <c:v>19.25</c:v>
                </c:pt>
                <c:pt idx="28">
                  <c:v>19.5</c:v>
                </c:pt>
                <c:pt idx="29">
                  <c:v>19.75</c:v>
                </c:pt>
                <c:pt idx="30">
                  <c:v>19.75</c:v>
                </c:pt>
                <c:pt idx="31">
                  <c:v>19.75</c:v>
                </c:pt>
                <c:pt idx="32">
                  <c:v>19.75</c:v>
                </c:pt>
                <c:pt idx="33">
                  <c:v>20</c:v>
                </c:pt>
                <c:pt idx="34">
                  <c:v>20</c:v>
                </c:pt>
                <c:pt idx="35">
                  <c:v>20</c:v>
                </c:pt>
                <c:pt idx="36">
                  <c:v>20.25</c:v>
                </c:pt>
                <c:pt idx="37">
                  <c:v>20.25</c:v>
                </c:pt>
                <c:pt idx="38">
                  <c:v>20.25</c:v>
                </c:pt>
                <c:pt idx="39">
                  <c:v>20.25</c:v>
                </c:pt>
                <c:pt idx="40">
                  <c:v>20.5</c:v>
                </c:pt>
                <c:pt idx="41">
                  <c:v>20.5</c:v>
                </c:pt>
                <c:pt idx="42">
                  <c:v>20.5</c:v>
                </c:pt>
                <c:pt idx="43">
                  <c:v>20.5</c:v>
                </c:pt>
                <c:pt idx="44">
                  <c:v>20.5</c:v>
                </c:pt>
              </c:numCache>
            </c:numRef>
          </c:val>
        </c:ser>
        <c:ser>
          <c:idx val="1"/>
          <c:order val="1"/>
          <c:tx>
            <c:strRef>
              <c:f>Sheet5!$E$19</c:f>
              <c:strCache>
                <c:ptCount val="1"/>
                <c:pt idx="0">
                  <c:v>250 mM</c:v>
                </c:pt>
              </c:strCache>
            </c:strRef>
          </c:tx>
          <c:marker>
            <c:symbol val="circle"/>
            <c:size val="5"/>
            <c:spPr>
              <a:solidFill>
                <a:schemeClr val="bg1"/>
              </a:solidFill>
            </c:spPr>
          </c:marker>
          <c:cat>
            <c:numRef>
              <c:f>Sheet5!$F$17:$AX$17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Sheet5!$F$19:$AX$19</c:f>
              <c:numCache>
                <c:formatCode>General</c:formatCode>
                <c:ptCount val="45"/>
                <c:pt idx="3">
                  <c:v>0.25</c:v>
                </c:pt>
                <c:pt idx="4">
                  <c:v>1.5</c:v>
                </c:pt>
                <c:pt idx="5">
                  <c:v>1.75</c:v>
                </c:pt>
                <c:pt idx="6">
                  <c:v>2.5</c:v>
                </c:pt>
                <c:pt idx="7">
                  <c:v>2.75</c:v>
                </c:pt>
                <c:pt idx="8">
                  <c:v>3</c:v>
                </c:pt>
                <c:pt idx="9">
                  <c:v>4.5</c:v>
                </c:pt>
                <c:pt idx="10">
                  <c:v>5</c:v>
                </c:pt>
                <c:pt idx="11">
                  <c:v>5.25</c:v>
                </c:pt>
                <c:pt idx="12">
                  <c:v>6</c:v>
                </c:pt>
                <c:pt idx="13">
                  <c:v>8.5</c:v>
                </c:pt>
                <c:pt idx="14">
                  <c:v>9</c:v>
                </c:pt>
                <c:pt idx="15">
                  <c:v>9.5</c:v>
                </c:pt>
                <c:pt idx="16">
                  <c:v>9.75</c:v>
                </c:pt>
                <c:pt idx="17">
                  <c:v>10.25</c:v>
                </c:pt>
                <c:pt idx="18">
                  <c:v>10.25</c:v>
                </c:pt>
                <c:pt idx="19">
                  <c:v>10.75</c:v>
                </c:pt>
                <c:pt idx="20">
                  <c:v>12</c:v>
                </c:pt>
                <c:pt idx="21">
                  <c:v>12.5</c:v>
                </c:pt>
                <c:pt idx="22">
                  <c:v>12.75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13.5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14.75</c:v>
                </c:pt>
                <c:pt idx="31">
                  <c:v>14.75</c:v>
                </c:pt>
                <c:pt idx="32">
                  <c:v>14.75</c:v>
                </c:pt>
                <c:pt idx="33">
                  <c:v>14.75</c:v>
                </c:pt>
                <c:pt idx="34">
                  <c:v>14.75</c:v>
                </c:pt>
                <c:pt idx="35">
                  <c:v>14.75</c:v>
                </c:pt>
                <c:pt idx="36">
                  <c:v>14.75</c:v>
                </c:pt>
                <c:pt idx="37">
                  <c:v>15.75</c:v>
                </c:pt>
                <c:pt idx="38">
                  <c:v>16</c:v>
                </c:pt>
                <c:pt idx="39">
                  <c:v>16</c:v>
                </c:pt>
                <c:pt idx="40">
                  <c:v>16.25</c:v>
                </c:pt>
                <c:pt idx="41">
                  <c:v>16.25</c:v>
                </c:pt>
                <c:pt idx="42">
                  <c:v>16.5</c:v>
                </c:pt>
                <c:pt idx="43">
                  <c:v>16.5</c:v>
                </c:pt>
                <c:pt idx="44">
                  <c:v>16.5</c:v>
                </c:pt>
              </c:numCache>
            </c:numRef>
          </c:val>
        </c:ser>
        <c:ser>
          <c:idx val="2"/>
          <c:order val="2"/>
          <c:tx>
            <c:strRef>
              <c:f>Sheet5!$E$20</c:f>
              <c:strCache>
                <c:ptCount val="1"/>
                <c:pt idx="0">
                  <c:v>500 mM</c:v>
                </c:pt>
              </c:strCache>
            </c:strRef>
          </c:tx>
          <c:marker>
            <c:symbol val="triangle"/>
            <c:size val="5"/>
            <c:spPr>
              <a:solidFill>
                <a:schemeClr val="tx1"/>
              </a:solidFill>
            </c:spPr>
          </c:marker>
          <c:cat>
            <c:numRef>
              <c:f>Sheet5!$F$17:$AX$17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Sheet5!$F$20:$AX$20</c:f>
              <c:numCache>
                <c:formatCode>General</c:formatCode>
                <c:ptCount val="45"/>
                <c:pt idx="3">
                  <c:v>0.75000000000000822</c:v>
                </c:pt>
                <c:pt idx="4">
                  <c:v>1.5</c:v>
                </c:pt>
                <c:pt idx="5">
                  <c:v>2.25</c:v>
                </c:pt>
                <c:pt idx="6">
                  <c:v>2.75</c:v>
                </c:pt>
                <c:pt idx="7">
                  <c:v>3.5</c:v>
                </c:pt>
                <c:pt idx="8">
                  <c:v>4</c:v>
                </c:pt>
                <c:pt idx="9">
                  <c:v>4.25</c:v>
                </c:pt>
                <c:pt idx="10">
                  <c:v>5</c:v>
                </c:pt>
                <c:pt idx="11">
                  <c:v>5.5</c:v>
                </c:pt>
                <c:pt idx="12">
                  <c:v>5.75</c:v>
                </c:pt>
                <c:pt idx="13">
                  <c:v>6.25</c:v>
                </c:pt>
                <c:pt idx="14">
                  <c:v>6.75</c:v>
                </c:pt>
                <c:pt idx="15">
                  <c:v>7</c:v>
                </c:pt>
                <c:pt idx="16">
                  <c:v>7.75</c:v>
                </c:pt>
                <c:pt idx="17">
                  <c:v>7.75</c:v>
                </c:pt>
                <c:pt idx="18">
                  <c:v>8.5</c:v>
                </c:pt>
                <c:pt idx="19">
                  <c:v>8.75</c:v>
                </c:pt>
                <c:pt idx="20">
                  <c:v>8.75</c:v>
                </c:pt>
                <c:pt idx="21">
                  <c:v>9.75</c:v>
                </c:pt>
                <c:pt idx="22">
                  <c:v>10</c:v>
                </c:pt>
                <c:pt idx="23">
                  <c:v>10</c:v>
                </c:pt>
                <c:pt idx="24">
                  <c:v>10.25</c:v>
                </c:pt>
                <c:pt idx="25">
                  <c:v>10.25</c:v>
                </c:pt>
                <c:pt idx="26">
                  <c:v>10.75</c:v>
                </c:pt>
                <c:pt idx="27">
                  <c:v>11</c:v>
                </c:pt>
                <c:pt idx="28">
                  <c:v>11</c:v>
                </c:pt>
                <c:pt idx="29">
                  <c:v>12</c:v>
                </c:pt>
                <c:pt idx="30">
                  <c:v>12.25</c:v>
                </c:pt>
                <c:pt idx="31">
                  <c:v>12.25</c:v>
                </c:pt>
                <c:pt idx="32">
                  <c:v>12.5</c:v>
                </c:pt>
                <c:pt idx="33">
                  <c:v>12.5</c:v>
                </c:pt>
                <c:pt idx="34">
                  <c:v>12.5</c:v>
                </c:pt>
                <c:pt idx="35">
                  <c:v>12.5</c:v>
                </c:pt>
                <c:pt idx="36">
                  <c:v>12.75</c:v>
                </c:pt>
                <c:pt idx="37">
                  <c:v>12.75</c:v>
                </c:pt>
                <c:pt idx="38">
                  <c:v>13</c:v>
                </c:pt>
                <c:pt idx="39">
                  <c:v>13</c:v>
                </c:pt>
                <c:pt idx="40">
                  <c:v>13.5</c:v>
                </c:pt>
                <c:pt idx="41">
                  <c:v>13.5</c:v>
                </c:pt>
                <c:pt idx="42">
                  <c:v>14</c:v>
                </c:pt>
                <c:pt idx="43">
                  <c:v>14</c:v>
                </c:pt>
                <c:pt idx="44">
                  <c:v>14</c:v>
                </c:pt>
              </c:numCache>
            </c:numRef>
          </c:val>
        </c:ser>
        <c:ser>
          <c:idx val="3"/>
          <c:order val="3"/>
          <c:tx>
            <c:strRef>
              <c:f>Sheet5!$E$21</c:f>
              <c:strCache>
                <c:ptCount val="1"/>
                <c:pt idx="0">
                  <c:v>750 mM</c:v>
                </c:pt>
              </c:strCache>
            </c:strRef>
          </c:tx>
          <c:marker>
            <c:symbol val="circle"/>
            <c:size val="4"/>
            <c:spPr>
              <a:solidFill>
                <a:schemeClr val="bg1">
                  <a:lumMod val="65000"/>
                </a:schemeClr>
              </a:solidFill>
            </c:spPr>
          </c:marker>
          <c:cat>
            <c:numRef>
              <c:f>Sheet5!$F$17:$AX$17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Sheet5!$F$21:$AX$21</c:f>
              <c:numCache>
                <c:formatCode>General</c:formatCode>
                <c:ptCount val="45"/>
                <c:pt idx="3">
                  <c:v>0.25</c:v>
                </c:pt>
                <c:pt idx="4">
                  <c:v>0.5</c:v>
                </c:pt>
                <c:pt idx="5">
                  <c:v>1.5</c:v>
                </c:pt>
                <c:pt idx="6">
                  <c:v>2.5</c:v>
                </c:pt>
                <c:pt idx="7">
                  <c:v>2.5</c:v>
                </c:pt>
                <c:pt idx="8">
                  <c:v>2.75</c:v>
                </c:pt>
                <c:pt idx="9">
                  <c:v>3.75</c:v>
                </c:pt>
                <c:pt idx="10">
                  <c:v>4.25</c:v>
                </c:pt>
                <c:pt idx="11">
                  <c:v>4.5</c:v>
                </c:pt>
                <c:pt idx="12">
                  <c:v>4.75</c:v>
                </c:pt>
                <c:pt idx="13">
                  <c:v>5</c:v>
                </c:pt>
                <c:pt idx="14">
                  <c:v>5.5</c:v>
                </c:pt>
                <c:pt idx="15">
                  <c:v>6</c:v>
                </c:pt>
                <c:pt idx="16">
                  <c:v>6.25</c:v>
                </c:pt>
                <c:pt idx="17">
                  <c:v>6.5</c:v>
                </c:pt>
                <c:pt idx="18">
                  <c:v>6.75</c:v>
                </c:pt>
                <c:pt idx="19">
                  <c:v>7.5</c:v>
                </c:pt>
                <c:pt idx="20">
                  <c:v>8</c:v>
                </c:pt>
                <c:pt idx="21">
                  <c:v>8.25</c:v>
                </c:pt>
                <c:pt idx="22">
                  <c:v>8.5</c:v>
                </c:pt>
                <c:pt idx="23">
                  <c:v>9.25</c:v>
                </c:pt>
                <c:pt idx="24">
                  <c:v>9.75</c:v>
                </c:pt>
                <c:pt idx="25">
                  <c:v>9.75</c:v>
                </c:pt>
                <c:pt idx="26">
                  <c:v>10</c:v>
                </c:pt>
                <c:pt idx="27">
                  <c:v>10.5</c:v>
                </c:pt>
                <c:pt idx="28">
                  <c:v>10.75</c:v>
                </c:pt>
                <c:pt idx="29">
                  <c:v>10.75</c:v>
                </c:pt>
                <c:pt idx="30">
                  <c:v>11.25</c:v>
                </c:pt>
                <c:pt idx="31">
                  <c:v>11.5</c:v>
                </c:pt>
                <c:pt idx="32">
                  <c:v>11.75</c:v>
                </c:pt>
                <c:pt idx="33">
                  <c:v>11.75</c:v>
                </c:pt>
                <c:pt idx="34">
                  <c:v>12</c:v>
                </c:pt>
                <c:pt idx="35">
                  <c:v>12.25</c:v>
                </c:pt>
                <c:pt idx="36">
                  <c:v>13</c:v>
                </c:pt>
                <c:pt idx="37">
                  <c:v>13</c:v>
                </c:pt>
                <c:pt idx="38">
                  <c:v>13.5</c:v>
                </c:pt>
                <c:pt idx="39">
                  <c:v>13.75</c:v>
                </c:pt>
                <c:pt idx="40">
                  <c:v>13.75</c:v>
                </c:pt>
                <c:pt idx="41">
                  <c:v>13.75</c:v>
                </c:pt>
                <c:pt idx="42">
                  <c:v>14</c:v>
                </c:pt>
                <c:pt idx="43">
                  <c:v>14</c:v>
                </c:pt>
                <c:pt idx="44">
                  <c:v>14.25</c:v>
                </c:pt>
              </c:numCache>
            </c:numRef>
          </c:val>
        </c:ser>
        <c:ser>
          <c:idx val="4"/>
          <c:order val="4"/>
          <c:tx>
            <c:strRef>
              <c:f>Sheet5!$E$22</c:f>
              <c:strCache>
                <c:ptCount val="1"/>
                <c:pt idx="0">
                  <c:v>Control</c:v>
                </c:pt>
              </c:strCache>
            </c:strRef>
          </c:tx>
          <c:marker>
            <c:symbol val="star"/>
            <c:size val="5"/>
            <c:spPr>
              <a:ln>
                <a:solidFill>
                  <a:sysClr val="windowText" lastClr="000000"/>
                </a:solidFill>
              </a:ln>
            </c:spPr>
          </c:marker>
          <c:cat>
            <c:numRef>
              <c:f>Sheet5!$F$17:$AX$17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</c:numCache>
            </c:numRef>
          </c:cat>
          <c:val>
            <c:numRef>
              <c:f>Sheet5!$F$22:$AX$22</c:f>
              <c:numCache>
                <c:formatCode>General</c:formatCode>
                <c:ptCount val="45"/>
                <c:pt idx="16">
                  <c:v>0.25</c:v>
                </c:pt>
                <c:pt idx="17">
                  <c:v>0.5</c:v>
                </c:pt>
                <c:pt idx="18">
                  <c:v>0.75000000000000822</c:v>
                </c:pt>
                <c:pt idx="19">
                  <c:v>1.25</c:v>
                </c:pt>
                <c:pt idx="20">
                  <c:v>1.25</c:v>
                </c:pt>
                <c:pt idx="21">
                  <c:v>1.75</c:v>
                </c:pt>
                <c:pt idx="22">
                  <c:v>2</c:v>
                </c:pt>
                <c:pt idx="23">
                  <c:v>2.25</c:v>
                </c:pt>
                <c:pt idx="24">
                  <c:v>2.5</c:v>
                </c:pt>
                <c:pt idx="25">
                  <c:v>2.5</c:v>
                </c:pt>
                <c:pt idx="26">
                  <c:v>3.5</c:v>
                </c:pt>
                <c:pt idx="27">
                  <c:v>4</c:v>
                </c:pt>
                <c:pt idx="28">
                  <c:v>4.5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5.25</c:v>
                </c:pt>
                <c:pt idx="38">
                  <c:v>5.75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6.25</c:v>
                </c:pt>
              </c:numCache>
            </c:numRef>
          </c:val>
        </c:ser>
        <c:marker val="1"/>
        <c:axId val="133382144"/>
        <c:axId val="133384832"/>
      </c:lineChart>
      <c:catAx>
        <c:axId val="133382144"/>
        <c:scaling>
          <c:orientation val="minMax"/>
        </c:scaling>
        <c:axPos val="b"/>
        <c:numFmt formatCode="General" sourceLinked="1"/>
        <c:tickLblPos val="nextTo"/>
        <c:crossAx val="133384832"/>
        <c:crosses val="autoZero"/>
        <c:lblAlgn val="ctr"/>
        <c:lblOffset val="2"/>
        <c:tickLblSkip val="2"/>
        <c:tickMarkSkip val="2"/>
      </c:catAx>
      <c:valAx>
        <c:axId val="133384832"/>
        <c:scaling>
          <c:orientation val="minMax"/>
        </c:scaling>
        <c:axPos val="l"/>
        <c:numFmt formatCode="General" sourceLinked="1"/>
        <c:tickLblPos val="nextTo"/>
        <c:crossAx val="133382144"/>
        <c:crossesAt val="1"/>
        <c:crossBetween val="between"/>
        <c:majorUnit val="3"/>
      </c:valAx>
    </c:plotArea>
    <c:legend>
      <c:legendPos val="t"/>
      <c:layout>
        <c:manualLayout>
          <c:xMode val="edge"/>
          <c:yMode val="edge"/>
          <c:x val="0.18388333270369633"/>
          <c:y val="3.8095227706929892E-2"/>
          <c:w val="0.75094299794089758"/>
          <c:h val="5.4259111903981513E-2"/>
        </c:manualLayout>
      </c:layout>
    </c:legend>
    <c:plotVisOnly val="1"/>
    <c:dispBlanksAs val="gap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0.29997</cdr:x>
      <cdr:y>0.91138</cdr:y>
    </cdr:from>
    <cdr:to>
      <cdr:x>0.62852</cdr:x>
      <cdr:y>0.99814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791655" y="3342155"/>
          <a:ext cx="1962315" cy="3181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en-US" sz="900">
              <a:latin typeface="Times New Roman" pitchFamily="18" charset="0"/>
              <a:ea typeface="+mn-ea"/>
              <a:cs typeface="Times New Roman" pitchFamily="18" charset="0"/>
            </a:rPr>
            <a:t>days after sown (day)</a:t>
          </a:r>
          <a:endParaRPr lang="en-US" sz="900" b="0" i="0" u="none" strike="noStrike">
            <a:solidFill>
              <a:schemeClr val="dk1"/>
            </a:solidFill>
            <a:latin typeface="Times New Roman" pitchFamily="18" charset="0"/>
            <a:ea typeface="+mn-ea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</cdr:x>
      <cdr:y>0</cdr:y>
    </cdr:from>
    <cdr:to>
      <cdr:x>0.20968</cdr:x>
      <cdr:y>0.07905</cdr:y>
    </cdr:to>
    <cdr:sp macro="" textlink="">
      <cdr:nvSpPr>
        <cdr:cNvPr id="4" name="TextBox 1"/>
        <cdr:cNvSpPr txBox="1"/>
      </cdr:nvSpPr>
      <cdr:spPr>
        <a:xfrm xmlns:a="http://schemas.openxmlformats.org/drawingml/2006/main" rot="16200000">
          <a:off x="393424" y="-393424"/>
          <a:ext cx="289891" cy="10767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0.09367</cdr:x>
      <cdr:y>0.28646</cdr:y>
    </cdr:from>
    <cdr:to>
      <cdr:x>0.16464</cdr:x>
      <cdr:y>0.64819</cdr:y>
    </cdr:to>
    <cdr:sp macro="" textlink="">
      <cdr:nvSpPr>
        <cdr:cNvPr id="5" name="TextBox 1"/>
        <cdr:cNvSpPr txBox="1"/>
      </cdr:nvSpPr>
      <cdr:spPr>
        <a:xfrm xmlns:a="http://schemas.openxmlformats.org/drawingml/2006/main" rot="16200000">
          <a:off x="0" y="1531506"/>
          <a:ext cx="1326512" cy="3644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0.05</cdr:x>
      <cdr:y>0.24788</cdr:y>
    </cdr:from>
    <cdr:to>
      <cdr:x>0.13548</cdr:x>
      <cdr:y>0.80802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256760" y="909017"/>
          <a:ext cx="438978" cy="205408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0.01245</cdr:x>
      <cdr:y>0.06676</cdr:y>
    </cdr:from>
    <cdr:to>
      <cdr:x>0.08893</cdr:x>
      <cdr:y>0.84933</cdr:y>
    </cdr:to>
    <cdr:sp macro="" textlink="">
      <cdr:nvSpPr>
        <cdr:cNvPr id="6" name="TextBox 3"/>
        <cdr:cNvSpPr txBox="1"/>
      </cdr:nvSpPr>
      <cdr:spPr>
        <a:xfrm xmlns:a="http://schemas.openxmlformats.org/drawingml/2006/main" rot="16200000">
          <a:off x="-692346" y="914769"/>
          <a:ext cx="1885857" cy="378072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9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mean accumulated germination </a:t>
          </a:r>
        </a:p>
        <a:p xmlns:a="http://schemas.openxmlformats.org/drawingml/2006/main">
          <a:pPr algn="ctr"/>
          <a:r>
            <a:rPr lang="en-US" sz="9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(number of germinated</a:t>
          </a:r>
          <a:r>
            <a:rPr lang="en-US" sz="900" baseline="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 seed</a:t>
          </a:r>
          <a:r>
            <a:rPr lang="en-US" sz="9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)</a:t>
          </a:r>
          <a:endParaRPr lang="en-US" sz="9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0.84126</cdr:x>
      <cdr:y>0.01824</cdr:y>
    </cdr:from>
    <cdr:to>
      <cdr:x>0.97466</cdr:x>
      <cdr:y>0.10581</cdr:y>
    </cdr:to>
    <cdr:sp macro="" textlink="">
      <cdr:nvSpPr>
        <cdr:cNvPr id="8" name="Rectangle 7"/>
        <cdr:cNvSpPr/>
      </cdr:nvSpPr>
      <cdr:spPr>
        <a:xfrm xmlns:a="http://schemas.openxmlformats.org/drawingml/2006/main">
          <a:off x="4158761" y="43962"/>
          <a:ext cx="659424" cy="211014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25400" cap="flat" cmpd="sng" algn="ctr">
          <a:noFill/>
          <a:prstDash val="solid"/>
        </a:ln>
        <a:effectLst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" lastClr="FFFFFF"/>
              </a:solidFill>
              <a:latin typeface="Calibri"/>
            </a:defRPr>
          </a:lvl1pPr>
          <a:lvl2pPr marL="457200" indent="0">
            <a:defRPr sz="1100">
              <a:solidFill>
                <a:sysClr val="window" lastClr="FFFFFF"/>
              </a:solidFill>
              <a:latin typeface="Calibri"/>
            </a:defRPr>
          </a:lvl2pPr>
          <a:lvl3pPr marL="914400" indent="0">
            <a:defRPr sz="1100">
              <a:solidFill>
                <a:sysClr val="window" lastClr="FFFFFF"/>
              </a:solidFill>
              <a:latin typeface="Calibri"/>
            </a:defRPr>
          </a:lvl3pPr>
          <a:lvl4pPr marL="1371600" indent="0">
            <a:defRPr sz="1100">
              <a:solidFill>
                <a:sysClr val="window" lastClr="FFFFFF"/>
              </a:solidFill>
              <a:latin typeface="Calibri"/>
            </a:defRPr>
          </a:lvl4pPr>
          <a:lvl5pPr marL="1828800" indent="0">
            <a:defRPr sz="1100">
              <a:solidFill>
                <a:sysClr val="window" lastClr="FFFFFF"/>
              </a:solidFill>
              <a:latin typeface="Calibri"/>
            </a:defRPr>
          </a:lvl5pPr>
          <a:lvl6pPr marL="2286000" indent="0">
            <a:defRPr sz="1100">
              <a:solidFill>
                <a:sysClr val="window" lastClr="FFFFFF"/>
              </a:solidFill>
              <a:latin typeface="Calibri"/>
            </a:defRPr>
          </a:lvl6pPr>
          <a:lvl7pPr marL="2743200" indent="0">
            <a:defRPr sz="1100">
              <a:solidFill>
                <a:sysClr val="window" lastClr="FFFFFF"/>
              </a:solidFill>
              <a:latin typeface="Calibri"/>
            </a:defRPr>
          </a:lvl7pPr>
          <a:lvl8pPr marL="3200400" indent="0">
            <a:defRPr sz="1100">
              <a:solidFill>
                <a:sysClr val="window" lastClr="FFFFFF"/>
              </a:solidFill>
              <a:latin typeface="Calibri"/>
            </a:defRPr>
          </a:lvl8pPr>
          <a:lvl9pPr marL="3657600" indent="0">
            <a:defRPr sz="1100">
              <a:solidFill>
                <a:sysClr val="window" lastClr="FFFFFF"/>
              </a:solidFill>
              <a:latin typeface="Calibri"/>
            </a:defRPr>
          </a:lvl9pPr>
        </a:lstStyle>
        <a:p xmlns:a="http://schemas.openxmlformats.org/drawingml/2006/main">
          <a:r>
            <a:rPr lang="en-US" sz="800">
              <a:solidFill>
                <a:sysClr val="windowText" lastClr="000000"/>
              </a:solidFill>
            </a:rPr>
            <a:t>unprimed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SePiDeH</dc:creator>
  <cp:lastModifiedBy>SePiDeH</cp:lastModifiedBy>
  <cp:revision>1</cp:revision>
  <dcterms:created xsi:type="dcterms:W3CDTF">2013-09-14T16:40:00Z</dcterms:created>
  <dcterms:modified xsi:type="dcterms:W3CDTF">2013-09-14T16:40:00Z</dcterms:modified>
</cp:coreProperties>
</file>