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D1A" w:rsidRPr="002D4D75" w:rsidRDefault="00BC7D1A" w:rsidP="002D4D75">
      <w:pPr>
        <w:spacing w:line="480" w:lineRule="auto"/>
        <w:jc w:val="both"/>
        <w:rPr>
          <w:b/>
          <w:caps/>
          <w:spacing w:val="-3"/>
          <w:lang w:val="en-US"/>
        </w:rPr>
      </w:pPr>
      <w:r w:rsidRPr="002D4D75">
        <w:rPr>
          <w:b/>
          <w:caps/>
          <w:spacing w:val="-3"/>
          <w:lang w:val="en-US"/>
        </w:rPr>
        <w:t>stems age, nitrogen fertilizer and Salicylic acid application</w:t>
      </w:r>
      <w:r>
        <w:rPr>
          <w:b/>
          <w:caps/>
          <w:spacing w:val="-3"/>
          <w:lang w:val="en-US"/>
        </w:rPr>
        <w:t xml:space="preserve"> in</w:t>
      </w:r>
      <w:r w:rsidRPr="002D4D75">
        <w:rPr>
          <w:b/>
          <w:caps/>
          <w:spacing w:val="-3"/>
          <w:lang w:val="en-US"/>
        </w:rPr>
        <w:t xml:space="preserve"> Cutting induction of </w:t>
      </w:r>
      <w:r w:rsidRPr="002D4D75">
        <w:rPr>
          <w:b/>
          <w:i/>
          <w:spacing w:val="-3"/>
          <w:lang w:val="en-US"/>
        </w:rPr>
        <w:t>Dendrobium nobile</w:t>
      </w:r>
      <w:r w:rsidRPr="002D4D75">
        <w:rPr>
          <w:b/>
          <w:caps/>
          <w:spacing w:val="-3"/>
          <w:lang w:val="en-US"/>
        </w:rPr>
        <w:t xml:space="preserve"> Lindl. </w:t>
      </w:r>
    </w:p>
    <w:p w:rsidR="00BC7D1A" w:rsidRPr="002D4D75" w:rsidRDefault="00BC7D1A" w:rsidP="002717DB">
      <w:pPr>
        <w:spacing w:line="480" w:lineRule="auto"/>
        <w:jc w:val="both"/>
        <w:rPr>
          <w:lang w:val="en-US"/>
        </w:rPr>
      </w:pPr>
    </w:p>
    <w:p w:rsidR="00BC7D1A" w:rsidRPr="0080601B" w:rsidRDefault="00BC7D1A" w:rsidP="002D4D75">
      <w:pPr>
        <w:spacing w:line="480" w:lineRule="auto"/>
        <w:jc w:val="center"/>
      </w:pPr>
      <w:r>
        <w:t>Jeferson João Soccol</w:t>
      </w:r>
      <w:r>
        <w:rPr>
          <w:vertAlign w:val="superscript"/>
        </w:rPr>
        <w:t>(1)</w:t>
      </w:r>
      <w:r>
        <w:t xml:space="preserve"> *</w:t>
      </w:r>
      <w:r>
        <w:rPr>
          <w:spacing w:val="-2"/>
        </w:rPr>
        <w:t>Giorgini Augusto Venturieri</w:t>
      </w:r>
      <w:r>
        <w:rPr>
          <w:spacing w:val="-2"/>
          <w:vertAlign w:val="superscript"/>
        </w:rPr>
        <w:t>(</w:t>
      </w:r>
      <w:r>
        <w:rPr>
          <w:rStyle w:val="FootnoteReference"/>
        </w:rPr>
        <w:t>2</w:t>
      </w:r>
      <w:r>
        <w:rPr>
          <w:spacing w:val="-2"/>
          <w:vertAlign w:val="superscript"/>
        </w:rPr>
        <w:t>)</w:t>
      </w:r>
      <w:r w:rsidRPr="00B81EF0">
        <w:t xml:space="preserve"> </w:t>
      </w:r>
      <w:r>
        <w:t xml:space="preserve">e Enio Luiz </w:t>
      </w:r>
      <w:r w:rsidRPr="00B81EF0">
        <w:rPr>
          <w:spacing w:val="-2"/>
        </w:rPr>
        <w:t>Pedrotti</w:t>
      </w:r>
      <w:r>
        <w:rPr>
          <w:spacing w:val="-2"/>
          <w:vertAlign w:val="superscript"/>
        </w:rPr>
        <w:t>(</w:t>
      </w:r>
      <w:r>
        <w:rPr>
          <w:rStyle w:val="FootnoteReference"/>
        </w:rPr>
        <w:t>3</w:t>
      </w:r>
      <w:r>
        <w:rPr>
          <w:spacing w:val="-2"/>
          <w:vertAlign w:val="superscript"/>
        </w:rPr>
        <w:t>)</w:t>
      </w:r>
    </w:p>
    <w:p w:rsidR="00BC7D1A" w:rsidRDefault="00BC7D1A" w:rsidP="002717DB">
      <w:pPr>
        <w:spacing w:line="480" w:lineRule="auto"/>
        <w:jc w:val="both"/>
      </w:pPr>
    </w:p>
    <w:p w:rsidR="00BC7D1A" w:rsidRPr="002D4D75" w:rsidRDefault="00BC7D1A" w:rsidP="002717DB">
      <w:pPr>
        <w:spacing w:line="480" w:lineRule="auto"/>
        <w:jc w:val="both"/>
        <w:rPr>
          <w:lang w:val="en-US"/>
        </w:rPr>
      </w:pPr>
      <w:r w:rsidRPr="002D4D75">
        <w:rPr>
          <w:vertAlign w:val="superscript"/>
          <w:lang w:val="en-US"/>
        </w:rPr>
        <w:t>(</w:t>
      </w:r>
      <w:r w:rsidRPr="00B374F8">
        <w:rPr>
          <w:vertAlign w:val="superscript"/>
        </w:rPr>
        <w:footnoteRef/>
      </w:r>
      <w:r w:rsidRPr="002D4D75">
        <w:rPr>
          <w:vertAlign w:val="superscript"/>
          <w:lang w:val="en-US"/>
        </w:rPr>
        <w:t>)</w:t>
      </w:r>
      <w:r w:rsidRPr="002D4D75">
        <w:rPr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2D4D75">
            <w:rPr>
              <w:lang w:val="en-US"/>
            </w:rPr>
            <w:t>Federal</w:t>
          </w:r>
        </w:smartTag>
        <w:r w:rsidRPr="002D4D75">
          <w:rPr>
            <w:lang w:val="en-US"/>
          </w:rPr>
          <w:t xml:space="preserve"> </w:t>
        </w:r>
        <w:smartTag w:uri="urn:schemas-microsoft-com:office:smarttags" w:element="PlaceType">
          <w:r w:rsidRPr="002D4D75">
            <w:rPr>
              <w:lang w:val="en-US"/>
            </w:rPr>
            <w:t>University</w:t>
          </w:r>
        </w:smartTag>
      </w:smartTag>
      <w:r w:rsidRPr="002D4D75">
        <w:rPr>
          <w:lang w:val="en-US"/>
        </w:rPr>
        <w:t xml:space="preserve"> of Santa Catarina UFSC/CCA-FIT. </w:t>
      </w:r>
      <w:smartTag w:uri="urn:schemas-microsoft-com:office:smarttags" w:element="PlaceName">
        <w:r w:rsidRPr="002D4D75">
          <w:rPr>
            <w:lang w:val="en-US"/>
          </w:rPr>
          <w:t>Agrarian</w:t>
        </w:r>
      </w:smartTag>
      <w:r w:rsidRPr="002D4D75">
        <w:rPr>
          <w:lang w:val="en-US"/>
        </w:rPr>
        <w:t xml:space="preserve"> </w:t>
      </w:r>
      <w:smartTag w:uri="urn:schemas-microsoft-com:office:smarttags" w:element="PlaceName">
        <w:r w:rsidRPr="002D4D75">
          <w:rPr>
            <w:lang w:val="en-US"/>
          </w:rPr>
          <w:t>Sciences</w:t>
        </w:r>
      </w:smartTag>
      <w:r w:rsidRPr="002D4D75">
        <w:rPr>
          <w:lang w:val="en-US"/>
        </w:rPr>
        <w:t xml:space="preserve"> </w:t>
      </w:r>
      <w:smartTag w:uri="urn:schemas-microsoft-com:office:smarttags" w:element="PlaceType">
        <w:r w:rsidRPr="002D4D75">
          <w:rPr>
            <w:lang w:val="en-US"/>
          </w:rPr>
          <w:t>Center</w:t>
        </w:r>
      </w:smartTag>
      <w:r w:rsidRPr="002D4D75">
        <w:rPr>
          <w:lang w:val="en-US"/>
        </w:rPr>
        <w:t xml:space="preserve">, </w:t>
      </w:r>
      <w:smartTag w:uri="urn:schemas-microsoft-com:office:smarttags" w:element="address">
        <w:smartTag w:uri="urn:schemas-microsoft-com:office:smarttags" w:element="Street">
          <w:r w:rsidRPr="002D4D75">
            <w:rPr>
              <w:lang w:val="en-US"/>
            </w:rPr>
            <w:t>Admar Gonzaga</w:t>
          </w:r>
          <w:r w:rsidRPr="00782013">
            <w:rPr>
              <w:lang w:val="en-US"/>
            </w:rPr>
            <w:t xml:space="preserve"> </w:t>
          </w:r>
          <w:r w:rsidRPr="002D4D75">
            <w:rPr>
              <w:lang w:val="en-US"/>
            </w:rPr>
            <w:t>Road</w:t>
          </w:r>
        </w:smartTag>
      </w:smartTag>
      <w:r w:rsidRPr="002D4D75">
        <w:rPr>
          <w:lang w:val="en-US"/>
        </w:rPr>
        <w:t xml:space="preserve">, 1346, Itacorubi, 88040-900, </w:t>
      </w:r>
      <w:smartTag w:uri="urn:schemas-microsoft-com:office:smarttags" w:element="City">
        <w:smartTag w:uri="urn:schemas-microsoft-com:office:smarttags" w:element="place">
          <w:r w:rsidRPr="002D4D75">
            <w:rPr>
              <w:lang w:val="en-US"/>
            </w:rPr>
            <w:t>Florianópolis</w:t>
          </w:r>
        </w:smartTag>
        <w:r w:rsidRPr="002D4D75">
          <w:rPr>
            <w:lang w:val="en-US"/>
          </w:rPr>
          <w:t xml:space="preserve"> </w:t>
        </w:r>
        <w:smartTag w:uri="urn:schemas-microsoft-com:office:smarttags" w:element="State">
          <w:r w:rsidRPr="002D4D75">
            <w:rPr>
              <w:lang w:val="en-US"/>
            </w:rPr>
            <w:t>SC</w:t>
          </w:r>
        </w:smartTag>
        <w:r w:rsidRPr="002D4D75">
          <w:rPr>
            <w:lang w:val="en-US"/>
          </w:rPr>
          <w:t xml:space="preserve">, </w:t>
        </w:r>
        <w:smartTag w:uri="urn:schemas-microsoft-com:office:smarttags" w:element="country-region">
          <w:r w:rsidRPr="002D4D75">
            <w:rPr>
              <w:lang w:val="en-US"/>
            </w:rPr>
            <w:t>Brazil</w:t>
          </w:r>
        </w:smartTag>
      </w:smartTag>
      <w:r w:rsidRPr="002D4D75">
        <w:rPr>
          <w:lang w:val="en-US"/>
        </w:rPr>
        <w:t>.</w:t>
      </w:r>
    </w:p>
    <w:p w:rsidR="00BC7D1A" w:rsidRPr="00B374F8" w:rsidRDefault="00BC7D1A" w:rsidP="002D4D75">
      <w:pPr>
        <w:spacing w:line="480" w:lineRule="auto"/>
        <w:jc w:val="both"/>
      </w:pPr>
      <w:r w:rsidRPr="002D4D75">
        <w:rPr>
          <w:vertAlign w:val="superscript"/>
          <w:lang w:val="en-US"/>
        </w:rPr>
        <w:t>(2)</w:t>
      </w:r>
      <w:r>
        <w:rPr>
          <w:vertAlign w:val="superscript"/>
          <w:lang w:val="en-US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2D4D75">
            <w:rPr>
              <w:lang w:val="en-US"/>
            </w:rPr>
            <w:t>Federal</w:t>
          </w:r>
        </w:smartTag>
        <w:r w:rsidRPr="002D4D75">
          <w:rPr>
            <w:lang w:val="en-US"/>
          </w:rPr>
          <w:t xml:space="preserve"> </w:t>
        </w:r>
        <w:smartTag w:uri="urn:schemas-microsoft-com:office:smarttags" w:element="PlaceType">
          <w:r w:rsidRPr="002D4D75">
            <w:rPr>
              <w:lang w:val="en-US"/>
            </w:rPr>
            <w:t>University</w:t>
          </w:r>
        </w:smartTag>
      </w:smartTag>
      <w:r w:rsidRPr="002D4D75">
        <w:rPr>
          <w:lang w:val="en-US"/>
        </w:rPr>
        <w:t xml:space="preserve"> of Santa Catarina UFSC/CCA-FIT. </w:t>
      </w:r>
      <w:r w:rsidRPr="002D4D75">
        <w:t>Agrarian Sciences Center, Admar Gonzaga</w:t>
      </w:r>
      <w:r w:rsidRPr="00782013">
        <w:t xml:space="preserve"> </w:t>
      </w:r>
      <w:r w:rsidRPr="002D4D75">
        <w:t xml:space="preserve">Road, 1346, Itacorubi, 88040-900, Florianópolis SC, Brazil. </w:t>
      </w:r>
      <w:r>
        <w:t xml:space="preserve">*E-mail </w:t>
      </w:r>
      <w:hyperlink r:id="rId7" w:history="1">
        <w:r w:rsidRPr="0008064B">
          <w:rPr>
            <w:rStyle w:val="Hyperlink"/>
          </w:rPr>
          <w:t>giorgini@cca.ufsc.br</w:t>
        </w:r>
      </w:hyperlink>
    </w:p>
    <w:p w:rsidR="00BC7D1A" w:rsidRPr="002D4D75" w:rsidRDefault="00BC7D1A" w:rsidP="002D4D75">
      <w:pPr>
        <w:spacing w:line="480" w:lineRule="auto"/>
        <w:jc w:val="both"/>
        <w:rPr>
          <w:lang w:val="en-US"/>
        </w:rPr>
      </w:pPr>
      <w:r w:rsidRPr="002D4D75">
        <w:rPr>
          <w:vertAlign w:val="superscript"/>
          <w:lang w:val="en-US"/>
        </w:rPr>
        <w:t>(2)</w:t>
      </w:r>
      <w:r>
        <w:rPr>
          <w:vertAlign w:val="superscript"/>
          <w:lang w:val="en-US"/>
        </w:rPr>
        <w:t xml:space="preserve"> </w:t>
      </w:r>
      <w:smartTag w:uri="urn:schemas-microsoft-com:office:smarttags" w:element="PlaceName">
        <w:smartTag w:uri="urn:schemas-microsoft-com:office:smarttags" w:element="place">
          <w:r w:rsidRPr="002D4D75">
            <w:rPr>
              <w:lang w:val="en-US"/>
            </w:rPr>
            <w:t>Federal</w:t>
          </w:r>
        </w:smartTag>
        <w:r w:rsidRPr="002D4D75">
          <w:rPr>
            <w:lang w:val="en-US"/>
          </w:rPr>
          <w:t xml:space="preserve"> </w:t>
        </w:r>
        <w:smartTag w:uri="urn:schemas-microsoft-com:office:smarttags" w:element="PlaceType">
          <w:r w:rsidRPr="002D4D75">
            <w:rPr>
              <w:lang w:val="en-US"/>
            </w:rPr>
            <w:t>University</w:t>
          </w:r>
        </w:smartTag>
      </w:smartTag>
      <w:r w:rsidRPr="002D4D75">
        <w:rPr>
          <w:lang w:val="en-US"/>
        </w:rPr>
        <w:t xml:space="preserve"> of Santa Catarina UFSC/CCA-FIT. </w:t>
      </w:r>
      <w:smartTag w:uri="urn:schemas-microsoft-com:office:smarttags" w:element="PlaceName">
        <w:r w:rsidRPr="002D4D75">
          <w:rPr>
            <w:lang w:val="en-US"/>
          </w:rPr>
          <w:t>Agrarian</w:t>
        </w:r>
      </w:smartTag>
      <w:r w:rsidRPr="002D4D75">
        <w:rPr>
          <w:lang w:val="en-US"/>
        </w:rPr>
        <w:t xml:space="preserve"> </w:t>
      </w:r>
      <w:smartTag w:uri="urn:schemas-microsoft-com:office:smarttags" w:element="PlaceName">
        <w:r w:rsidRPr="002D4D75">
          <w:rPr>
            <w:lang w:val="en-US"/>
          </w:rPr>
          <w:t>Sciences</w:t>
        </w:r>
      </w:smartTag>
      <w:r w:rsidRPr="002D4D75">
        <w:rPr>
          <w:lang w:val="en-US"/>
        </w:rPr>
        <w:t xml:space="preserve"> </w:t>
      </w:r>
      <w:smartTag w:uri="urn:schemas-microsoft-com:office:smarttags" w:element="PlaceType">
        <w:r w:rsidRPr="002D4D75">
          <w:rPr>
            <w:lang w:val="en-US"/>
          </w:rPr>
          <w:t>Center</w:t>
        </w:r>
      </w:smartTag>
      <w:r w:rsidRPr="002D4D75">
        <w:rPr>
          <w:lang w:val="en-US"/>
        </w:rPr>
        <w:t xml:space="preserve">, </w:t>
      </w:r>
      <w:smartTag w:uri="urn:schemas-microsoft-com:office:smarttags" w:element="address">
        <w:smartTag w:uri="urn:schemas-microsoft-com:office:smarttags" w:element="Street">
          <w:r w:rsidRPr="002D4D75">
            <w:rPr>
              <w:lang w:val="en-US"/>
            </w:rPr>
            <w:t>Admar Gonzaga</w:t>
          </w:r>
          <w:r w:rsidRPr="00782013">
            <w:rPr>
              <w:lang w:val="en-US"/>
            </w:rPr>
            <w:t xml:space="preserve"> </w:t>
          </w:r>
          <w:r w:rsidRPr="002D4D75">
            <w:rPr>
              <w:lang w:val="en-US"/>
            </w:rPr>
            <w:t>Road</w:t>
          </w:r>
        </w:smartTag>
      </w:smartTag>
      <w:r w:rsidRPr="002D4D75">
        <w:rPr>
          <w:lang w:val="en-US"/>
        </w:rPr>
        <w:t xml:space="preserve">, 1346, Itacorubi, 88040-900, </w:t>
      </w:r>
      <w:smartTag w:uri="urn:schemas-microsoft-com:office:smarttags" w:element="City">
        <w:smartTag w:uri="urn:schemas-microsoft-com:office:smarttags" w:element="place">
          <w:r w:rsidRPr="002D4D75">
            <w:rPr>
              <w:lang w:val="en-US"/>
            </w:rPr>
            <w:t>Florianópolis</w:t>
          </w:r>
        </w:smartTag>
        <w:r w:rsidRPr="002D4D75">
          <w:rPr>
            <w:lang w:val="en-US"/>
          </w:rPr>
          <w:t xml:space="preserve"> </w:t>
        </w:r>
        <w:smartTag w:uri="urn:schemas-microsoft-com:office:smarttags" w:element="State">
          <w:r w:rsidRPr="002D4D75">
            <w:rPr>
              <w:lang w:val="en-US"/>
            </w:rPr>
            <w:t>SC</w:t>
          </w:r>
        </w:smartTag>
        <w:r w:rsidRPr="002D4D75">
          <w:rPr>
            <w:lang w:val="en-US"/>
          </w:rPr>
          <w:t xml:space="preserve">, </w:t>
        </w:r>
        <w:smartTag w:uri="urn:schemas-microsoft-com:office:smarttags" w:element="country-region">
          <w:r w:rsidRPr="002D4D75">
            <w:rPr>
              <w:lang w:val="en-US"/>
            </w:rPr>
            <w:t>Brazil</w:t>
          </w:r>
        </w:smartTag>
      </w:smartTag>
      <w:r w:rsidRPr="002D4D75">
        <w:rPr>
          <w:lang w:val="en-US"/>
        </w:rPr>
        <w:t>.</w:t>
      </w:r>
    </w:p>
    <w:p w:rsidR="00BC7D1A" w:rsidRPr="002D4D75" w:rsidRDefault="00BC7D1A" w:rsidP="002D4D75">
      <w:pPr>
        <w:spacing w:line="480" w:lineRule="auto"/>
        <w:jc w:val="both"/>
        <w:rPr>
          <w:spacing w:val="-3"/>
        </w:rPr>
      </w:pPr>
    </w:p>
    <w:p w:rsidR="00BC7D1A" w:rsidRDefault="00BC7D1A" w:rsidP="00782013">
      <w:pPr>
        <w:spacing w:line="480" w:lineRule="auto"/>
        <w:jc w:val="center"/>
        <w:rPr>
          <w:b/>
          <w:lang w:val="en-US"/>
        </w:rPr>
      </w:pPr>
      <w:r w:rsidRPr="00AF030E">
        <w:rPr>
          <w:b/>
          <w:lang w:val="en-US"/>
        </w:rPr>
        <w:t>A</w:t>
      </w:r>
      <w:r>
        <w:rPr>
          <w:b/>
          <w:lang w:val="en-US"/>
        </w:rPr>
        <w:t>bstract</w:t>
      </w:r>
    </w:p>
    <w:p w:rsidR="00BC7D1A" w:rsidRPr="0097619D" w:rsidRDefault="00BC7D1A" w:rsidP="002717DB">
      <w:pPr>
        <w:spacing w:line="480" w:lineRule="auto"/>
        <w:jc w:val="both"/>
        <w:rPr>
          <w:lang w:val="it-IT"/>
        </w:rPr>
      </w:pPr>
      <w:r>
        <w:rPr>
          <w:lang w:val="en-US"/>
        </w:rPr>
        <w:t>C</w:t>
      </w:r>
      <w:r w:rsidRPr="00953B78">
        <w:rPr>
          <w:lang w:val="en-US"/>
        </w:rPr>
        <w:t>uttings</w:t>
      </w:r>
      <w:r>
        <w:rPr>
          <w:lang w:val="en-US"/>
        </w:rPr>
        <w:t xml:space="preserve"> induction on </w:t>
      </w:r>
      <w:r w:rsidRPr="002D4D75">
        <w:rPr>
          <w:i/>
          <w:lang w:val="en-US"/>
        </w:rPr>
        <w:t>Dendrobium nobile</w:t>
      </w:r>
      <w:r w:rsidRPr="009A51B8">
        <w:rPr>
          <w:lang w:val="en-US"/>
        </w:rPr>
        <w:t xml:space="preserve"> </w:t>
      </w:r>
      <w:r>
        <w:rPr>
          <w:lang w:val="en-US"/>
        </w:rPr>
        <w:t xml:space="preserve">Lindl. </w:t>
      </w:r>
      <w:r w:rsidRPr="009A51B8">
        <w:rPr>
          <w:lang w:val="en-US"/>
        </w:rPr>
        <w:t xml:space="preserve">orchid </w:t>
      </w:r>
      <w:r>
        <w:rPr>
          <w:lang w:val="en-US"/>
        </w:rPr>
        <w:t>was evaluated in two experiments experiment.</w:t>
      </w:r>
      <w:r w:rsidRPr="00953B78">
        <w:rPr>
          <w:lang w:val="en-US"/>
        </w:rPr>
        <w:t xml:space="preserve"> In </w:t>
      </w:r>
      <w:r>
        <w:rPr>
          <w:lang w:val="en-US"/>
        </w:rPr>
        <w:t xml:space="preserve">the first </w:t>
      </w:r>
      <w:r w:rsidRPr="00953B78">
        <w:rPr>
          <w:lang w:val="en-US"/>
        </w:rPr>
        <w:t xml:space="preserve">experiment </w:t>
      </w:r>
      <w:r>
        <w:rPr>
          <w:lang w:val="en-US"/>
        </w:rPr>
        <w:t xml:space="preserve">were evaluated cuttings </w:t>
      </w:r>
      <w:r w:rsidRPr="00953B78">
        <w:rPr>
          <w:lang w:val="en-US"/>
        </w:rPr>
        <w:t xml:space="preserve">from </w:t>
      </w:r>
      <w:r>
        <w:rPr>
          <w:lang w:val="en-US"/>
        </w:rPr>
        <w:t xml:space="preserve">already bloomed stems (mature) </w:t>
      </w:r>
      <w:r w:rsidRPr="00953B78">
        <w:rPr>
          <w:lang w:val="en-US"/>
        </w:rPr>
        <w:t xml:space="preserve">and </w:t>
      </w:r>
      <w:r>
        <w:rPr>
          <w:lang w:val="en-US"/>
        </w:rPr>
        <w:t xml:space="preserve">from stems </w:t>
      </w:r>
      <w:r w:rsidRPr="00953B78">
        <w:rPr>
          <w:lang w:val="en-US"/>
        </w:rPr>
        <w:t>that had not</w:t>
      </w:r>
      <w:r>
        <w:rPr>
          <w:lang w:val="en-US"/>
        </w:rPr>
        <w:t xml:space="preserve"> bloomed yet (young),</w:t>
      </w:r>
      <w:r w:rsidRPr="00953B78">
        <w:rPr>
          <w:lang w:val="en-US"/>
        </w:rPr>
        <w:t xml:space="preserve"> </w:t>
      </w:r>
      <w:r>
        <w:rPr>
          <w:lang w:val="en-US"/>
        </w:rPr>
        <w:t>in function of</w:t>
      </w:r>
      <w:r w:rsidRPr="00953B78">
        <w:rPr>
          <w:lang w:val="en-US"/>
        </w:rPr>
        <w:t xml:space="preserve"> the nitrogen (</w:t>
      </w:r>
      <w:r>
        <w:rPr>
          <w:lang w:val="en-US"/>
        </w:rPr>
        <w:t>Nitrate and A</w:t>
      </w:r>
      <w:r w:rsidRPr="00953B78">
        <w:rPr>
          <w:lang w:val="en-US"/>
        </w:rPr>
        <w:t>mmonia</w:t>
      </w:r>
      <w:r>
        <w:rPr>
          <w:lang w:val="en-US"/>
        </w:rPr>
        <w:t xml:space="preserve"> forms</w:t>
      </w:r>
      <w:r w:rsidRPr="00953B78">
        <w:rPr>
          <w:lang w:val="en-US"/>
        </w:rPr>
        <w:t xml:space="preserve">) </w:t>
      </w:r>
      <w:r>
        <w:rPr>
          <w:lang w:val="en-US"/>
        </w:rPr>
        <w:t>application under the following treatments</w:t>
      </w:r>
      <w:r w:rsidRPr="00953B78">
        <w:rPr>
          <w:lang w:val="en-US"/>
        </w:rPr>
        <w:t xml:space="preserve">: Calcium </w:t>
      </w:r>
      <w:r>
        <w:rPr>
          <w:lang w:val="en-US"/>
        </w:rPr>
        <w:t>N</w:t>
      </w:r>
      <w:r w:rsidRPr="00953B78">
        <w:rPr>
          <w:lang w:val="en-US"/>
        </w:rPr>
        <w:t xml:space="preserve">itrate </w:t>
      </w:r>
      <w:r>
        <w:rPr>
          <w:lang w:val="en-US"/>
        </w:rPr>
        <w:t xml:space="preserve">at concentrations of 5.81gL-1; 11.61gL-1; </w:t>
      </w:r>
      <w:r w:rsidRPr="00953B78">
        <w:rPr>
          <w:lang w:val="en-US"/>
        </w:rPr>
        <w:t xml:space="preserve">17.42gL-1; </w:t>
      </w:r>
      <w:r>
        <w:rPr>
          <w:lang w:val="en-US"/>
        </w:rPr>
        <w:t xml:space="preserve">and </w:t>
      </w:r>
      <w:r w:rsidRPr="00953B78">
        <w:rPr>
          <w:lang w:val="en-US"/>
        </w:rPr>
        <w:t>2.00gL-1</w:t>
      </w:r>
      <w:r>
        <w:rPr>
          <w:lang w:val="en-US"/>
        </w:rPr>
        <w:t>;</w:t>
      </w:r>
      <w:r w:rsidRPr="00953B78">
        <w:rPr>
          <w:lang w:val="en-US"/>
        </w:rPr>
        <w:t xml:space="preserve"> and Urea</w:t>
      </w:r>
      <w:r>
        <w:rPr>
          <w:lang w:val="en-US"/>
        </w:rPr>
        <w:t xml:space="preserve"> at concentrations of </w:t>
      </w:r>
      <w:r w:rsidRPr="00953B78">
        <w:rPr>
          <w:lang w:val="en-US"/>
        </w:rPr>
        <w:t>4.00gL-1</w:t>
      </w:r>
      <w:r>
        <w:rPr>
          <w:lang w:val="en-US"/>
        </w:rPr>
        <w:t xml:space="preserve"> and </w:t>
      </w:r>
      <w:r w:rsidRPr="00953B78">
        <w:rPr>
          <w:lang w:val="en-US"/>
        </w:rPr>
        <w:t>6.00gL-</w:t>
      </w:r>
      <w:smartTag w:uri="urn:schemas-microsoft-com:office:smarttags" w:element="metricconverter">
        <w:smartTagPr>
          <w:attr w:name="ProductID" w:val="1. In"/>
        </w:smartTagPr>
        <w:r w:rsidRPr="00953B78">
          <w:rPr>
            <w:lang w:val="en-US"/>
          </w:rPr>
          <w:t>1</w:t>
        </w:r>
        <w:r>
          <w:rPr>
            <w:lang w:val="en-US"/>
          </w:rPr>
          <w:t xml:space="preserve">. </w:t>
        </w:r>
        <w:r w:rsidRPr="00953B78">
          <w:rPr>
            <w:lang w:val="en-US"/>
          </w:rPr>
          <w:t>In</w:t>
        </w:r>
      </w:smartTag>
      <w:r w:rsidRPr="00953B78">
        <w:rPr>
          <w:lang w:val="en-US"/>
        </w:rPr>
        <w:t xml:space="preserve"> </w:t>
      </w:r>
      <w:r>
        <w:rPr>
          <w:lang w:val="en-US"/>
        </w:rPr>
        <w:t xml:space="preserve">the second experiment </w:t>
      </w:r>
      <w:r w:rsidRPr="00953B78">
        <w:rPr>
          <w:lang w:val="en-US"/>
        </w:rPr>
        <w:t xml:space="preserve">the proportion of </w:t>
      </w:r>
      <w:r w:rsidRPr="009A51B8">
        <w:rPr>
          <w:rStyle w:val="longtext"/>
          <w:shd w:val="clear" w:color="auto" w:fill="FFFFFF"/>
          <w:lang w:val="en-US"/>
        </w:rPr>
        <w:t>successful cuttings</w:t>
      </w:r>
      <w:r w:rsidRPr="00953B78">
        <w:rPr>
          <w:lang w:val="en-US"/>
        </w:rPr>
        <w:t xml:space="preserve"> </w:t>
      </w:r>
      <w:r>
        <w:rPr>
          <w:lang w:val="en-US"/>
        </w:rPr>
        <w:t xml:space="preserve">on mature stems </w:t>
      </w:r>
      <w:r w:rsidRPr="00953B78">
        <w:rPr>
          <w:lang w:val="en-US"/>
        </w:rPr>
        <w:t>was evaluated a</w:t>
      </w:r>
      <w:r>
        <w:rPr>
          <w:lang w:val="en-US"/>
        </w:rPr>
        <w:t>ccording to the application of S</w:t>
      </w:r>
      <w:r w:rsidRPr="00953B78">
        <w:rPr>
          <w:lang w:val="en-US"/>
        </w:rPr>
        <w:t xml:space="preserve">alicylic </w:t>
      </w:r>
      <w:r>
        <w:rPr>
          <w:lang w:val="en-US"/>
        </w:rPr>
        <w:t>acid</w:t>
      </w:r>
      <w:r w:rsidRPr="00953B78">
        <w:rPr>
          <w:lang w:val="en-US"/>
        </w:rPr>
        <w:t xml:space="preserve"> in concentrations</w:t>
      </w:r>
      <w:r>
        <w:rPr>
          <w:lang w:val="en-US"/>
        </w:rPr>
        <w:t xml:space="preserve"> of</w:t>
      </w:r>
      <w:r w:rsidRPr="00953B78">
        <w:rPr>
          <w:lang w:val="en-US"/>
        </w:rPr>
        <w:t>: 0.10mm, 0.50mm, 1.00mm and control (0.00mm). In experiment 1</w:t>
      </w:r>
      <w:r>
        <w:rPr>
          <w:lang w:val="en-US"/>
        </w:rPr>
        <w:t>,</w:t>
      </w:r>
      <w:r w:rsidRPr="00953B78">
        <w:rPr>
          <w:lang w:val="en-US"/>
        </w:rPr>
        <w:t xml:space="preserve"> analyzed variables</w:t>
      </w:r>
      <w:r>
        <w:rPr>
          <w:lang w:val="en-US"/>
        </w:rPr>
        <w:t xml:space="preserve"> were</w:t>
      </w:r>
      <w:r w:rsidRPr="00953B78">
        <w:rPr>
          <w:lang w:val="en-US"/>
        </w:rPr>
        <w:t xml:space="preserve">: proportion of </w:t>
      </w:r>
      <w:r w:rsidRPr="009A51B8">
        <w:rPr>
          <w:rStyle w:val="longtext"/>
          <w:shd w:val="clear" w:color="auto" w:fill="FFFFFF"/>
          <w:lang w:val="en-US"/>
        </w:rPr>
        <w:t>successful cuttings</w:t>
      </w:r>
      <w:r w:rsidRPr="00953B78">
        <w:rPr>
          <w:lang w:val="en-US"/>
        </w:rPr>
        <w:t>, proportion of rot</w:t>
      </w:r>
      <w:r>
        <w:rPr>
          <w:lang w:val="en-US"/>
        </w:rPr>
        <w:t>ten cuttings stalks</w:t>
      </w:r>
      <w:r w:rsidRPr="00953B78">
        <w:rPr>
          <w:lang w:val="en-US"/>
        </w:rPr>
        <w:t xml:space="preserve">, vigor, </w:t>
      </w:r>
      <w:r w:rsidRPr="009B3E83">
        <w:rPr>
          <w:rStyle w:val="longtext"/>
          <w:shd w:val="clear" w:color="auto" w:fill="FFFFFF"/>
          <w:lang w:val="en-US"/>
        </w:rPr>
        <w:t>number of roots/plant and root length/</w:t>
      </w:r>
      <w:r w:rsidRPr="009B3E83">
        <w:rPr>
          <w:rStyle w:val="longtext"/>
          <w:lang w:val="en-US"/>
        </w:rPr>
        <w:t>per plant</w:t>
      </w:r>
      <w:r w:rsidRPr="00953B78">
        <w:rPr>
          <w:lang w:val="en-US"/>
        </w:rPr>
        <w:t xml:space="preserve">. In experiment 1, the variable proportion of </w:t>
      </w:r>
      <w:r>
        <w:rPr>
          <w:rStyle w:val="longtext"/>
          <w:shd w:val="clear" w:color="auto" w:fill="FFFFFF"/>
          <w:lang w:val="en-US"/>
        </w:rPr>
        <w:t>rotten cuttings stalks</w:t>
      </w:r>
      <w:r>
        <w:rPr>
          <w:lang w:val="en-US"/>
        </w:rPr>
        <w:t xml:space="preserve"> were negative correlated </w:t>
      </w:r>
      <w:r w:rsidRPr="00953B78">
        <w:rPr>
          <w:lang w:val="en-US"/>
        </w:rPr>
        <w:t xml:space="preserve">with the proportion of </w:t>
      </w:r>
      <w:r w:rsidRPr="009A51B8">
        <w:rPr>
          <w:rStyle w:val="longtext"/>
          <w:shd w:val="clear" w:color="auto" w:fill="FFFFFF"/>
          <w:lang w:val="en-US"/>
        </w:rPr>
        <w:t>successful cuttings</w:t>
      </w:r>
      <w:r>
        <w:rPr>
          <w:rStyle w:val="longtext"/>
          <w:shd w:val="clear" w:color="auto" w:fill="FFFFFF"/>
          <w:lang w:val="en-US"/>
        </w:rPr>
        <w:t xml:space="preserve"> on young stems </w:t>
      </w:r>
      <w:r w:rsidRPr="00953B78">
        <w:rPr>
          <w:lang w:val="en-US"/>
        </w:rPr>
        <w:t>(</w:t>
      </w:r>
      <w:r w:rsidRPr="009A51B8">
        <w:rPr>
          <w:i/>
          <w:lang w:val="en-US"/>
        </w:rPr>
        <w:t>r</w:t>
      </w:r>
      <w:r w:rsidRPr="00953B78">
        <w:rPr>
          <w:lang w:val="en-US"/>
        </w:rPr>
        <w:t xml:space="preserve"> = - 0.34). Regarding the effect of fertilization there were no significant statistically increases in any of the variables. In experiment 2 variables</w:t>
      </w:r>
      <w:r>
        <w:rPr>
          <w:lang w:val="en-US"/>
        </w:rPr>
        <w:t xml:space="preserve"> evaluated were</w:t>
      </w:r>
      <w:r w:rsidRPr="00953B78">
        <w:rPr>
          <w:lang w:val="en-US"/>
        </w:rPr>
        <w:t xml:space="preserve">: proportion of </w:t>
      </w:r>
      <w:r w:rsidRPr="009A51B8">
        <w:rPr>
          <w:rStyle w:val="longtext"/>
          <w:shd w:val="clear" w:color="auto" w:fill="FFFFFF"/>
          <w:lang w:val="en-US"/>
        </w:rPr>
        <w:t>successful cuttings</w:t>
      </w:r>
      <w:r w:rsidRPr="00953B78">
        <w:rPr>
          <w:lang w:val="en-US"/>
        </w:rPr>
        <w:t xml:space="preserve">, shoot height, length of </w:t>
      </w:r>
      <w:r>
        <w:rPr>
          <w:lang w:val="en-US"/>
        </w:rPr>
        <w:t xml:space="preserve">the biggest </w:t>
      </w:r>
      <w:r w:rsidRPr="00953B78">
        <w:rPr>
          <w:lang w:val="en-US"/>
        </w:rPr>
        <w:t xml:space="preserve">roots and number of roots. The dosage of Salicylic </w:t>
      </w:r>
      <w:r>
        <w:rPr>
          <w:lang w:val="en-US"/>
        </w:rPr>
        <w:t>acid</w:t>
      </w:r>
      <w:r w:rsidRPr="00953B78">
        <w:rPr>
          <w:lang w:val="en-US"/>
        </w:rPr>
        <w:t xml:space="preserve"> 0.50mm had the highest result</w:t>
      </w:r>
      <w:r>
        <w:rPr>
          <w:lang w:val="en-US"/>
        </w:rPr>
        <w:t xml:space="preserve"> for</w:t>
      </w:r>
      <w:r w:rsidRPr="00953B78">
        <w:rPr>
          <w:lang w:val="en-US"/>
        </w:rPr>
        <w:t xml:space="preserve"> proportion of </w:t>
      </w:r>
      <w:r w:rsidRPr="009A51B8">
        <w:rPr>
          <w:rStyle w:val="longtext"/>
          <w:shd w:val="clear" w:color="auto" w:fill="FFFFFF"/>
          <w:lang w:val="en-US"/>
        </w:rPr>
        <w:t>successful cuttings</w:t>
      </w:r>
      <w:r w:rsidRPr="00953B78">
        <w:rPr>
          <w:lang w:val="en-US"/>
        </w:rPr>
        <w:t xml:space="preserve"> with 43.3% against 23.3% </w:t>
      </w:r>
      <w:r>
        <w:rPr>
          <w:lang w:val="en-US"/>
        </w:rPr>
        <w:t xml:space="preserve">in </w:t>
      </w:r>
      <w:r w:rsidRPr="00953B78">
        <w:rPr>
          <w:lang w:val="en-US"/>
        </w:rPr>
        <w:t xml:space="preserve">the </w:t>
      </w:r>
      <w:r>
        <w:rPr>
          <w:lang w:val="en-US"/>
        </w:rPr>
        <w:t>control treatment</w:t>
      </w:r>
      <w:r w:rsidRPr="00953B78">
        <w:rPr>
          <w:lang w:val="en-US"/>
        </w:rPr>
        <w:t>.</w:t>
      </w:r>
    </w:p>
    <w:p w:rsidR="00BC7D1A" w:rsidRDefault="00BC7D1A" w:rsidP="002717DB">
      <w:pPr>
        <w:spacing w:line="480" w:lineRule="auto"/>
        <w:jc w:val="both"/>
        <w:rPr>
          <w:lang w:val="en-US"/>
        </w:rPr>
      </w:pPr>
      <w:r w:rsidRPr="008F557F">
        <w:rPr>
          <w:b/>
          <w:lang w:val="en-US"/>
        </w:rPr>
        <w:t>Key words:</w:t>
      </w:r>
      <w:r>
        <w:rPr>
          <w:lang w:val="en-US"/>
        </w:rPr>
        <w:t xml:space="preserve"> c</w:t>
      </w:r>
      <w:r w:rsidRPr="00093971">
        <w:rPr>
          <w:lang w:val="en-US"/>
        </w:rPr>
        <w:t>utting, propagation</w:t>
      </w:r>
      <w:r>
        <w:rPr>
          <w:lang w:val="en-US"/>
        </w:rPr>
        <w:t>, scion, orchids</w:t>
      </w:r>
    </w:p>
    <w:p w:rsidR="00BC7D1A" w:rsidRDefault="00BC7D1A" w:rsidP="002717DB">
      <w:pPr>
        <w:spacing w:line="480" w:lineRule="auto"/>
        <w:jc w:val="both"/>
        <w:rPr>
          <w:b/>
          <w:lang w:val="en-US"/>
        </w:rPr>
      </w:pPr>
    </w:p>
    <w:p w:rsidR="00BC7D1A" w:rsidRPr="009A266B" w:rsidRDefault="00BC7D1A" w:rsidP="002717DB">
      <w:pPr>
        <w:spacing w:line="480" w:lineRule="auto"/>
        <w:jc w:val="both"/>
        <w:rPr>
          <w:b/>
          <w:lang w:val="en-US"/>
        </w:rPr>
      </w:pPr>
      <w:r>
        <w:rPr>
          <w:b/>
          <w:lang w:val="en-US"/>
        </w:rPr>
        <w:t>INTRODUTION</w:t>
      </w:r>
    </w:p>
    <w:p w:rsidR="00BC7D1A" w:rsidRDefault="00BC7D1A" w:rsidP="002F3D3D">
      <w:pPr>
        <w:spacing w:line="480" w:lineRule="auto"/>
        <w:jc w:val="both"/>
        <w:rPr>
          <w:lang w:val="en-US"/>
        </w:rPr>
      </w:pPr>
      <w:r>
        <w:rPr>
          <w:lang w:val="en-US"/>
        </w:rPr>
        <w:t>Flower cultivation</w:t>
      </w:r>
      <w:r w:rsidRPr="0072249C">
        <w:rPr>
          <w:lang w:val="en-US"/>
        </w:rPr>
        <w:t xml:space="preserve"> in Brazil moves about $ 2 billion/year, representing 0.22% </w:t>
      </w:r>
      <w:r>
        <w:rPr>
          <w:lang w:val="en-US"/>
        </w:rPr>
        <w:t xml:space="preserve">only </w:t>
      </w:r>
      <w:r w:rsidRPr="0072249C">
        <w:rPr>
          <w:lang w:val="en-US"/>
        </w:rPr>
        <w:t xml:space="preserve">of the world business </w:t>
      </w:r>
      <w:r>
        <w:rPr>
          <w:lang w:val="en-US"/>
        </w:rPr>
        <w:t xml:space="preserve">of </w:t>
      </w:r>
      <w:r w:rsidRPr="0072249C">
        <w:rPr>
          <w:lang w:val="en-US"/>
        </w:rPr>
        <w:t xml:space="preserve">this sector however, in the last two decades, on </w:t>
      </w:r>
      <w:r>
        <w:rPr>
          <w:lang w:val="en-US"/>
        </w:rPr>
        <w:t>the</w:t>
      </w:r>
      <w:r w:rsidRPr="0072249C">
        <w:rPr>
          <w:lang w:val="en-US"/>
        </w:rPr>
        <w:t xml:space="preserve"> internal market</w:t>
      </w:r>
      <w:r>
        <w:rPr>
          <w:lang w:val="en-US"/>
        </w:rPr>
        <w:t xml:space="preserve">, was observed </w:t>
      </w:r>
      <w:r w:rsidRPr="0072249C">
        <w:rPr>
          <w:lang w:val="en-US"/>
        </w:rPr>
        <w:t>a growth rate of 20%</w:t>
      </w:r>
      <w:r>
        <w:rPr>
          <w:lang w:val="en-US"/>
        </w:rPr>
        <w:t>/</w:t>
      </w:r>
      <w:r w:rsidRPr="0072249C">
        <w:rPr>
          <w:lang w:val="en-US"/>
        </w:rPr>
        <w:t>year, that consumes alm</w:t>
      </w:r>
      <w:r>
        <w:rPr>
          <w:lang w:val="en-US"/>
        </w:rPr>
        <w:t>ost all that is produced (Batalha and Buainain</w:t>
      </w:r>
      <w:r w:rsidRPr="0072249C">
        <w:rPr>
          <w:lang w:val="en-US"/>
        </w:rPr>
        <w:t xml:space="preserve"> 2007). </w:t>
      </w:r>
      <w:r>
        <w:rPr>
          <w:lang w:val="en-US"/>
        </w:rPr>
        <w:t>E</w:t>
      </w:r>
      <w:r w:rsidRPr="0072249C">
        <w:rPr>
          <w:lang w:val="en-US"/>
        </w:rPr>
        <w:t xml:space="preserve">xports of orchid scions totalized $152 thousands </w:t>
      </w:r>
      <w:r>
        <w:rPr>
          <w:lang w:val="en-US"/>
        </w:rPr>
        <w:t>at</w:t>
      </w:r>
      <w:r w:rsidRPr="0072249C">
        <w:rPr>
          <w:lang w:val="en-US"/>
        </w:rPr>
        <w:t xml:space="preserve"> 2010 and, in the following year US$103 mil, i.e., a decrease of 31.8%. However, for the same period, orchid </w:t>
      </w:r>
      <w:r>
        <w:rPr>
          <w:lang w:val="en-US"/>
        </w:rPr>
        <w:t>plantlet</w:t>
      </w:r>
      <w:r w:rsidRPr="0072249C">
        <w:rPr>
          <w:lang w:val="en-US"/>
        </w:rPr>
        <w:t xml:space="preserve"> imports increased 60.4%, passing form US$4.2 to US$6.7 mil</w:t>
      </w:r>
      <w:r>
        <w:rPr>
          <w:lang w:val="en-US"/>
        </w:rPr>
        <w:t>lion (Secex</w:t>
      </w:r>
      <w:r w:rsidRPr="0072249C">
        <w:rPr>
          <w:lang w:val="en-US"/>
        </w:rPr>
        <w:t xml:space="preserve"> 2012). Considering that the item “</w:t>
      </w:r>
      <w:r>
        <w:rPr>
          <w:lang w:val="en-US"/>
        </w:rPr>
        <w:t>plantlet</w:t>
      </w:r>
      <w:r w:rsidRPr="0072249C">
        <w:rPr>
          <w:lang w:val="en-US"/>
        </w:rPr>
        <w:t xml:space="preserve">” is a basic insume associated to the final orchid production can be said that expansion </w:t>
      </w:r>
      <w:r>
        <w:rPr>
          <w:lang w:val="en-US"/>
        </w:rPr>
        <w:t xml:space="preserve">of such cultivation </w:t>
      </w:r>
      <w:r w:rsidRPr="0072249C">
        <w:rPr>
          <w:lang w:val="en-US"/>
        </w:rPr>
        <w:t>is occurring in the country and that it ha</w:t>
      </w:r>
      <w:r>
        <w:rPr>
          <w:lang w:val="en-US"/>
        </w:rPr>
        <w:t>s</w:t>
      </w:r>
      <w:r w:rsidRPr="0072249C">
        <w:rPr>
          <w:lang w:val="en-US"/>
        </w:rPr>
        <w:t xml:space="preserve"> been made with imported </w:t>
      </w:r>
      <w:r>
        <w:rPr>
          <w:lang w:val="en-US"/>
        </w:rPr>
        <w:t>plantlets</w:t>
      </w:r>
      <w:r w:rsidRPr="0072249C">
        <w:rPr>
          <w:lang w:val="en-US"/>
        </w:rPr>
        <w:t>.</w:t>
      </w:r>
    </w:p>
    <w:p w:rsidR="00BC7D1A" w:rsidRDefault="00BC7D1A" w:rsidP="003F0A93">
      <w:pPr>
        <w:spacing w:line="480" w:lineRule="auto"/>
        <w:jc w:val="both"/>
        <w:rPr>
          <w:rStyle w:val="longtext"/>
          <w:shd w:val="clear" w:color="auto" w:fill="FFFFFF"/>
          <w:lang w:val="en-US"/>
        </w:rPr>
      </w:pPr>
      <w:r>
        <w:rPr>
          <w:rStyle w:val="longtext"/>
          <w:shd w:val="clear" w:color="auto" w:fill="FFFFFF"/>
          <w:lang w:val="en-US"/>
        </w:rPr>
        <w:t xml:space="preserve">Flower cultivation </w:t>
      </w:r>
      <w:r w:rsidRPr="0072249C">
        <w:rPr>
          <w:rStyle w:val="longtext"/>
          <w:shd w:val="clear" w:color="auto" w:fill="FFFFFF"/>
          <w:lang w:val="en-US"/>
        </w:rPr>
        <w:t>is a profitable and attractive agricultural sector that involves significant manpower 3</w:t>
      </w:r>
      <w:r>
        <w:rPr>
          <w:rStyle w:val="longtext"/>
          <w:shd w:val="clear" w:color="auto" w:fill="FFFFFF"/>
          <w:lang w:val="en-US"/>
        </w:rPr>
        <w:t>.8</w:t>
      </w:r>
      <w:r w:rsidRPr="0072249C">
        <w:rPr>
          <w:rStyle w:val="longtext"/>
          <w:shd w:val="clear" w:color="auto" w:fill="FFFFFF"/>
          <w:lang w:val="en-US"/>
        </w:rPr>
        <w:t xml:space="preserve"> persons/ha </w:t>
      </w:r>
      <w:r>
        <w:rPr>
          <w:rStyle w:val="longtext"/>
          <w:shd w:val="clear" w:color="auto" w:fill="FFFFFF"/>
          <w:lang w:val="en-US"/>
        </w:rPr>
        <w:t xml:space="preserve">directly involved in the production </w:t>
      </w:r>
      <w:r>
        <w:rPr>
          <w:lang w:val="en-US"/>
        </w:rPr>
        <w:t>(Reetze et al.</w:t>
      </w:r>
      <w:r w:rsidRPr="0072249C">
        <w:rPr>
          <w:lang w:val="en-US"/>
        </w:rPr>
        <w:t xml:space="preserve"> 2007)</w:t>
      </w:r>
      <w:r w:rsidRPr="0072249C">
        <w:rPr>
          <w:rStyle w:val="longtext"/>
          <w:shd w:val="clear" w:color="auto" w:fill="FFFFFF"/>
          <w:lang w:val="en-US"/>
        </w:rPr>
        <w:t xml:space="preserve"> but generates high incomes and does not require large planting areas. Therefore, flower cultivation is a business that is self-sustainable, able to generate many labor positions and is accessible to micro </w:t>
      </w:r>
      <w:r>
        <w:rPr>
          <w:rStyle w:val="longtext"/>
          <w:shd w:val="clear" w:color="auto" w:fill="FFFFFF"/>
          <w:lang w:val="en-US"/>
        </w:rPr>
        <w:t>farm holders that use family members as a main work force</w:t>
      </w:r>
      <w:r w:rsidRPr="0072249C">
        <w:rPr>
          <w:rStyle w:val="longtext"/>
          <w:shd w:val="clear" w:color="auto" w:fill="FFFFFF"/>
          <w:lang w:val="en-US"/>
        </w:rPr>
        <w:t>. Noble Dendrobium is a fast-growing orchid</w:t>
      </w:r>
      <w:r w:rsidRPr="0072249C">
        <w:rPr>
          <w:rStyle w:val="Forte1"/>
          <w:b w:val="0"/>
          <w:lang w:val="en-US"/>
        </w:rPr>
        <w:t xml:space="preserve"> that vegetates </w:t>
      </w:r>
      <w:r w:rsidRPr="0072249C">
        <w:rPr>
          <w:lang w:val="en-US"/>
        </w:rPr>
        <w:t>well under t</w:t>
      </w:r>
      <w:r>
        <w:rPr>
          <w:lang w:val="en-US"/>
        </w:rPr>
        <w:t xml:space="preserve">he majority of substrates indicated for orchids. It </w:t>
      </w:r>
      <w:r w:rsidRPr="003F0A93">
        <w:rPr>
          <w:rStyle w:val="longtext"/>
          <w:shd w:val="clear" w:color="auto" w:fill="FFFFFF"/>
          <w:lang w:val="en-US"/>
        </w:rPr>
        <w:t xml:space="preserve">vegetates from plains to altitudes of </w:t>
      </w:r>
      <w:smartTag w:uri="urn:schemas-microsoft-com:office:smarttags" w:element="metricconverter">
        <w:smartTagPr>
          <w:attr w:name="ProductID" w:val="2000 m"/>
        </w:smartTagPr>
        <w:r w:rsidRPr="003F0A93">
          <w:rPr>
            <w:rStyle w:val="longtext"/>
            <w:shd w:val="clear" w:color="auto" w:fill="FFFFFF"/>
            <w:lang w:val="en-US"/>
          </w:rPr>
          <w:t>2000 m</w:t>
        </w:r>
      </w:smartTag>
      <w:r w:rsidRPr="003F0A93">
        <w:rPr>
          <w:rStyle w:val="longtext"/>
          <w:shd w:val="clear" w:color="auto" w:fill="FFFFFF"/>
          <w:lang w:val="en-US"/>
        </w:rPr>
        <w:t xml:space="preserve">. The plant withstands temperatures up to </w:t>
      </w:r>
      <w:smartTag w:uri="urn:schemas-microsoft-com:office:smarttags" w:element="metricconverter">
        <w:smartTagPr>
          <w:attr w:name="ProductID" w:val="1 °C"/>
        </w:smartTagPr>
        <w:r w:rsidRPr="003F0A93">
          <w:rPr>
            <w:rStyle w:val="longtext"/>
            <w:shd w:val="clear" w:color="auto" w:fill="FFFFFF"/>
            <w:lang w:val="en-US"/>
          </w:rPr>
          <w:t>1 °C</w:t>
        </w:r>
      </w:smartTag>
      <w:r w:rsidRPr="003F0A93">
        <w:rPr>
          <w:rStyle w:val="longtext"/>
          <w:shd w:val="clear" w:color="auto" w:fill="FFFFFF"/>
          <w:lang w:val="en-US"/>
        </w:rPr>
        <w:t xml:space="preserve"> (B</w:t>
      </w:r>
      <w:r>
        <w:rPr>
          <w:rStyle w:val="longtext"/>
          <w:shd w:val="clear" w:color="auto" w:fill="FFFFFF"/>
          <w:lang w:val="en-US"/>
        </w:rPr>
        <w:t>aker and</w:t>
      </w:r>
      <w:r w:rsidRPr="003F0A93">
        <w:rPr>
          <w:rStyle w:val="longtext"/>
          <w:shd w:val="clear" w:color="auto" w:fill="FFFFFF"/>
          <w:lang w:val="en-US"/>
        </w:rPr>
        <w:t xml:space="preserve"> B</w:t>
      </w:r>
      <w:r>
        <w:rPr>
          <w:rStyle w:val="longtext"/>
          <w:shd w:val="clear" w:color="auto" w:fill="FFFFFF"/>
          <w:lang w:val="en-US"/>
        </w:rPr>
        <w:t>aker</w:t>
      </w:r>
      <w:r w:rsidRPr="003F0A93">
        <w:rPr>
          <w:rStyle w:val="longtext"/>
          <w:shd w:val="clear" w:color="auto" w:fill="FFFFFF"/>
          <w:lang w:val="en-US"/>
        </w:rPr>
        <w:t xml:space="preserve"> 1996) but requires temperatures above 22C</w:t>
      </w:r>
      <w:r w:rsidRPr="003F0A93">
        <w:rPr>
          <w:rStyle w:val="longtext"/>
          <w:shd w:val="clear" w:color="auto" w:fill="FFFFFF"/>
          <w:vertAlign w:val="superscript"/>
          <w:lang w:val="en-US"/>
        </w:rPr>
        <w:t xml:space="preserve">o </w:t>
      </w:r>
      <w:r w:rsidRPr="003F0A93">
        <w:rPr>
          <w:rStyle w:val="longtext"/>
          <w:shd w:val="clear" w:color="auto" w:fill="FFFFFF"/>
          <w:lang w:val="en-US"/>
        </w:rPr>
        <w:t>for good vegetative development; low temperatures induce flowering that occurs from late winter to early summer (B</w:t>
      </w:r>
      <w:r>
        <w:rPr>
          <w:rStyle w:val="longtext"/>
          <w:shd w:val="clear" w:color="auto" w:fill="FFFFFF"/>
          <w:lang w:val="en-US"/>
        </w:rPr>
        <w:t>aker and</w:t>
      </w:r>
      <w:r w:rsidRPr="003F0A93">
        <w:rPr>
          <w:rStyle w:val="longtext"/>
          <w:shd w:val="clear" w:color="auto" w:fill="FFFFFF"/>
          <w:lang w:val="en-US"/>
        </w:rPr>
        <w:t xml:space="preserve"> B</w:t>
      </w:r>
      <w:r>
        <w:rPr>
          <w:rStyle w:val="longtext"/>
          <w:shd w:val="clear" w:color="auto" w:fill="FFFFFF"/>
          <w:lang w:val="en-US"/>
        </w:rPr>
        <w:t>aker</w:t>
      </w:r>
      <w:r w:rsidRPr="003F0A93">
        <w:rPr>
          <w:rStyle w:val="longtext"/>
          <w:shd w:val="clear" w:color="auto" w:fill="FFFFFF"/>
          <w:lang w:val="en-US"/>
        </w:rPr>
        <w:t xml:space="preserve"> 1996). Indeed, Noble Dendrobium is one of the easiest orchids to grow (C</w:t>
      </w:r>
      <w:r>
        <w:rPr>
          <w:rStyle w:val="longtext"/>
          <w:shd w:val="clear" w:color="auto" w:fill="FFFFFF"/>
          <w:lang w:val="en-US"/>
        </w:rPr>
        <w:t>ampos</w:t>
      </w:r>
      <w:r w:rsidRPr="003F0A93">
        <w:rPr>
          <w:rStyle w:val="longtext"/>
          <w:shd w:val="clear" w:color="auto" w:fill="FFFFFF"/>
          <w:lang w:val="en-US"/>
        </w:rPr>
        <w:t xml:space="preserve"> 1998; S</w:t>
      </w:r>
      <w:r>
        <w:rPr>
          <w:rStyle w:val="longtext"/>
          <w:shd w:val="clear" w:color="auto" w:fill="FFFFFF"/>
          <w:lang w:val="en-US"/>
        </w:rPr>
        <w:t>ilva</w:t>
      </w:r>
      <w:r w:rsidRPr="003F0A93">
        <w:rPr>
          <w:rStyle w:val="longtext"/>
          <w:shd w:val="clear" w:color="auto" w:fill="FFFFFF"/>
          <w:lang w:val="en-US"/>
        </w:rPr>
        <w:t xml:space="preserve"> 1986).</w:t>
      </w:r>
    </w:p>
    <w:p w:rsidR="00BC7D1A" w:rsidRPr="00CE4A41" w:rsidRDefault="00BC7D1A" w:rsidP="00CE4A41">
      <w:pPr>
        <w:spacing w:line="480" w:lineRule="auto"/>
        <w:jc w:val="both"/>
        <w:rPr>
          <w:lang w:val="en-US"/>
        </w:rPr>
      </w:pPr>
      <w:r w:rsidRPr="003F0A93">
        <w:rPr>
          <w:rStyle w:val="longtext"/>
          <w:shd w:val="clear" w:color="auto" w:fill="FFFFFF"/>
          <w:lang w:val="en-US"/>
        </w:rPr>
        <w:t>The Noble Dendrobium orchid (</w:t>
      </w:r>
      <w:r w:rsidRPr="003F0A93">
        <w:rPr>
          <w:rStyle w:val="longtext"/>
          <w:i/>
          <w:iCs/>
          <w:shd w:val="clear" w:color="auto" w:fill="FFFFFF"/>
          <w:lang w:val="en-US"/>
        </w:rPr>
        <w:t xml:space="preserve">Dendrobium nobile </w:t>
      </w:r>
      <w:r>
        <w:rPr>
          <w:rStyle w:val="longtext"/>
          <w:shd w:val="clear" w:color="auto" w:fill="FFFFFF"/>
          <w:lang w:val="en-US"/>
        </w:rPr>
        <w:t>Lindl.)</w:t>
      </w:r>
      <w:r w:rsidRPr="003F0A93">
        <w:rPr>
          <w:rStyle w:val="longtext"/>
          <w:shd w:val="clear" w:color="auto" w:fill="FFFFFF"/>
          <w:lang w:val="en-US"/>
        </w:rPr>
        <w:t xml:space="preserve"> is one of the three species used in the formulation of "Shi-Hu" (with </w:t>
      </w:r>
      <w:r w:rsidRPr="003F0A93">
        <w:rPr>
          <w:rStyle w:val="longtext"/>
          <w:i/>
          <w:iCs/>
          <w:shd w:val="clear" w:color="auto" w:fill="FFFFFF"/>
          <w:lang w:val="en-US"/>
        </w:rPr>
        <w:t>D. tosaense</w:t>
      </w:r>
      <w:r w:rsidRPr="003F0A93">
        <w:rPr>
          <w:rStyle w:val="longtext"/>
          <w:shd w:val="clear" w:color="auto" w:fill="FFFFFF"/>
          <w:lang w:val="en-US"/>
        </w:rPr>
        <w:t xml:space="preserve"> and </w:t>
      </w:r>
      <w:r w:rsidRPr="003F0A93">
        <w:rPr>
          <w:rStyle w:val="longtext"/>
          <w:i/>
          <w:iCs/>
          <w:shd w:val="clear" w:color="auto" w:fill="FFFFFF"/>
          <w:lang w:val="en-US"/>
        </w:rPr>
        <w:t>D. moniliforme</w:t>
      </w:r>
      <w:r>
        <w:rPr>
          <w:rStyle w:val="longtext"/>
          <w:shd w:val="clear" w:color="auto" w:fill="FFFFFF"/>
          <w:lang w:val="en-US"/>
        </w:rPr>
        <w:t>) (Lo et al.</w:t>
      </w:r>
      <w:r w:rsidRPr="003F0A93">
        <w:rPr>
          <w:rStyle w:val="longtext"/>
          <w:shd w:val="clear" w:color="auto" w:fill="FFFFFF"/>
          <w:lang w:val="en-US"/>
        </w:rPr>
        <w:t xml:space="preserve"> 2004; Y</w:t>
      </w:r>
      <w:r>
        <w:rPr>
          <w:rStyle w:val="longtext"/>
          <w:shd w:val="clear" w:color="auto" w:fill="FFFFFF"/>
          <w:lang w:val="en-US"/>
        </w:rPr>
        <w:t>e and</w:t>
      </w:r>
      <w:r w:rsidRPr="003F0A93">
        <w:rPr>
          <w:rStyle w:val="longtext"/>
          <w:shd w:val="clear" w:color="auto" w:fill="FFFFFF"/>
          <w:lang w:val="en-US"/>
        </w:rPr>
        <w:t xml:space="preserve"> Z</w:t>
      </w:r>
      <w:r>
        <w:rPr>
          <w:rStyle w:val="longtext"/>
          <w:shd w:val="clear" w:color="auto" w:fill="FFFFFF"/>
          <w:lang w:val="en-US"/>
        </w:rPr>
        <w:t>hao</w:t>
      </w:r>
      <w:r w:rsidRPr="003F0A93">
        <w:rPr>
          <w:rStyle w:val="longtext"/>
          <w:shd w:val="clear" w:color="auto" w:fill="FFFFFF"/>
          <w:lang w:val="en-US"/>
        </w:rPr>
        <w:t xml:space="preserve"> 2002), which is an antipyretic and tonic drink that is also described as an aphrodisiac in tradi</w:t>
      </w:r>
      <w:r>
        <w:rPr>
          <w:rStyle w:val="longtext"/>
          <w:shd w:val="clear" w:color="auto" w:fill="FFFFFF"/>
          <w:lang w:val="en-US"/>
        </w:rPr>
        <w:t>tional Chinese medicine (Hanelt</w:t>
      </w:r>
      <w:r w:rsidRPr="003F0A93">
        <w:rPr>
          <w:rStyle w:val="longtext"/>
          <w:shd w:val="clear" w:color="auto" w:fill="FFFFFF"/>
          <w:lang w:val="en-US"/>
        </w:rPr>
        <w:t xml:space="preserve"> 2001)</w:t>
      </w:r>
      <w:r>
        <w:rPr>
          <w:rStyle w:val="longtext"/>
          <w:shd w:val="clear" w:color="auto" w:fill="FFFFFF"/>
          <w:lang w:val="en-US"/>
        </w:rPr>
        <w:t xml:space="preserve">. </w:t>
      </w:r>
      <w:r w:rsidRPr="003F0A93">
        <w:rPr>
          <w:rStyle w:val="longtext"/>
          <w:shd w:val="clear" w:color="auto" w:fill="FFFFFF"/>
          <w:lang w:val="en-US"/>
        </w:rPr>
        <w:t xml:space="preserve">It also has </w:t>
      </w:r>
      <w:r>
        <w:rPr>
          <w:lang w:val="en-US"/>
        </w:rPr>
        <w:t>a</w:t>
      </w:r>
      <w:r w:rsidRPr="005032A7">
        <w:rPr>
          <w:iCs/>
          <w:lang w:val="en-US"/>
        </w:rPr>
        <w:t>ntitumor and antimicrobial activities and inhibition of</w:t>
      </w:r>
      <w:r>
        <w:rPr>
          <w:iCs/>
          <w:lang w:val="en-US"/>
        </w:rPr>
        <w:t xml:space="preserve"> </w:t>
      </w:r>
      <w:r w:rsidRPr="005032A7">
        <w:rPr>
          <w:i/>
          <w:iCs/>
          <w:lang w:val="en-US"/>
        </w:rPr>
        <w:t>in-vitro</w:t>
      </w:r>
      <w:r>
        <w:rPr>
          <w:iCs/>
          <w:lang w:val="en-US"/>
        </w:rPr>
        <w:t xml:space="preserve"> lipid peroxidation</w:t>
      </w:r>
      <w:r>
        <w:rPr>
          <w:lang w:val="en-US"/>
        </w:rPr>
        <w:t xml:space="preserve"> (Devi et al. </w:t>
      </w:r>
      <w:r w:rsidRPr="003F0A93">
        <w:rPr>
          <w:lang w:val="en-US"/>
        </w:rPr>
        <w:t>2009)</w:t>
      </w:r>
      <w:r>
        <w:rPr>
          <w:lang w:val="en-US"/>
        </w:rPr>
        <w:t xml:space="preserve"> and anti HIV (Sánchez-Duffhues et al.</w:t>
      </w:r>
      <w:r w:rsidRPr="003F0A93">
        <w:rPr>
          <w:lang w:val="en-US"/>
        </w:rPr>
        <w:t xml:space="preserve"> 2008). </w:t>
      </w:r>
      <w:r w:rsidRPr="00515C24">
        <w:rPr>
          <w:lang w:val="en-US"/>
        </w:rPr>
        <w:t xml:space="preserve">If its potential for pharmaceutical industry been confirmed a high demand </w:t>
      </w:r>
      <w:r>
        <w:rPr>
          <w:lang w:val="en-US"/>
        </w:rPr>
        <w:t>for plantlet production can increase vertiginously</w:t>
      </w:r>
      <w:r w:rsidRPr="00515C24">
        <w:rPr>
          <w:lang w:val="en-US"/>
        </w:rPr>
        <w:t>.</w:t>
      </w:r>
      <w:r>
        <w:rPr>
          <w:lang w:val="en-US"/>
        </w:rPr>
        <w:t xml:space="preserve"> Propagation </w:t>
      </w:r>
      <w:r w:rsidRPr="003F0A93">
        <w:rPr>
          <w:rStyle w:val="longtext"/>
          <w:shd w:val="clear" w:color="auto" w:fill="FFFFFF"/>
          <w:lang w:val="en-US"/>
        </w:rPr>
        <w:t>Noble Dendrobium orchid</w:t>
      </w:r>
      <w:r>
        <w:rPr>
          <w:rStyle w:val="longtext"/>
          <w:shd w:val="clear" w:color="auto" w:fill="FFFFFF"/>
          <w:lang w:val="en-US"/>
        </w:rPr>
        <w:t xml:space="preserve">, for hobbyists and for small producers, usually is made </w:t>
      </w:r>
      <w:r w:rsidRPr="00CE4A41">
        <w:rPr>
          <w:rStyle w:val="longtext"/>
          <w:shd w:val="clear" w:color="auto" w:fill="FFFFFF"/>
          <w:lang w:val="en-US"/>
        </w:rPr>
        <w:t xml:space="preserve">by </w:t>
      </w:r>
      <w:r w:rsidRPr="00144110">
        <w:rPr>
          <w:rStyle w:val="longtext"/>
          <w:shd w:val="clear" w:color="auto" w:fill="FFFFFF"/>
          <w:lang w:val="en-US"/>
        </w:rPr>
        <w:t>clump division</w:t>
      </w:r>
      <w:r>
        <w:rPr>
          <w:rStyle w:val="longtext"/>
          <w:shd w:val="clear" w:color="auto" w:fill="FFFFFF"/>
          <w:lang w:val="en-US"/>
        </w:rPr>
        <w:t>,</w:t>
      </w:r>
      <w:r w:rsidRPr="00144110">
        <w:rPr>
          <w:rStyle w:val="longtext"/>
          <w:shd w:val="clear" w:color="auto" w:fill="FFFFFF"/>
          <w:lang w:val="en-US"/>
        </w:rPr>
        <w:t xml:space="preserve"> </w:t>
      </w:r>
      <w:r w:rsidRPr="00CE4A41">
        <w:rPr>
          <w:rStyle w:val="longtext"/>
          <w:shd w:val="clear" w:color="auto" w:fill="FFFFFF"/>
          <w:lang w:val="en-US"/>
        </w:rPr>
        <w:t xml:space="preserve">cuttings and the </w:t>
      </w:r>
      <w:r w:rsidRPr="00CE4A41">
        <w:rPr>
          <w:lang w:val="en-US"/>
        </w:rPr>
        <w:t>shoots that appear in the axillary buds of leaves, called “Keikes”</w:t>
      </w:r>
      <w:r>
        <w:rPr>
          <w:lang w:val="en-US"/>
        </w:rPr>
        <w:t>. F</w:t>
      </w:r>
      <w:r w:rsidRPr="00CE4A41">
        <w:rPr>
          <w:rStyle w:val="longtext"/>
          <w:shd w:val="clear" w:color="auto" w:fill="FFFFFF"/>
          <w:lang w:val="en-US"/>
        </w:rPr>
        <w:t xml:space="preserve">or commercial purposes </w:t>
      </w:r>
      <w:r>
        <w:rPr>
          <w:lang w:val="en-US"/>
        </w:rPr>
        <w:t>propagation by mericlones is preferred.</w:t>
      </w:r>
      <w:r w:rsidRPr="00CE4A41">
        <w:rPr>
          <w:rStyle w:val="longtext"/>
          <w:shd w:val="clear" w:color="auto" w:fill="FFFFFF"/>
          <w:lang w:val="en-US"/>
        </w:rPr>
        <w:t xml:space="preserve"> Its propagation by seeds has only been adopted for purposes of genetic improvement</w:t>
      </w:r>
      <w:r>
        <w:rPr>
          <w:rStyle w:val="longtext"/>
          <w:shd w:val="clear" w:color="auto" w:fill="FFFFFF"/>
          <w:lang w:val="en-US"/>
        </w:rPr>
        <w:t xml:space="preserve"> because take the double the time to blossom compared to mericlones, </w:t>
      </w:r>
      <w:r w:rsidRPr="00144110">
        <w:rPr>
          <w:rStyle w:val="longtext"/>
          <w:shd w:val="clear" w:color="auto" w:fill="FFFFFF"/>
          <w:lang w:val="en-US"/>
        </w:rPr>
        <w:t>clump division</w:t>
      </w:r>
      <w:r>
        <w:rPr>
          <w:rStyle w:val="longtext"/>
          <w:shd w:val="clear" w:color="auto" w:fill="FFFFFF"/>
          <w:lang w:val="en-US"/>
        </w:rPr>
        <w:t xml:space="preserve"> or </w:t>
      </w:r>
      <w:r w:rsidRPr="00CE4A41">
        <w:rPr>
          <w:rStyle w:val="longtext"/>
          <w:shd w:val="clear" w:color="auto" w:fill="FFFFFF"/>
          <w:lang w:val="en-US"/>
        </w:rPr>
        <w:t>cuttings.</w:t>
      </w:r>
    </w:p>
    <w:p w:rsidR="00BC7D1A" w:rsidRPr="005373C7" w:rsidRDefault="00BC7D1A" w:rsidP="00782013">
      <w:pPr>
        <w:spacing w:line="480" w:lineRule="auto"/>
        <w:jc w:val="both"/>
        <w:rPr>
          <w:lang w:val="en-US"/>
        </w:rPr>
      </w:pPr>
      <w:r w:rsidRPr="00CE4A41">
        <w:rPr>
          <w:lang w:val="en-US"/>
        </w:rPr>
        <w:t>Cloning by cuttings h</w:t>
      </w:r>
      <w:r>
        <w:rPr>
          <w:lang w:val="en-US"/>
        </w:rPr>
        <w:t>a</w:t>
      </w:r>
      <w:r w:rsidRPr="00CE4A41">
        <w:rPr>
          <w:lang w:val="en-US"/>
        </w:rPr>
        <w:t>s the advantage to be made without laboratorial support as used to produce mericlones, h</w:t>
      </w:r>
      <w:r>
        <w:rPr>
          <w:lang w:val="en-US"/>
        </w:rPr>
        <w:t xml:space="preserve">owever its potential to produce plantlets by propagule is higher than </w:t>
      </w:r>
      <w:r w:rsidRPr="00144110">
        <w:rPr>
          <w:rStyle w:val="longtext"/>
          <w:shd w:val="clear" w:color="auto" w:fill="FFFFFF"/>
          <w:lang w:val="en-US"/>
        </w:rPr>
        <w:t>such clump division</w:t>
      </w:r>
      <w:r>
        <w:rPr>
          <w:rStyle w:val="longtext"/>
          <w:shd w:val="clear" w:color="auto" w:fill="FFFFFF"/>
          <w:lang w:val="en-US"/>
        </w:rPr>
        <w:t>,</w:t>
      </w:r>
      <w:r w:rsidRPr="00144110">
        <w:rPr>
          <w:rStyle w:val="longtext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cuttings and or </w:t>
      </w:r>
      <w:r w:rsidRPr="00CE4A41">
        <w:rPr>
          <w:lang w:val="en-US"/>
        </w:rPr>
        <w:t xml:space="preserve">Keikes. </w:t>
      </w:r>
      <w:r w:rsidRPr="008E6430">
        <w:rPr>
          <w:lang w:val="en-US"/>
        </w:rPr>
        <w:t>However, many stem cuttings do not emit leaves or roots and eventually rot</w:t>
      </w:r>
      <w:r>
        <w:rPr>
          <w:lang w:val="en-US"/>
        </w:rPr>
        <w:t>. T</w:t>
      </w:r>
      <w:r w:rsidRPr="008E6430">
        <w:rPr>
          <w:lang w:val="en-US"/>
        </w:rPr>
        <w:t xml:space="preserve">he highest proportion of </w:t>
      </w:r>
      <w:r w:rsidRPr="008E6430">
        <w:rPr>
          <w:rStyle w:val="longtext"/>
          <w:shd w:val="clear" w:color="auto" w:fill="FFFFFF"/>
          <w:lang w:val="en-US"/>
        </w:rPr>
        <w:t>successful cuttings</w:t>
      </w:r>
      <w:r w:rsidRPr="008E6430">
        <w:rPr>
          <w:lang w:val="en-US"/>
        </w:rPr>
        <w:t xml:space="preserve"> </w:t>
      </w:r>
      <w:r>
        <w:rPr>
          <w:lang w:val="en-US"/>
        </w:rPr>
        <w:t xml:space="preserve">obtained with </w:t>
      </w:r>
      <w:r w:rsidRPr="008E6430">
        <w:rPr>
          <w:lang w:val="en-US"/>
        </w:rPr>
        <w:t>stem cuttings</w:t>
      </w:r>
      <w:r>
        <w:rPr>
          <w:lang w:val="en-US"/>
        </w:rPr>
        <w:t xml:space="preserve"> layered on </w:t>
      </w:r>
      <w:r w:rsidRPr="008E6430">
        <w:rPr>
          <w:lang w:val="en-US"/>
        </w:rPr>
        <w:t>gravel</w:t>
      </w:r>
      <w:r>
        <w:rPr>
          <w:lang w:val="en-US"/>
        </w:rPr>
        <w:t xml:space="preserve"> sprinkled with Urea, a nitrogen fertilizer, at</w:t>
      </w:r>
      <w:r w:rsidRPr="008E6430">
        <w:rPr>
          <w:lang w:val="en-US"/>
        </w:rPr>
        <w:t xml:space="preserve"> 2gL</w:t>
      </w:r>
      <w:r w:rsidRPr="008E6430">
        <w:rPr>
          <w:vertAlign w:val="superscript"/>
          <w:lang w:val="en-US"/>
        </w:rPr>
        <w:t>-1</w:t>
      </w:r>
      <w:r>
        <w:rPr>
          <w:lang w:val="en-US"/>
        </w:rPr>
        <w:t>, was</w:t>
      </w:r>
      <w:r w:rsidRPr="008E6430">
        <w:rPr>
          <w:lang w:val="en-US"/>
        </w:rPr>
        <w:t xml:space="preserve"> 40.7%</w:t>
      </w:r>
      <w:r>
        <w:rPr>
          <w:lang w:val="en-US"/>
        </w:rPr>
        <w:t xml:space="preserve"> (Venturieri and</w:t>
      </w:r>
      <w:r w:rsidRPr="008E6430">
        <w:rPr>
          <w:lang w:val="en-US"/>
        </w:rPr>
        <w:t xml:space="preserve"> </w:t>
      </w:r>
      <w:r w:rsidRPr="008E6430">
        <w:rPr>
          <w:spacing w:val="-3"/>
          <w:lang w:val="en-US"/>
        </w:rPr>
        <w:t>Pickscius</w:t>
      </w:r>
      <w:r w:rsidRPr="008E6430">
        <w:rPr>
          <w:lang w:val="en-US"/>
        </w:rPr>
        <w:t xml:space="preserve"> 2012). </w:t>
      </w:r>
      <w:r w:rsidRPr="009A266B">
        <w:rPr>
          <w:lang w:val="en-US"/>
        </w:rPr>
        <w:t>According to Yen (2008) prolonged ferti</w:t>
      </w:r>
      <w:r>
        <w:rPr>
          <w:lang w:val="en-US"/>
        </w:rPr>
        <w:t>li</w:t>
      </w:r>
      <w:r w:rsidRPr="009A266B">
        <w:rPr>
          <w:lang w:val="en-US"/>
        </w:rPr>
        <w:t xml:space="preserve">zer application on </w:t>
      </w:r>
      <w:r w:rsidRPr="009A266B">
        <w:rPr>
          <w:i/>
          <w:lang w:val="en-US"/>
        </w:rPr>
        <w:t>D. nobile</w:t>
      </w:r>
      <w:r w:rsidRPr="009A266B">
        <w:rPr>
          <w:lang w:val="en-US"/>
        </w:rPr>
        <w:t xml:space="preserve"> plants increases vegetative development a</w:t>
      </w:r>
      <w:r>
        <w:rPr>
          <w:lang w:val="en-US"/>
        </w:rPr>
        <w:t xml:space="preserve">nd </w:t>
      </w:r>
      <w:r w:rsidRPr="00CE4A41">
        <w:rPr>
          <w:lang w:val="en-US"/>
        </w:rPr>
        <w:t>axillaries buds</w:t>
      </w:r>
      <w:r>
        <w:rPr>
          <w:lang w:val="en-US"/>
        </w:rPr>
        <w:t xml:space="preserve"> of leaves development</w:t>
      </w:r>
      <w:r w:rsidRPr="009A266B">
        <w:rPr>
          <w:lang w:val="en-US"/>
        </w:rPr>
        <w:t>. Salic</w:t>
      </w:r>
      <w:r>
        <w:rPr>
          <w:lang w:val="en-US"/>
        </w:rPr>
        <w:t>ylic acid</w:t>
      </w:r>
      <w:r w:rsidRPr="009A266B">
        <w:rPr>
          <w:lang w:val="en-US"/>
        </w:rPr>
        <w:t xml:space="preserve"> is considered a growth regulator with many positive effects</w:t>
      </w:r>
      <w:r>
        <w:rPr>
          <w:lang w:val="en-US"/>
        </w:rPr>
        <w:t xml:space="preserve"> </w:t>
      </w:r>
      <w:r w:rsidRPr="009A266B">
        <w:rPr>
          <w:lang w:val="en-US"/>
        </w:rPr>
        <w:t>on plants as: flowering stimulant, d</w:t>
      </w:r>
      <w:r>
        <w:rPr>
          <w:lang w:val="en-US"/>
        </w:rPr>
        <w:t>isease resistance and Ethylene synthesis inhibition (Raskin</w:t>
      </w:r>
      <w:r w:rsidRPr="009A266B">
        <w:rPr>
          <w:lang w:val="en-US"/>
        </w:rPr>
        <w:t xml:space="preserve"> 1992). </w:t>
      </w:r>
      <w:r w:rsidRPr="002F537D">
        <w:rPr>
          <w:lang w:val="en-US"/>
        </w:rPr>
        <w:t>Carvalho et al</w:t>
      </w:r>
      <w:r>
        <w:rPr>
          <w:lang w:val="en-US"/>
        </w:rPr>
        <w:t>.</w:t>
      </w:r>
      <w:r w:rsidRPr="002F537D">
        <w:rPr>
          <w:lang w:val="en-US"/>
        </w:rPr>
        <w:t xml:space="preserve"> (2007) observed </w:t>
      </w:r>
      <w:r>
        <w:rPr>
          <w:lang w:val="en-US"/>
        </w:rPr>
        <w:t xml:space="preserve">that </w:t>
      </w:r>
      <w:r w:rsidRPr="002F537D">
        <w:rPr>
          <w:lang w:val="en-US"/>
        </w:rPr>
        <w:t>germination increase</w:t>
      </w:r>
      <w:r>
        <w:rPr>
          <w:lang w:val="en-US"/>
        </w:rPr>
        <w:t>d</w:t>
      </w:r>
      <w:r w:rsidRPr="002F537D">
        <w:rPr>
          <w:lang w:val="en-US"/>
        </w:rPr>
        <w:t xml:space="preserve"> in </w:t>
      </w:r>
      <w:r w:rsidRPr="002F537D">
        <w:rPr>
          <w:i/>
          <w:lang w:val="en-US"/>
        </w:rPr>
        <w:t xml:space="preserve">Calendula officinalis </w:t>
      </w:r>
      <w:r w:rsidRPr="002F537D">
        <w:rPr>
          <w:lang w:val="en-US"/>
        </w:rPr>
        <w:t xml:space="preserve">L. and Campos et al. </w:t>
      </w:r>
      <w:r w:rsidRPr="005373C7">
        <w:rPr>
          <w:lang w:val="en-US"/>
        </w:rPr>
        <w:t>(2004) in beans</w:t>
      </w:r>
      <w:r>
        <w:rPr>
          <w:lang w:val="en-US"/>
        </w:rPr>
        <w:t xml:space="preserve"> an </w:t>
      </w:r>
      <w:r w:rsidRPr="005373C7">
        <w:rPr>
          <w:lang w:val="en-US"/>
        </w:rPr>
        <w:t>increase</w:t>
      </w:r>
      <w:r>
        <w:rPr>
          <w:lang w:val="en-US"/>
        </w:rPr>
        <w:t xml:space="preserve"> for </w:t>
      </w:r>
      <w:r w:rsidRPr="005373C7">
        <w:rPr>
          <w:lang w:val="en-US"/>
        </w:rPr>
        <w:t>anthracnose resistance.</w:t>
      </w:r>
    </w:p>
    <w:p w:rsidR="00BC7D1A" w:rsidRPr="00986025" w:rsidRDefault="00BC7D1A" w:rsidP="00782013">
      <w:pPr>
        <w:spacing w:line="480" w:lineRule="auto"/>
        <w:jc w:val="both"/>
        <w:rPr>
          <w:lang w:val="en-US"/>
        </w:rPr>
      </w:pPr>
      <w:r>
        <w:rPr>
          <w:lang w:val="en-US"/>
        </w:rPr>
        <w:t>Aiming to improve the propagation of</w:t>
      </w:r>
      <w:r w:rsidRPr="00986025">
        <w:rPr>
          <w:lang w:val="en-US"/>
        </w:rPr>
        <w:t xml:space="preserve"> </w:t>
      </w:r>
      <w:r w:rsidRPr="00986025">
        <w:rPr>
          <w:i/>
          <w:lang w:val="en-US"/>
        </w:rPr>
        <w:t>D. nobile</w:t>
      </w:r>
      <w:r>
        <w:rPr>
          <w:lang w:val="en-US"/>
        </w:rPr>
        <w:t xml:space="preserve"> by cuttings, i</w:t>
      </w:r>
      <w:r w:rsidRPr="00986025">
        <w:rPr>
          <w:lang w:val="en-US"/>
        </w:rPr>
        <w:t>n the present study, the effects</w:t>
      </w:r>
      <w:r>
        <w:rPr>
          <w:lang w:val="en-US"/>
        </w:rPr>
        <w:t xml:space="preserve"> of</w:t>
      </w:r>
      <w:r w:rsidRPr="00986025">
        <w:rPr>
          <w:lang w:val="en-US"/>
        </w:rPr>
        <w:t xml:space="preserve"> </w:t>
      </w:r>
      <w:r>
        <w:rPr>
          <w:lang w:val="en-US"/>
        </w:rPr>
        <w:t xml:space="preserve">stems’ </w:t>
      </w:r>
      <w:r w:rsidRPr="00986025">
        <w:rPr>
          <w:lang w:val="en-US"/>
        </w:rPr>
        <w:t xml:space="preserve">age </w:t>
      </w:r>
      <w:r>
        <w:rPr>
          <w:lang w:val="en-US"/>
        </w:rPr>
        <w:t>used for</w:t>
      </w:r>
      <w:r w:rsidRPr="00986025">
        <w:rPr>
          <w:lang w:val="en-US"/>
        </w:rPr>
        <w:t xml:space="preserve"> the stem cuttings</w:t>
      </w:r>
      <w:r>
        <w:rPr>
          <w:lang w:val="en-US"/>
        </w:rPr>
        <w:t>,</w:t>
      </w:r>
      <w:r w:rsidRPr="00986025">
        <w:rPr>
          <w:lang w:val="en-US"/>
        </w:rPr>
        <w:t xml:space="preserve"> in interaction with nitrogen fertilizer and Salicylic </w:t>
      </w:r>
      <w:r>
        <w:rPr>
          <w:lang w:val="en-US"/>
        </w:rPr>
        <w:t>acid</w:t>
      </w:r>
      <w:r w:rsidRPr="00986025">
        <w:rPr>
          <w:lang w:val="en-US"/>
        </w:rPr>
        <w:t xml:space="preserve"> application</w:t>
      </w:r>
      <w:r>
        <w:rPr>
          <w:lang w:val="en-US"/>
        </w:rPr>
        <w:t xml:space="preserve"> were evaluated</w:t>
      </w:r>
      <w:r w:rsidRPr="00986025">
        <w:rPr>
          <w:lang w:val="en-US"/>
        </w:rPr>
        <w:t xml:space="preserve"> on</w:t>
      </w:r>
      <w:r w:rsidRPr="00986025">
        <w:rPr>
          <w:rStyle w:val="longtext"/>
          <w:shd w:val="clear" w:color="auto" w:fill="FFFFFF"/>
          <w:lang w:val="en-US"/>
        </w:rPr>
        <w:t>: proportion of successful cuttings</w:t>
      </w:r>
      <w:r w:rsidRPr="00986025">
        <w:rPr>
          <w:lang w:val="en-US"/>
        </w:rPr>
        <w:t xml:space="preserve"> </w:t>
      </w:r>
      <w:r>
        <w:rPr>
          <w:lang w:val="en-US"/>
        </w:rPr>
        <w:t>and their quality.</w:t>
      </w:r>
    </w:p>
    <w:p w:rsidR="00BC7D1A" w:rsidRPr="00986025" w:rsidRDefault="00BC7D1A" w:rsidP="002717DB">
      <w:pPr>
        <w:spacing w:line="480" w:lineRule="auto"/>
        <w:jc w:val="both"/>
        <w:rPr>
          <w:lang w:val="en-US"/>
        </w:rPr>
      </w:pPr>
    </w:p>
    <w:p w:rsidR="00BC7D1A" w:rsidRPr="005373C7" w:rsidRDefault="00BC7D1A" w:rsidP="002717DB">
      <w:pPr>
        <w:spacing w:line="480" w:lineRule="auto"/>
        <w:jc w:val="both"/>
        <w:rPr>
          <w:b/>
          <w:lang w:val="en-US"/>
        </w:rPr>
      </w:pPr>
      <w:r w:rsidRPr="005373C7">
        <w:rPr>
          <w:b/>
          <w:lang w:val="en-US"/>
        </w:rPr>
        <w:t>M</w:t>
      </w:r>
      <w:r>
        <w:rPr>
          <w:b/>
          <w:lang w:val="en-US"/>
        </w:rPr>
        <w:t>ATERIAL END METHODS</w:t>
      </w:r>
    </w:p>
    <w:p w:rsidR="00BC7D1A" w:rsidRPr="00076504" w:rsidRDefault="00BC7D1A" w:rsidP="00782013">
      <w:pPr>
        <w:spacing w:line="480" w:lineRule="auto"/>
        <w:jc w:val="both"/>
        <w:rPr>
          <w:lang w:val="en-US"/>
        </w:rPr>
      </w:pPr>
      <w:r>
        <w:rPr>
          <w:rStyle w:val="longtext"/>
          <w:shd w:val="clear" w:color="auto" w:fill="FFFFFF"/>
          <w:lang w:val="en-US"/>
        </w:rPr>
        <w:t>C</w:t>
      </w:r>
      <w:r w:rsidRPr="00076504">
        <w:rPr>
          <w:rStyle w:val="longtext"/>
          <w:shd w:val="clear" w:color="auto" w:fill="FFFFFF"/>
          <w:lang w:val="en-US"/>
        </w:rPr>
        <w:t xml:space="preserve">uttings </w:t>
      </w:r>
      <w:r>
        <w:rPr>
          <w:rStyle w:val="longtext"/>
          <w:shd w:val="clear" w:color="auto" w:fill="FFFFFF"/>
          <w:lang w:val="en-US"/>
        </w:rPr>
        <w:t xml:space="preserve">production </w:t>
      </w:r>
      <w:r w:rsidRPr="00076504">
        <w:rPr>
          <w:rStyle w:val="longtext"/>
          <w:shd w:val="clear" w:color="auto" w:fill="FFFFFF"/>
          <w:lang w:val="en-US"/>
        </w:rPr>
        <w:t>was evaluated</w:t>
      </w:r>
      <w:r>
        <w:rPr>
          <w:rStyle w:val="longtext"/>
          <w:shd w:val="clear" w:color="auto" w:fill="FFFFFF"/>
          <w:lang w:val="en-US"/>
        </w:rPr>
        <w:t xml:space="preserve"> in</w:t>
      </w:r>
      <w:r w:rsidRPr="00076504">
        <w:rPr>
          <w:rStyle w:val="longtext"/>
          <w:shd w:val="clear" w:color="auto" w:fill="FFFFFF"/>
          <w:lang w:val="en-US"/>
        </w:rPr>
        <w:t xml:space="preserve"> </w:t>
      </w:r>
      <w:r w:rsidRPr="00076504">
        <w:rPr>
          <w:i/>
          <w:lang w:val="en-US"/>
        </w:rPr>
        <w:t>Dendrobium nobile</w:t>
      </w:r>
      <w:r w:rsidRPr="00076504">
        <w:rPr>
          <w:lang w:val="en-US"/>
        </w:rPr>
        <w:t xml:space="preserve"> Lindl</w:t>
      </w:r>
      <w:r>
        <w:rPr>
          <w:lang w:val="en-US"/>
        </w:rPr>
        <w:t xml:space="preserve">. </w:t>
      </w:r>
      <w:r w:rsidRPr="00076504">
        <w:rPr>
          <w:lang w:val="en-US"/>
        </w:rPr>
        <w:t xml:space="preserve">in </w:t>
      </w:r>
      <w:r>
        <w:rPr>
          <w:lang w:val="en-US"/>
        </w:rPr>
        <w:t>two different experiments. They are:</w:t>
      </w:r>
    </w:p>
    <w:p w:rsidR="00BC7D1A" w:rsidRPr="00AB79E3" w:rsidRDefault="00BC7D1A" w:rsidP="00782013">
      <w:pPr>
        <w:spacing w:line="480" w:lineRule="auto"/>
        <w:jc w:val="both"/>
        <w:rPr>
          <w:lang w:val="en-US"/>
        </w:rPr>
      </w:pPr>
      <w:r w:rsidRPr="00CD4B3B">
        <w:rPr>
          <w:b/>
          <w:lang w:val="en-US"/>
        </w:rPr>
        <w:t xml:space="preserve">Experiment 1: </w:t>
      </w:r>
      <w:r w:rsidRPr="00CD4B3B">
        <w:rPr>
          <w:i/>
          <w:lang w:val="en-US"/>
        </w:rPr>
        <w:t xml:space="preserve">Evaluation of </w:t>
      </w:r>
      <w:r>
        <w:rPr>
          <w:i/>
          <w:lang w:val="en-US"/>
        </w:rPr>
        <w:t xml:space="preserve">stems </w:t>
      </w:r>
      <w:r w:rsidRPr="00CD4B3B">
        <w:rPr>
          <w:i/>
          <w:lang w:val="en-US"/>
        </w:rPr>
        <w:t xml:space="preserve">age and nitrogen fertilizer application on </w:t>
      </w:r>
      <w:r>
        <w:rPr>
          <w:i/>
          <w:lang w:val="en-US"/>
        </w:rPr>
        <w:t>cutting production</w:t>
      </w:r>
      <w:r w:rsidRPr="00CD4B3B">
        <w:rPr>
          <w:lang w:val="en-US"/>
        </w:rPr>
        <w:t xml:space="preserve">. </w:t>
      </w:r>
      <w:r>
        <w:rPr>
          <w:lang w:val="en-US"/>
        </w:rPr>
        <w:t>For this experiment were</w:t>
      </w:r>
      <w:r w:rsidRPr="00CD4B3B">
        <w:rPr>
          <w:lang w:val="en-US"/>
        </w:rPr>
        <w:t xml:space="preserve"> used </w:t>
      </w:r>
      <w:r>
        <w:rPr>
          <w:lang w:val="en-US"/>
        </w:rPr>
        <w:t>stem cuttings,</w:t>
      </w:r>
      <w:r w:rsidRPr="002060F6">
        <w:rPr>
          <w:lang w:val="en-US"/>
        </w:rPr>
        <w:t xml:space="preserve"> </w:t>
      </w:r>
      <w:r w:rsidRPr="00CD4B3B">
        <w:rPr>
          <w:lang w:val="en-US"/>
        </w:rPr>
        <w:t>with 4 buds (approximately 20cm in length)</w:t>
      </w:r>
      <w:r>
        <w:rPr>
          <w:lang w:val="en-US"/>
        </w:rPr>
        <w:t xml:space="preserve">, from </w:t>
      </w:r>
      <w:r w:rsidRPr="00CD4B3B">
        <w:rPr>
          <w:lang w:val="en-US"/>
        </w:rPr>
        <w:t xml:space="preserve">a bulk of </w:t>
      </w:r>
      <w:r w:rsidRPr="00CD4B3B">
        <w:rPr>
          <w:i/>
          <w:lang w:val="en-US"/>
        </w:rPr>
        <w:t xml:space="preserve">D. nobile </w:t>
      </w:r>
      <w:r w:rsidRPr="00CD4B3B">
        <w:rPr>
          <w:lang w:val="en-US"/>
        </w:rPr>
        <w:t xml:space="preserve">Yamamoto series </w:t>
      </w:r>
      <w:r>
        <w:rPr>
          <w:lang w:val="en-US"/>
        </w:rPr>
        <w:t>cultivars (Yamamoto Dendrobiums</w:t>
      </w:r>
      <w:r w:rsidRPr="00CD4B3B">
        <w:rPr>
          <w:lang w:val="en-US"/>
        </w:rPr>
        <w:t xml:space="preserve"> s.d.), </w:t>
      </w:r>
      <w:r>
        <w:rPr>
          <w:lang w:val="en-US"/>
        </w:rPr>
        <w:t xml:space="preserve">from stems </w:t>
      </w:r>
      <w:r w:rsidRPr="00CD4B3B">
        <w:rPr>
          <w:lang w:val="en-US"/>
        </w:rPr>
        <w:t xml:space="preserve">of 2 ages: a) mature – from </w:t>
      </w:r>
      <w:r>
        <w:rPr>
          <w:lang w:val="en-US"/>
        </w:rPr>
        <w:t>already bloomed stems on the year they were collected</w:t>
      </w:r>
      <w:r w:rsidRPr="00CD4B3B">
        <w:rPr>
          <w:lang w:val="en-US"/>
        </w:rPr>
        <w:t xml:space="preserve">; </w:t>
      </w:r>
      <w:r>
        <w:rPr>
          <w:lang w:val="en-US"/>
        </w:rPr>
        <w:t>and</w:t>
      </w:r>
      <w:r w:rsidRPr="00CD4B3B">
        <w:rPr>
          <w:lang w:val="en-US"/>
        </w:rPr>
        <w:t xml:space="preserve"> b) </w:t>
      </w:r>
      <w:r>
        <w:rPr>
          <w:lang w:val="en-US"/>
        </w:rPr>
        <w:t>young</w:t>
      </w:r>
      <w:r w:rsidRPr="00CD4B3B">
        <w:rPr>
          <w:lang w:val="en-US"/>
        </w:rPr>
        <w:t xml:space="preserve"> – </w:t>
      </w:r>
      <w:r>
        <w:rPr>
          <w:lang w:val="en-US"/>
        </w:rPr>
        <w:t>from stems that had not bloomed on the year they were collected</w:t>
      </w:r>
      <w:r w:rsidRPr="00CD4B3B">
        <w:rPr>
          <w:lang w:val="en-US"/>
        </w:rPr>
        <w:t xml:space="preserve">. All stems </w:t>
      </w:r>
      <w:r>
        <w:rPr>
          <w:lang w:val="en-US"/>
        </w:rPr>
        <w:t>cuttings</w:t>
      </w:r>
      <w:r w:rsidRPr="00CD4B3B">
        <w:rPr>
          <w:lang w:val="en-US"/>
        </w:rPr>
        <w:t xml:space="preserve"> were immersed in fungicide (Mancozeb</w:t>
      </w:r>
      <w:r>
        <w:rPr>
          <w:rStyle w:val="FootnoteReference"/>
        </w:rPr>
        <w:footnoteReference w:id="1"/>
      </w:r>
      <w:r w:rsidRPr="00CD4B3B">
        <w:rPr>
          <w:lang w:val="en-US"/>
        </w:rPr>
        <w:t xml:space="preserve"> 1.60g/L) </w:t>
      </w:r>
      <w:r>
        <w:rPr>
          <w:lang w:val="en-US"/>
        </w:rPr>
        <w:t xml:space="preserve">and </w:t>
      </w:r>
      <w:r w:rsidRPr="00CD4B3B">
        <w:rPr>
          <w:lang w:val="en-US"/>
        </w:rPr>
        <w:t xml:space="preserve">placed standing on </w:t>
      </w:r>
      <w:r>
        <w:rPr>
          <w:lang w:val="en-US"/>
        </w:rPr>
        <w:t xml:space="preserve">gravel </w:t>
      </w:r>
      <w:r w:rsidRPr="00CD4B3B">
        <w:rPr>
          <w:lang w:val="en-US"/>
        </w:rPr>
        <w:t>substrate</w:t>
      </w:r>
      <w:r>
        <w:rPr>
          <w:lang w:val="en-US"/>
        </w:rPr>
        <w:t xml:space="preserve"> at</w:t>
      </w:r>
      <w:r w:rsidRPr="00CD4B3B">
        <w:rPr>
          <w:lang w:val="en-US"/>
        </w:rPr>
        <w:t xml:space="preserve"> 44.2 x 28.0 x 7.5cm </w:t>
      </w:r>
      <w:r>
        <w:rPr>
          <w:lang w:val="en-US"/>
        </w:rPr>
        <w:t xml:space="preserve">plastic trays. </w:t>
      </w:r>
      <w:r w:rsidRPr="000930D4">
        <w:rPr>
          <w:lang w:val="en-US"/>
        </w:rPr>
        <w:t xml:space="preserve">For drainage, trays were base perforated. </w:t>
      </w:r>
      <w:r w:rsidRPr="000370A8">
        <w:rPr>
          <w:lang w:val="en-US"/>
        </w:rPr>
        <w:t>Applied trea</w:t>
      </w:r>
      <w:r>
        <w:rPr>
          <w:lang w:val="en-US"/>
        </w:rPr>
        <w:t>t</w:t>
      </w:r>
      <w:r w:rsidRPr="000370A8">
        <w:rPr>
          <w:lang w:val="en-US"/>
        </w:rPr>
        <w:t>men</w:t>
      </w:r>
      <w:r>
        <w:rPr>
          <w:lang w:val="en-US"/>
        </w:rPr>
        <w:t>t</w:t>
      </w:r>
      <w:r w:rsidRPr="000370A8">
        <w:rPr>
          <w:lang w:val="en-US"/>
        </w:rPr>
        <w:t>s were: aspersion of Calcium Nitrate</w:t>
      </w:r>
      <w:r>
        <w:rPr>
          <w:rStyle w:val="FootnoteReference"/>
        </w:rPr>
        <w:footnoteReference w:id="2"/>
      </w:r>
      <w:r w:rsidRPr="000370A8">
        <w:rPr>
          <w:lang w:val="en-US"/>
        </w:rPr>
        <w:t xml:space="preserve"> at the concentration of: 5.81 gL</w:t>
      </w:r>
      <w:r w:rsidRPr="000370A8">
        <w:rPr>
          <w:vertAlign w:val="superscript"/>
          <w:lang w:val="en-US"/>
        </w:rPr>
        <w:t>-1</w:t>
      </w:r>
      <w:r w:rsidRPr="000370A8">
        <w:rPr>
          <w:lang w:val="en-US"/>
        </w:rPr>
        <w:t xml:space="preserve"> (T1), 11.61 gL</w:t>
      </w:r>
      <w:r w:rsidRPr="000370A8">
        <w:rPr>
          <w:vertAlign w:val="superscript"/>
          <w:lang w:val="en-US"/>
        </w:rPr>
        <w:t>-1</w:t>
      </w:r>
      <w:r w:rsidRPr="000370A8">
        <w:rPr>
          <w:lang w:val="en-US"/>
        </w:rPr>
        <w:t xml:space="preserve"> (T2) </w:t>
      </w:r>
      <w:r>
        <w:rPr>
          <w:lang w:val="en-US"/>
        </w:rPr>
        <w:t>and</w:t>
      </w:r>
      <w:r w:rsidRPr="000370A8">
        <w:rPr>
          <w:lang w:val="en-US"/>
        </w:rPr>
        <w:t xml:space="preserve"> 17.42 gL</w:t>
      </w:r>
      <w:r w:rsidRPr="000370A8">
        <w:rPr>
          <w:vertAlign w:val="superscript"/>
          <w:lang w:val="en-US"/>
        </w:rPr>
        <w:t>-1</w:t>
      </w:r>
      <w:r w:rsidRPr="000370A8">
        <w:rPr>
          <w:lang w:val="en-US"/>
        </w:rPr>
        <w:t xml:space="preserve"> (T3); and Urea</w:t>
      </w:r>
      <w:r>
        <w:rPr>
          <w:rStyle w:val="FootnoteReference"/>
        </w:rPr>
        <w:footnoteReference w:id="3"/>
      </w:r>
      <w:r>
        <w:rPr>
          <w:lang w:val="en-US"/>
        </w:rPr>
        <w:t xml:space="preserve"> </w:t>
      </w:r>
      <w:r w:rsidRPr="000370A8">
        <w:rPr>
          <w:lang w:val="en-US"/>
        </w:rPr>
        <w:t>at concentrations of: 2.00 gL</w:t>
      </w:r>
      <w:r w:rsidRPr="000370A8">
        <w:rPr>
          <w:vertAlign w:val="superscript"/>
          <w:lang w:val="en-US"/>
        </w:rPr>
        <w:t>-1</w:t>
      </w:r>
      <w:r w:rsidRPr="000370A8">
        <w:rPr>
          <w:lang w:val="en-US"/>
        </w:rPr>
        <w:t xml:space="preserve"> (T4), 4.00 gL</w:t>
      </w:r>
      <w:r w:rsidRPr="000370A8">
        <w:rPr>
          <w:vertAlign w:val="superscript"/>
          <w:lang w:val="en-US"/>
        </w:rPr>
        <w:t>-1</w:t>
      </w:r>
      <w:r w:rsidRPr="000370A8">
        <w:rPr>
          <w:lang w:val="en-US"/>
        </w:rPr>
        <w:t xml:space="preserve"> (T5) </w:t>
      </w:r>
      <w:r>
        <w:rPr>
          <w:lang w:val="en-US"/>
        </w:rPr>
        <w:t>and</w:t>
      </w:r>
      <w:r w:rsidRPr="000370A8">
        <w:rPr>
          <w:lang w:val="en-US"/>
        </w:rPr>
        <w:t xml:space="preserve"> 6.00 gL</w:t>
      </w:r>
      <w:r w:rsidRPr="000370A8">
        <w:rPr>
          <w:vertAlign w:val="superscript"/>
          <w:lang w:val="en-US"/>
        </w:rPr>
        <w:t>-1</w:t>
      </w:r>
      <w:r w:rsidRPr="000370A8">
        <w:rPr>
          <w:lang w:val="en-US"/>
        </w:rPr>
        <w:t xml:space="preserve"> (T6) the control treatment receiv</w:t>
      </w:r>
      <w:r>
        <w:rPr>
          <w:lang w:val="en-US"/>
        </w:rPr>
        <w:t>ed water only at the same volume used for the other treatments</w:t>
      </w:r>
      <w:r w:rsidRPr="000370A8">
        <w:rPr>
          <w:lang w:val="en-US"/>
        </w:rPr>
        <w:t xml:space="preserve">. </w:t>
      </w:r>
      <w:r w:rsidRPr="000930D4">
        <w:rPr>
          <w:lang w:val="en-US"/>
        </w:rPr>
        <w:t xml:space="preserve">Aspersions were made up to dripping point. </w:t>
      </w:r>
      <w:r>
        <w:rPr>
          <w:lang w:val="en-US"/>
        </w:rPr>
        <w:t>Treatments were applied fortnightly. C</w:t>
      </w:r>
      <w:r w:rsidRPr="000370A8">
        <w:rPr>
          <w:lang w:val="en-US"/>
        </w:rPr>
        <w:t>oncentration</w:t>
      </w:r>
      <w:r>
        <w:rPr>
          <w:lang w:val="en-US"/>
        </w:rPr>
        <w:t>s</w:t>
      </w:r>
      <w:r w:rsidRPr="000370A8">
        <w:rPr>
          <w:lang w:val="en-US"/>
        </w:rPr>
        <w:t xml:space="preserve"> of Calcium Nitrate (mainly N at nitric form) and Urea (N at ammoniac form) were adjusted to </w:t>
      </w:r>
      <w:r>
        <w:rPr>
          <w:lang w:val="en-US"/>
        </w:rPr>
        <w:t xml:space="preserve">make pairs of </w:t>
      </w:r>
      <w:r w:rsidRPr="000370A8">
        <w:rPr>
          <w:lang w:val="en-US"/>
        </w:rPr>
        <w:t xml:space="preserve">treatments with </w:t>
      </w:r>
      <w:r>
        <w:rPr>
          <w:lang w:val="en-US"/>
        </w:rPr>
        <w:t xml:space="preserve">the same level of theoretical </w:t>
      </w:r>
      <w:r w:rsidRPr="000370A8">
        <w:rPr>
          <w:lang w:val="en-US"/>
        </w:rPr>
        <w:t>Nit</w:t>
      </w:r>
      <w:r>
        <w:rPr>
          <w:lang w:val="en-US"/>
        </w:rPr>
        <w:t>r</w:t>
      </w:r>
      <w:r w:rsidRPr="000370A8">
        <w:rPr>
          <w:lang w:val="en-US"/>
        </w:rPr>
        <w:t>ogen.</w:t>
      </w:r>
      <w:r>
        <w:rPr>
          <w:lang w:val="en-US"/>
        </w:rPr>
        <w:t xml:space="preserve"> </w:t>
      </w:r>
      <w:r w:rsidRPr="00597698">
        <w:rPr>
          <w:lang w:val="en-US"/>
        </w:rPr>
        <w:t xml:space="preserve">Treatments were applied during 3 months. </w:t>
      </w:r>
      <w:r w:rsidRPr="00AB79E3">
        <w:rPr>
          <w:lang w:val="en-US"/>
        </w:rPr>
        <w:t xml:space="preserve">The </w:t>
      </w:r>
      <w:r>
        <w:rPr>
          <w:lang w:val="en-US"/>
        </w:rPr>
        <w:t>adopted</w:t>
      </w:r>
      <w:r w:rsidRPr="00AB79E3">
        <w:rPr>
          <w:lang w:val="en-US"/>
        </w:rPr>
        <w:t xml:space="preserve"> experimental </w:t>
      </w:r>
      <w:r>
        <w:rPr>
          <w:lang w:val="en-US"/>
        </w:rPr>
        <w:t>design</w:t>
      </w:r>
      <w:r w:rsidRPr="00AB79E3">
        <w:rPr>
          <w:lang w:val="en-US"/>
        </w:rPr>
        <w:t xml:space="preserve"> was entirely randomized with 4 stem </w:t>
      </w:r>
      <w:r>
        <w:rPr>
          <w:lang w:val="en-US"/>
        </w:rPr>
        <w:t>cuttings</w:t>
      </w:r>
      <w:r w:rsidRPr="00AB79E3">
        <w:rPr>
          <w:lang w:val="en-US"/>
        </w:rPr>
        <w:t xml:space="preserve"> by plot a</w:t>
      </w:r>
      <w:r>
        <w:rPr>
          <w:lang w:val="en-US"/>
        </w:rPr>
        <w:t>nd 3 plots by treatment</w:t>
      </w:r>
      <w:r w:rsidRPr="00AB79E3">
        <w:rPr>
          <w:lang w:val="en-US"/>
        </w:rPr>
        <w:t xml:space="preserve">. </w:t>
      </w:r>
      <w:r w:rsidRPr="00947610">
        <w:rPr>
          <w:rStyle w:val="longtext"/>
          <w:shd w:val="clear" w:color="auto" w:fill="FFFFFF"/>
          <w:lang w:val="en-US"/>
        </w:rPr>
        <w:t xml:space="preserve">The evaluated parameters were as follows: proportion of successful </w:t>
      </w:r>
      <w:r>
        <w:rPr>
          <w:rStyle w:val="longtext"/>
          <w:shd w:val="clear" w:color="auto" w:fill="FFFFFF"/>
          <w:lang w:val="en-US"/>
        </w:rPr>
        <w:t xml:space="preserve">stem </w:t>
      </w:r>
      <w:r w:rsidRPr="00947610">
        <w:rPr>
          <w:rStyle w:val="longtext"/>
          <w:shd w:val="clear" w:color="auto" w:fill="FFFFFF"/>
          <w:lang w:val="en-US"/>
        </w:rPr>
        <w:t xml:space="preserve">cuttings (considered when the </w:t>
      </w:r>
      <w:r>
        <w:rPr>
          <w:rStyle w:val="longtext"/>
          <w:shd w:val="clear" w:color="auto" w:fill="FFFFFF"/>
          <w:lang w:val="en-US"/>
        </w:rPr>
        <w:t xml:space="preserve">stem cutting </w:t>
      </w:r>
      <w:r w:rsidRPr="00947610">
        <w:rPr>
          <w:rStyle w:val="longtext"/>
          <w:shd w:val="clear" w:color="auto" w:fill="FFFFFF"/>
          <w:lang w:val="en-US"/>
        </w:rPr>
        <w:t xml:space="preserve">launched shoots and/or roots), proportion of rotten </w:t>
      </w:r>
      <w:r>
        <w:rPr>
          <w:rStyle w:val="longtext"/>
          <w:shd w:val="clear" w:color="auto" w:fill="FFFFFF"/>
          <w:lang w:val="en-US"/>
        </w:rPr>
        <w:t>cuttings stalks;</w:t>
      </w:r>
      <w:r w:rsidRPr="00947610">
        <w:rPr>
          <w:rStyle w:val="longtext"/>
          <w:shd w:val="clear" w:color="auto" w:fill="FFFFFF"/>
          <w:lang w:val="en-US"/>
        </w:rPr>
        <w:t xml:space="preserve"> vigor (subjectively evaluated by assigning scores from 0 to 10</w:t>
      </w:r>
      <w:r w:rsidRPr="00947610">
        <w:rPr>
          <w:lang w:val="en-US"/>
        </w:rPr>
        <w:t xml:space="preserve">, </w:t>
      </w:r>
      <w:r>
        <w:rPr>
          <w:lang w:val="en-US"/>
        </w:rPr>
        <w:t>0</w:t>
      </w:r>
      <w:r w:rsidRPr="00947610">
        <w:rPr>
          <w:lang w:val="en-US"/>
        </w:rPr>
        <w:t xml:space="preserve"> a</w:t>
      </w:r>
      <w:r>
        <w:rPr>
          <w:lang w:val="en-US"/>
        </w:rPr>
        <w:t>t</w:t>
      </w:r>
      <w:r w:rsidRPr="00947610">
        <w:rPr>
          <w:lang w:val="en-US"/>
        </w:rPr>
        <w:t xml:space="preserve">tributed to rotten stem </w:t>
      </w:r>
      <w:r>
        <w:rPr>
          <w:lang w:val="en-US"/>
        </w:rPr>
        <w:t xml:space="preserve">cuttings </w:t>
      </w:r>
      <w:r w:rsidRPr="00947610">
        <w:rPr>
          <w:lang w:val="en-US"/>
        </w:rPr>
        <w:t>and/or wit</w:t>
      </w:r>
      <w:r>
        <w:rPr>
          <w:lang w:val="en-US"/>
        </w:rPr>
        <w:t>hout bud leaf or root emission</w:t>
      </w:r>
      <w:r w:rsidRPr="00947610">
        <w:rPr>
          <w:lang w:val="en-US"/>
        </w:rPr>
        <w:t xml:space="preserve">, 5 </w:t>
      </w:r>
      <w:r>
        <w:rPr>
          <w:lang w:val="en-US"/>
        </w:rPr>
        <w:t>to steams cuttings with</w:t>
      </w:r>
      <w:r w:rsidRPr="00947610">
        <w:rPr>
          <w:lang w:val="en-US"/>
        </w:rPr>
        <w:t xml:space="preserve"> 5cm </w:t>
      </w:r>
      <w:r>
        <w:rPr>
          <w:lang w:val="en-US"/>
        </w:rPr>
        <w:t>in height of emitted leaf bud and 2 roots, and</w:t>
      </w:r>
      <w:r w:rsidRPr="00947610">
        <w:rPr>
          <w:lang w:val="en-US"/>
        </w:rPr>
        <w:t xml:space="preserve"> 10</w:t>
      </w:r>
      <w:r>
        <w:rPr>
          <w:lang w:val="en-US"/>
        </w:rPr>
        <w:t xml:space="preserve"> for steams cuttings with more than 10cm of emitted leaf bud and more than </w:t>
      </w:r>
      <w:r w:rsidRPr="00947610">
        <w:rPr>
          <w:lang w:val="en-US"/>
        </w:rPr>
        <w:t>6 r</w:t>
      </w:r>
      <w:r>
        <w:rPr>
          <w:lang w:val="en-US"/>
        </w:rPr>
        <w:t>oots). Intermediate grades could be attributed</w:t>
      </w:r>
      <w:r w:rsidRPr="00947610">
        <w:rPr>
          <w:rStyle w:val="longtext"/>
          <w:shd w:val="clear" w:color="auto" w:fill="FFFFFF"/>
          <w:lang w:val="en-US"/>
        </w:rPr>
        <w:t>)</w:t>
      </w:r>
      <w:r>
        <w:rPr>
          <w:rStyle w:val="longtext"/>
          <w:shd w:val="clear" w:color="auto" w:fill="FFFFFF"/>
          <w:lang w:val="en-US"/>
        </w:rPr>
        <w:t xml:space="preserve">. The </w:t>
      </w:r>
      <w:r w:rsidRPr="00AB79E3">
        <w:rPr>
          <w:rStyle w:val="longtext"/>
          <w:shd w:val="clear" w:color="auto" w:fill="FFFFFF"/>
          <w:lang w:val="en-US"/>
        </w:rPr>
        <w:t xml:space="preserve">proportion values were transformed to the square root of arcsine of </w:t>
      </w:r>
      <w:r w:rsidRPr="000930D4">
        <w:rPr>
          <w:rStyle w:val="longtext"/>
          <w:i/>
          <w:shd w:val="clear" w:color="auto" w:fill="FFFFFF"/>
          <w:lang w:val="en-US"/>
        </w:rPr>
        <w:t>p</w:t>
      </w:r>
      <w:r w:rsidRPr="00AB79E3">
        <w:rPr>
          <w:rStyle w:val="longtext"/>
          <w:shd w:val="clear" w:color="auto" w:fill="FFFFFF"/>
          <w:lang w:val="en-US"/>
        </w:rPr>
        <w:t xml:space="preserve">, where </w:t>
      </w:r>
      <w:r w:rsidRPr="000930D4">
        <w:rPr>
          <w:rStyle w:val="longtext"/>
          <w:i/>
          <w:shd w:val="clear" w:color="auto" w:fill="FFFFFF"/>
          <w:lang w:val="en-US"/>
        </w:rPr>
        <w:t>p</w:t>
      </w:r>
      <w:r w:rsidRPr="00AB79E3">
        <w:rPr>
          <w:rStyle w:val="longtext"/>
          <w:shd w:val="clear" w:color="auto" w:fill="FFFFFF"/>
          <w:lang w:val="en-US"/>
        </w:rPr>
        <w:t xml:space="preserve"> = </w:t>
      </w:r>
      <w:r>
        <w:rPr>
          <w:rStyle w:val="longtext"/>
          <w:shd w:val="clear" w:color="auto" w:fill="FFFFFF"/>
          <w:lang w:val="en-US"/>
        </w:rPr>
        <w:t xml:space="preserve">is </w:t>
      </w:r>
      <w:r w:rsidRPr="00AB79E3">
        <w:rPr>
          <w:rStyle w:val="longtext"/>
          <w:shd w:val="clear" w:color="auto" w:fill="FFFFFF"/>
          <w:lang w:val="en-US"/>
        </w:rPr>
        <w:t xml:space="preserve">the proportion </w:t>
      </w:r>
      <w:r w:rsidRPr="0037479F">
        <w:rPr>
          <w:lang w:val="en-US"/>
        </w:rPr>
        <w:t>(</w:t>
      </w:r>
      <w:r>
        <w:rPr>
          <w:rStyle w:val="longtext"/>
          <w:shd w:val="clear" w:color="auto" w:fill="FFFFFF"/>
          <w:lang w:val="en-US"/>
        </w:rPr>
        <w:t>Sokal and</w:t>
      </w:r>
      <w:r w:rsidRPr="00AB79E3">
        <w:rPr>
          <w:rStyle w:val="longtext"/>
          <w:shd w:val="clear" w:color="auto" w:fill="FFFFFF"/>
          <w:lang w:val="en-US"/>
        </w:rPr>
        <w:t xml:space="preserve"> R</w:t>
      </w:r>
      <w:r>
        <w:rPr>
          <w:rStyle w:val="longtext"/>
          <w:shd w:val="clear" w:color="auto" w:fill="FFFFFF"/>
          <w:lang w:val="en-US"/>
        </w:rPr>
        <w:t>ohlf</w:t>
      </w:r>
      <w:r w:rsidRPr="00AB79E3">
        <w:rPr>
          <w:rStyle w:val="longtext"/>
          <w:shd w:val="clear" w:color="auto" w:fill="FFFFFF"/>
          <w:lang w:val="en-US"/>
        </w:rPr>
        <w:t xml:space="preserve"> 1981). </w:t>
      </w:r>
      <w:r w:rsidRPr="00AB79E3">
        <w:rPr>
          <w:rStyle w:val="longtext"/>
          <w:lang w:val="en-US"/>
        </w:rPr>
        <w:t xml:space="preserve">The data were subjected to two-factor analysis of </w:t>
      </w:r>
      <w:r w:rsidRPr="0037479F">
        <w:rPr>
          <w:rStyle w:val="longtext"/>
          <w:lang w:val="en-US"/>
        </w:rPr>
        <w:t>variance (</w:t>
      </w:r>
      <w:r>
        <w:rPr>
          <w:rStyle w:val="longtext"/>
          <w:lang w:val="en-US"/>
        </w:rPr>
        <w:t xml:space="preserve">stems </w:t>
      </w:r>
      <w:r w:rsidRPr="0037479F">
        <w:rPr>
          <w:rStyle w:val="longtext"/>
          <w:lang w:val="en-US"/>
        </w:rPr>
        <w:t xml:space="preserve">age x fertilizers) and the comparison between averages by the Tukey test for </w:t>
      </w:r>
      <w:r w:rsidRPr="0037479F">
        <w:t>α</w:t>
      </w:r>
      <w:r w:rsidRPr="0037479F">
        <w:rPr>
          <w:lang w:val="en-US"/>
        </w:rPr>
        <w:t>=0.05. The association between variables</w:t>
      </w:r>
      <w:r>
        <w:rPr>
          <w:lang w:val="en-US"/>
        </w:rPr>
        <w:t xml:space="preserve"> was evaluated by Pearson correlation index and, due to the high variability of the vigor values, they were transformed to standard deviation units in relation to the average (the“Z” score) </w:t>
      </w:r>
      <w:r w:rsidRPr="0037479F">
        <w:rPr>
          <w:lang w:val="en-US"/>
        </w:rPr>
        <w:t>(</w:t>
      </w:r>
      <w:r>
        <w:rPr>
          <w:spacing w:val="-3"/>
          <w:lang w:val="en-US"/>
        </w:rPr>
        <w:t>Baldin</w:t>
      </w:r>
      <w:r w:rsidRPr="0037479F">
        <w:rPr>
          <w:spacing w:val="-3"/>
          <w:lang w:val="en-US"/>
        </w:rPr>
        <w:t xml:space="preserve"> 2005)</w:t>
      </w:r>
      <w:r w:rsidRPr="0037479F">
        <w:rPr>
          <w:rStyle w:val="longtext"/>
          <w:shd w:val="clear" w:color="auto" w:fill="FFFFFF"/>
          <w:lang w:val="en-US"/>
        </w:rPr>
        <w:t>; the comparison of the means was performed using the Tukey test (</w:t>
      </w:r>
      <w:r>
        <w:rPr>
          <w:rStyle w:val="longtext"/>
          <w:shd w:val="clear" w:color="auto" w:fill="FFFFFF"/>
          <w:lang w:val="en-US"/>
        </w:rPr>
        <w:t>Sokal and</w:t>
      </w:r>
      <w:r w:rsidRPr="00AB79E3">
        <w:rPr>
          <w:rStyle w:val="longtext"/>
          <w:shd w:val="clear" w:color="auto" w:fill="FFFFFF"/>
          <w:lang w:val="en-US"/>
        </w:rPr>
        <w:t xml:space="preserve"> R</w:t>
      </w:r>
      <w:r>
        <w:rPr>
          <w:rStyle w:val="longtext"/>
          <w:shd w:val="clear" w:color="auto" w:fill="FFFFFF"/>
          <w:lang w:val="en-US"/>
        </w:rPr>
        <w:t>ohlf</w:t>
      </w:r>
      <w:r w:rsidRPr="0037479F">
        <w:rPr>
          <w:rStyle w:val="longtext"/>
          <w:shd w:val="clear" w:color="auto" w:fill="FFFFFF"/>
          <w:lang w:val="en-US"/>
        </w:rPr>
        <w:t xml:space="preserve"> 1981). The data were analyzed using Bioestat software </w:t>
      </w:r>
      <w:r>
        <w:rPr>
          <w:lang w:val="en-US"/>
        </w:rPr>
        <w:t xml:space="preserve">package </w:t>
      </w:r>
      <w:r w:rsidRPr="0037479F">
        <w:rPr>
          <w:rStyle w:val="longtext"/>
          <w:shd w:val="clear" w:color="auto" w:fill="FFFFFF"/>
          <w:lang w:val="en-US"/>
        </w:rPr>
        <w:t>(A</w:t>
      </w:r>
      <w:r>
        <w:rPr>
          <w:rStyle w:val="longtext"/>
          <w:shd w:val="clear" w:color="auto" w:fill="FFFFFF"/>
          <w:lang w:val="en-US"/>
        </w:rPr>
        <w:t>yres</w:t>
      </w:r>
      <w:r w:rsidRPr="00AB79E3">
        <w:rPr>
          <w:rStyle w:val="longtext"/>
          <w:shd w:val="clear" w:color="auto" w:fill="FFFFFF"/>
          <w:lang w:val="en-US"/>
        </w:rPr>
        <w:t xml:space="preserve"> et al., 2007).</w:t>
      </w:r>
    </w:p>
    <w:p w:rsidR="00BC7D1A" w:rsidRDefault="00BC7D1A" w:rsidP="00782013">
      <w:pPr>
        <w:spacing w:line="480" w:lineRule="auto"/>
        <w:jc w:val="both"/>
        <w:rPr>
          <w:lang w:val="en-US"/>
        </w:rPr>
      </w:pPr>
      <w:r w:rsidRPr="00597698">
        <w:rPr>
          <w:b/>
          <w:lang w:val="en-US"/>
        </w:rPr>
        <w:t>Experiment 2:</w:t>
      </w:r>
      <w:r w:rsidRPr="00597698">
        <w:rPr>
          <w:lang w:val="en-US"/>
        </w:rPr>
        <w:t xml:space="preserve"> </w:t>
      </w:r>
      <w:r w:rsidRPr="00597698">
        <w:rPr>
          <w:i/>
          <w:lang w:val="en-US"/>
        </w:rPr>
        <w:t xml:space="preserve">Evaluation of Salicylic </w:t>
      </w:r>
      <w:r>
        <w:rPr>
          <w:i/>
          <w:lang w:val="en-US"/>
        </w:rPr>
        <w:t>acid</w:t>
      </w:r>
      <w:r w:rsidRPr="00597698">
        <w:rPr>
          <w:i/>
          <w:lang w:val="en-US"/>
        </w:rPr>
        <w:t xml:space="preserve"> on </w:t>
      </w:r>
      <w:r>
        <w:rPr>
          <w:i/>
          <w:lang w:val="en-US"/>
        </w:rPr>
        <w:t>cuttings production</w:t>
      </w:r>
      <w:r w:rsidRPr="00597698">
        <w:rPr>
          <w:i/>
          <w:lang w:val="en-US"/>
        </w:rPr>
        <w:t>.</w:t>
      </w:r>
      <w:r w:rsidRPr="00597698">
        <w:rPr>
          <w:lang w:val="en-US"/>
        </w:rPr>
        <w:t xml:space="preserve"> </w:t>
      </w:r>
      <w:r>
        <w:rPr>
          <w:lang w:val="en-US"/>
        </w:rPr>
        <w:t>For this experiment w</w:t>
      </w:r>
      <w:r w:rsidRPr="00CD4B3B">
        <w:rPr>
          <w:lang w:val="en-US"/>
        </w:rPr>
        <w:t xml:space="preserve">as used </w:t>
      </w:r>
      <w:r>
        <w:rPr>
          <w:lang w:val="en-US"/>
        </w:rPr>
        <w:t>stem cuttings with 1 bud (approximately 5</w:t>
      </w:r>
      <w:r w:rsidRPr="00CD4B3B">
        <w:rPr>
          <w:lang w:val="en-US"/>
        </w:rPr>
        <w:t>cm in length)</w:t>
      </w:r>
      <w:r>
        <w:rPr>
          <w:lang w:val="en-US"/>
        </w:rPr>
        <w:t>, from mature stems, from the same genetic material</w:t>
      </w:r>
      <w:r w:rsidRPr="00CC0423">
        <w:rPr>
          <w:lang w:val="en-US"/>
        </w:rPr>
        <w:t xml:space="preserve"> </w:t>
      </w:r>
      <w:r>
        <w:rPr>
          <w:lang w:val="en-US"/>
        </w:rPr>
        <w:t xml:space="preserve">of the previous experiment. The environmental condition; used substrate; period and system of application of the treatments all were as in the previous experiment. </w:t>
      </w:r>
      <w:r w:rsidRPr="00AB79E3">
        <w:rPr>
          <w:lang w:val="en-US"/>
        </w:rPr>
        <w:t xml:space="preserve">The </w:t>
      </w:r>
      <w:r>
        <w:rPr>
          <w:lang w:val="en-US"/>
        </w:rPr>
        <w:t>adopted</w:t>
      </w:r>
      <w:r w:rsidRPr="00AB79E3">
        <w:rPr>
          <w:lang w:val="en-US"/>
        </w:rPr>
        <w:t xml:space="preserve"> experimental </w:t>
      </w:r>
      <w:r>
        <w:rPr>
          <w:lang w:val="en-US"/>
        </w:rPr>
        <w:t>design</w:t>
      </w:r>
      <w:r w:rsidRPr="00AB79E3">
        <w:rPr>
          <w:lang w:val="en-US"/>
        </w:rPr>
        <w:t xml:space="preserve"> was entirely randomized</w:t>
      </w:r>
      <w:r>
        <w:rPr>
          <w:lang w:val="en-US"/>
        </w:rPr>
        <w:t xml:space="preserve"> with 5 replications (plots) each one with 6 stem cutting. </w:t>
      </w:r>
      <w:r w:rsidRPr="00AA4F92">
        <w:rPr>
          <w:lang w:val="en-US"/>
        </w:rPr>
        <w:t xml:space="preserve">Compared Salicylic </w:t>
      </w:r>
      <w:r>
        <w:rPr>
          <w:lang w:val="en-US"/>
        </w:rPr>
        <w:t>acid</w:t>
      </w:r>
      <w:r w:rsidRPr="00AA4F92">
        <w:rPr>
          <w:lang w:val="en-US"/>
        </w:rPr>
        <w:t xml:space="preserve"> concentrations were: T1) 0.10mM; T2) 0.50mM; T3) 1.00mM and Control) 0.0mM.</w:t>
      </w:r>
    </w:p>
    <w:p w:rsidR="00BC7D1A" w:rsidRDefault="00BC7D1A" w:rsidP="00782013">
      <w:pPr>
        <w:spacing w:line="480" w:lineRule="auto"/>
        <w:jc w:val="both"/>
        <w:rPr>
          <w:rStyle w:val="longtext"/>
          <w:shd w:val="clear" w:color="auto" w:fill="FFFFFF"/>
          <w:lang w:val="en-US"/>
        </w:rPr>
      </w:pPr>
      <w:r w:rsidRPr="00947610">
        <w:rPr>
          <w:rStyle w:val="longtext"/>
          <w:shd w:val="clear" w:color="auto" w:fill="FFFFFF"/>
          <w:lang w:val="en-US"/>
        </w:rPr>
        <w:t xml:space="preserve">The evaluated parameters were as follows: proportion of successful cuttings (considered </w:t>
      </w:r>
      <w:r>
        <w:rPr>
          <w:rStyle w:val="longtext"/>
          <w:shd w:val="clear" w:color="auto" w:fill="FFFFFF"/>
          <w:lang w:val="en-US"/>
        </w:rPr>
        <w:t>as in the experiment before</w:t>
      </w:r>
      <w:r w:rsidRPr="00947610">
        <w:rPr>
          <w:rStyle w:val="longtext"/>
          <w:shd w:val="clear" w:color="auto" w:fill="FFFFFF"/>
          <w:lang w:val="en-US"/>
        </w:rPr>
        <w:t xml:space="preserve">), </w:t>
      </w:r>
      <w:r>
        <w:rPr>
          <w:rStyle w:val="longtext"/>
          <w:shd w:val="clear" w:color="auto" w:fill="FFFFFF"/>
          <w:lang w:val="en-US"/>
        </w:rPr>
        <w:t xml:space="preserve">stem cutting leaves length </w:t>
      </w:r>
      <w:r w:rsidRPr="00AA4F92">
        <w:rPr>
          <w:lang w:val="en-US"/>
        </w:rPr>
        <w:t>(mea</w:t>
      </w:r>
      <w:r>
        <w:rPr>
          <w:lang w:val="en-US"/>
        </w:rPr>
        <w:t>sured from the root insertion up to the top of the plant</w:t>
      </w:r>
      <w:r w:rsidRPr="00AA4F92">
        <w:rPr>
          <w:lang w:val="en-US"/>
        </w:rPr>
        <w:t xml:space="preserve">), </w:t>
      </w:r>
      <w:r>
        <w:rPr>
          <w:lang w:val="en-US"/>
        </w:rPr>
        <w:t>length of the longest root and number of roots</w:t>
      </w:r>
      <w:r w:rsidRPr="00AA4F92">
        <w:rPr>
          <w:lang w:val="en-US"/>
        </w:rPr>
        <w:t>. Obtained values were subject to analysis of variance an</w:t>
      </w:r>
      <w:r>
        <w:rPr>
          <w:lang w:val="en-US"/>
        </w:rPr>
        <w:t xml:space="preserve">d regression analysis </w:t>
      </w:r>
      <w:r>
        <w:rPr>
          <w:rStyle w:val="longtext"/>
          <w:shd w:val="clear" w:color="auto" w:fill="FFFFFF"/>
          <w:lang w:val="en-US"/>
        </w:rPr>
        <w:t>(Sokal and</w:t>
      </w:r>
      <w:r w:rsidRPr="00AA4F92">
        <w:rPr>
          <w:rStyle w:val="longtext"/>
          <w:shd w:val="clear" w:color="auto" w:fill="FFFFFF"/>
          <w:lang w:val="en-US"/>
        </w:rPr>
        <w:t xml:space="preserve"> R</w:t>
      </w:r>
      <w:r>
        <w:rPr>
          <w:rStyle w:val="longtext"/>
          <w:shd w:val="clear" w:color="auto" w:fill="FFFFFF"/>
          <w:lang w:val="en-US"/>
        </w:rPr>
        <w:t>ohlf</w:t>
      </w:r>
      <w:r w:rsidRPr="00AA4F92">
        <w:rPr>
          <w:rStyle w:val="longtext"/>
          <w:shd w:val="clear" w:color="auto" w:fill="FFFFFF"/>
          <w:lang w:val="en-US"/>
        </w:rPr>
        <w:t xml:space="preserve"> 1981).</w:t>
      </w:r>
    </w:p>
    <w:p w:rsidR="00BC7D1A" w:rsidRPr="00AA4F92" w:rsidRDefault="00BC7D1A" w:rsidP="00782013">
      <w:pPr>
        <w:spacing w:line="480" w:lineRule="auto"/>
        <w:jc w:val="both"/>
        <w:rPr>
          <w:lang w:val="en-US"/>
        </w:rPr>
      </w:pPr>
      <w:r w:rsidRPr="00076504">
        <w:rPr>
          <w:lang w:val="en-US"/>
        </w:rPr>
        <w:t xml:space="preserve">The </w:t>
      </w:r>
      <w:r>
        <w:rPr>
          <w:lang w:val="en-US"/>
        </w:rPr>
        <w:t xml:space="preserve">two </w:t>
      </w:r>
      <w:r w:rsidRPr="00076504">
        <w:rPr>
          <w:lang w:val="en-US"/>
        </w:rPr>
        <w:t>experiment</w:t>
      </w:r>
      <w:r>
        <w:rPr>
          <w:lang w:val="en-US"/>
        </w:rPr>
        <w:t>s</w:t>
      </w:r>
      <w:r w:rsidRPr="00076504">
        <w:rPr>
          <w:lang w:val="en-US"/>
        </w:rPr>
        <w:t xml:space="preserve"> w</w:t>
      </w:r>
      <w:r>
        <w:rPr>
          <w:lang w:val="en-US"/>
        </w:rPr>
        <w:t>ere</w:t>
      </w:r>
      <w:r w:rsidRPr="00076504">
        <w:rPr>
          <w:lang w:val="en-US"/>
        </w:rPr>
        <w:t xml:space="preserve"> established in a greenhouse covered with transparent plastic film, superimposed by black plastic screen (Fitela</w:t>
      </w:r>
      <w:r w:rsidRPr="00076504">
        <w:rPr>
          <w:vertAlign w:val="superscript"/>
          <w:lang w:val="en-US"/>
        </w:rPr>
        <w:t xml:space="preserve">mr </w:t>
      </w:r>
      <w:r w:rsidRPr="00076504">
        <w:rPr>
          <w:lang w:val="en-US"/>
        </w:rPr>
        <w:t>- Engepol, Barueri - SP) able to block 60% of the incidental light, at the Center of Agrarian Science of the Federal University of Santa Catarina at Florianópolis, SC (27</w:t>
      </w:r>
      <w:r w:rsidRPr="00076504">
        <w:rPr>
          <w:vertAlign w:val="superscript"/>
          <w:lang w:val="en-US"/>
        </w:rPr>
        <w:t>0</w:t>
      </w:r>
      <w:r w:rsidRPr="00076504">
        <w:rPr>
          <w:lang w:val="en-US"/>
        </w:rPr>
        <w:t>34`55``S; 48</w:t>
      </w:r>
      <w:r w:rsidRPr="00076504">
        <w:rPr>
          <w:vertAlign w:val="superscript"/>
          <w:lang w:val="en-US"/>
        </w:rPr>
        <w:t>0</w:t>
      </w:r>
      <w:r w:rsidRPr="00076504">
        <w:rPr>
          <w:lang w:val="en-US"/>
        </w:rPr>
        <w:t>30`19`` W).</w:t>
      </w:r>
      <w:r>
        <w:rPr>
          <w:lang w:val="en-US"/>
        </w:rPr>
        <w:t xml:space="preserve"> </w:t>
      </w:r>
      <w:r w:rsidRPr="00735280">
        <w:rPr>
          <w:lang w:val="en-US"/>
        </w:rPr>
        <w:t>Both experiments were irrigated 2 to 3 times a week.</w:t>
      </w:r>
      <w:r>
        <w:rPr>
          <w:lang w:val="en-US"/>
        </w:rPr>
        <w:t xml:space="preserve"> </w:t>
      </w:r>
      <w:r w:rsidRPr="00AA4F92">
        <w:rPr>
          <w:rStyle w:val="longtext"/>
          <w:shd w:val="clear" w:color="auto" w:fill="FFFFFF"/>
          <w:lang w:val="en-US"/>
        </w:rPr>
        <w:t>The data were analyzed using Bioestat software (A</w:t>
      </w:r>
      <w:r>
        <w:rPr>
          <w:rStyle w:val="longtext"/>
          <w:shd w:val="clear" w:color="auto" w:fill="FFFFFF"/>
          <w:lang w:val="en-US"/>
        </w:rPr>
        <w:t>yres et al.</w:t>
      </w:r>
      <w:r w:rsidRPr="00AA4F92">
        <w:rPr>
          <w:rStyle w:val="longtext"/>
          <w:shd w:val="clear" w:color="auto" w:fill="FFFFFF"/>
          <w:lang w:val="en-US"/>
        </w:rPr>
        <w:t xml:space="preserve"> 2007).</w:t>
      </w:r>
    </w:p>
    <w:p w:rsidR="00BC7D1A" w:rsidRPr="00735280" w:rsidRDefault="00BC7D1A" w:rsidP="002717DB">
      <w:pPr>
        <w:spacing w:line="480" w:lineRule="auto"/>
        <w:jc w:val="both"/>
        <w:rPr>
          <w:lang w:val="en-US"/>
        </w:rPr>
      </w:pPr>
    </w:p>
    <w:p w:rsidR="00BC7D1A" w:rsidRPr="005373C7" w:rsidRDefault="00BC7D1A" w:rsidP="002717DB">
      <w:pPr>
        <w:spacing w:line="480" w:lineRule="auto"/>
        <w:jc w:val="both"/>
        <w:rPr>
          <w:b/>
          <w:lang w:val="en-US"/>
        </w:rPr>
      </w:pPr>
      <w:r w:rsidRPr="005373C7">
        <w:rPr>
          <w:b/>
          <w:lang w:val="en-US"/>
        </w:rPr>
        <w:t>R</w:t>
      </w:r>
      <w:r>
        <w:rPr>
          <w:b/>
          <w:lang w:val="en-US"/>
        </w:rPr>
        <w:t>ESULTS AND DISCUSSION</w:t>
      </w:r>
    </w:p>
    <w:p w:rsidR="00BC7D1A" w:rsidRPr="00202A98" w:rsidRDefault="00BC7D1A" w:rsidP="00782013">
      <w:pPr>
        <w:spacing w:line="480" w:lineRule="auto"/>
        <w:jc w:val="both"/>
        <w:rPr>
          <w:lang w:val="en-US"/>
        </w:rPr>
      </w:pPr>
      <w:r w:rsidRPr="00CD4B3B">
        <w:rPr>
          <w:b/>
          <w:lang w:val="en-US"/>
        </w:rPr>
        <w:t xml:space="preserve">Experiment 1: </w:t>
      </w:r>
      <w:r w:rsidRPr="00CD4B3B">
        <w:rPr>
          <w:i/>
          <w:lang w:val="en-US"/>
        </w:rPr>
        <w:t xml:space="preserve">Evaluation of </w:t>
      </w:r>
      <w:r>
        <w:rPr>
          <w:i/>
          <w:lang w:val="en-US"/>
        </w:rPr>
        <w:t xml:space="preserve">stems </w:t>
      </w:r>
      <w:r w:rsidRPr="00CD4B3B">
        <w:rPr>
          <w:i/>
          <w:lang w:val="en-US"/>
        </w:rPr>
        <w:t xml:space="preserve">age and nitrogen fertilizer application on </w:t>
      </w:r>
      <w:r>
        <w:rPr>
          <w:i/>
          <w:lang w:val="en-US"/>
        </w:rPr>
        <w:t>cutting production</w:t>
      </w:r>
      <w:r w:rsidRPr="00CD4B3B">
        <w:rPr>
          <w:lang w:val="en-US"/>
        </w:rPr>
        <w:t>.</w:t>
      </w:r>
      <w:r w:rsidRPr="00735280">
        <w:rPr>
          <w:lang w:val="en-US"/>
        </w:rPr>
        <w:t xml:space="preserve"> A summary of probabilities and their statistical significance</w:t>
      </w:r>
      <w:r>
        <w:rPr>
          <w:lang w:val="en-US"/>
        </w:rPr>
        <w:t>s</w:t>
      </w:r>
      <w:r w:rsidRPr="00735280">
        <w:rPr>
          <w:lang w:val="en-US"/>
        </w:rPr>
        <w:t xml:space="preserve"> for effects of</w:t>
      </w:r>
      <w:r>
        <w:rPr>
          <w:lang w:val="en-US"/>
        </w:rPr>
        <w:t xml:space="preserve"> all variables are presented in the </w:t>
      </w:r>
      <w:r w:rsidRPr="00735280">
        <w:rPr>
          <w:lang w:val="en-US"/>
        </w:rPr>
        <w:t>tabl</w:t>
      </w:r>
      <w:r>
        <w:rPr>
          <w:lang w:val="en-US"/>
        </w:rPr>
        <w:t>e</w:t>
      </w:r>
      <w:r w:rsidRPr="00735280">
        <w:rPr>
          <w:lang w:val="en-US"/>
        </w:rPr>
        <w:t xml:space="preserve"> 1. There were differences for the variables proportion </w:t>
      </w:r>
      <w:r w:rsidRPr="00947610">
        <w:rPr>
          <w:rStyle w:val="longtext"/>
          <w:shd w:val="clear" w:color="auto" w:fill="FFFFFF"/>
          <w:lang w:val="en-US"/>
        </w:rPr>
        <w:t>of successful cuttings</w:t>
      </w:r>
      <w:r w:rsidRPr="00735280">
        <w:rPr>
          <w:lang w:val="en-US"/>
        </w:rPr>
        <w:t xml:space="preserve"> </w:t>
      </w:r>
      <w:r>
        <w:rPr>
          <w:lang w:val="en-US"/>
        </w:rPr>
        <w:t>and vigor only</w:t>
      </w:r>
      <w:r w:rsidRPr="00735280">
        <w:rPr>
          <w:lang w:val="en-US"/>
        </w:rPr>
        <w:t>.</w:t>
      </w:r>
    </w:p>
    <w:p w:rsidR="00BC7D1A" w:rsidRDefault="00BC7D1A" w:rsidP="00782013">
      <w:pPr>
        <w:spacing w:line="480" w:lineRule="auto"/>
        <w:jc w:val="both"/>
        <w:rPr>
          <w:lang w:val="en-US"/>
        </w:rPr>
      </w:pPr>
      <w:r w:rsidRPr="00735280">
        <w:rPr>
          <w:lang w:val="en-US"/>
        </w:rPr>
        <w:t xml:space="preserve">For the values of </w:t>
      </w:r>
      <w:r w:rsidRPr="00735280">
        <w:rPr>
          <w:rStyle w:val="longtext"/>
          <w:shd w:val="clear" w:color="auto" w:fill="FFFFFF"/>
          <w:lang w:val="en-US"/>
        </w:rPr>
        <w:t>proportion of successful cuttings there was</w:t>
      </w:r>
      <w:r>
        <w:rPr>
          <w:rStyle w:val="longtext"/>
          <w:shd w:val="clear" w:color="auto" w:fill="FFFFFF"/>
          <w:lang w:val="en-US"/>
        </w:rPr>
        <w:t xml:space="preserve"> </w:t>
      </w:r>
      <w:r w:rsidRPr="00735280">
        <w:rPr>
          <w:lang w:val="en-US"/>
        </w:rPr>
        <w:t>dif</w:t>
      </w:r>
      <w:r>
        <w:rPr>
          <w:lang w:val="en-US"/>
        </w:rPr>
        <w:t>f</w:t>
      </w:r>
      <w:r w:rsidRPr="00735280">
        <w:rPr>
          <w:lang w:val="en-US"/>
        </w:rPr>
        <w:t>eren</w:t>
      </w:r>
      <w:r>
        <w:rPr>
          <w:lang w:val="en-US"/>
        </w:rPr>
        <w:t>ce for stem age and use of fertilizer</w:t>
      </w:r>
      <w:r w:rsidRPr="00735280">
        <w:rPr>
          <w:lang w:val="en-US"/>
        </w:rPr>
        <w:t>. The highest proportion of successful</w:t>
      </w:r>
      <w:r>
        <w:rPr>
          <w:lang w:val="en-US"/>
        </w:rPr>
        <w:t xml:space="preserve"> cuttings</w:t>
      </w:r>
      <w:r w:rsidRPr="00735280">
        <w:rPr>
          <w:lang w:val="en-US"/>
        </w:rPr>
        <w:t xml:space="preserve"> was achi</w:t>
      </w:r>
      <w:r>
        <w:rPr>
          <w:lang w:val="en-US"/>
        </w:rPr>
        <w:t>e</w:t>
      </w:r>
      <w:r w:rsidRPr="00735280">
        <w:rPr>
          <w:lang w:val="en-US"/>
        </w:rPr>
        <w:t>ved using mature stem cutting</w:t>
      </w:r>
      <w:r>
        <w:rPr>
          <w:lang w:val="en-US"/>
        </w:rPr>
        <w:t>s</w:t>
      </w:r>
      <w:r w:rsidRPr="00735280">
        <w:rPr>
          <w:lang w:val="en-US"/>
        </w:rPr>
        <w:t xml:space="preserve"> from mature </w:t>
      </w:r>
      <w:r>
        <w:rPr>
          <w:lang w:val="en-US"/>
        </w:rPr>
        <w:t xml:space="preserve">stems </w:t>
      </w:r>
      <w:r w:rsidRPr="00735280">
        <w:rPr>
          <w:lang w:val="en-US"/>
        </w:rPr>
        <w:t xml:space="preserve">(59.5%), in other words, </w:t>
      </w:r>
      <w:r>
        <w:rPr>
          <w:lang w:val="en-US"/>
        </w:rPr>
        <w:t xml:space="preserve">a </w:t>
      </w:r>
      <w:r w:rsidRPr="00735280">
        <w:rPr>
          <w:lang w:val="en-US"/>
        </w:rPr>
        <w:t>val</w:t>
      </w:r>
      <w:r>
        <w:rPr>
          <w:lang w:val="en-US"/>
        </w:rPr>
        <w:t>ue</w:t>
      </w:r>
      <w:r w:rsidRPr="00735280">
        <w:rPr>
          <w:lang w:val="en-US"/>
        </w:rPr>
        <w:t xml:space="preserve"> 1.6 </w:t>
      </w:r>
      <w:r>
        <w:rPr>
          <w:lang w:val="en-US"/>
        </w:rPr>
        <w:t xml:space="preserve">times higher than obtained with stem cuttings from young stems </w:t>
      </w:r>
      <w:r w:rsidRPr="00735280">
        <w:rPr>
          <w:lang w:val="en-US"/>
        </w:rPr>
        <w:t>(36.9%) (Tabl</w:t>
      </w:r>
      <w:r>
        <w:rPr>
          <w:lang w:val="en-US"/>
        </w:rPr>
        <w:t>e</w:t>
      </w:r>
      <w:r w:rsidRPr="00735280">
        <w:rPr>
          <w:lang w:val="en-US"/>
        </w:rPr>
        <w:t xml:space="preserve"> 2). According to Raven et al.</w:t>
      </w:r>
      <w:r>
        <w:rPr>
          <w:lang w:val="en-US"/>
        </w:rPr>
        <w:t xml:space="preserve"> </w:t>
      </w:r>
      <w:r w:rsidRPr="00735280">
        <w:rPr>
          <w:lang w:val="en-US"/>
        </w:rPr>
        <w:t>(1996) au</w:t>
      </w:r>
      <w:r>
        <w:rPr>
          <w:lang w:val="en-US"/>
        </w:rPr>
        <w:t>x</w:t>
      </w:r>
      <w:r w:rsidRPr="00735280">
        <w:rPr>
          <w:lang w:val="en-US"/>
        </w:rPr>
        <w:t>ins are</w:t>
      </w:r>
      <w:r>
        <w:rPr>
          <w:lang w:val="en-US"/>
        </w:rPr>
        <w:t xml:space="preserve"> </w:t>
      </w:r>
      <w:r w:rsidRPr="00735280">
        <w:rPr>
          <w:lang w:val="en-US"/>
        </w:rPr>
        <w:t>produced at leaf primordium an</w:t>
      </w:r>
      <w:r>
        <w:rPr>
          <w:lang w:val="en-US"/>
        </w:rPr>
        <w:t>d young leafs that inhibit the growth of lateral buds</w:t>
      </w:r>
      <w:r w:rsidRPr="00735280">
        <w:rPr>
          <w:lang w:val="en-US"/>
        </w:rPr>
        <w:t xml:space="preserve">. </w:t>
      </w:r>
      <w:r w:rsidRPr="004B12E4">
        <w:rPr>
          <w:lang w:val="en-US"/>
        </w:rPr>
        <w:t xml:space="preserve">As mature </w:t>
      </w:r>
      <w:r>
        <w:rPr>
          <w:lang w:val="en-US"/>
        </w:rPr>
        <w:t xml:space="preserve">stems </w:t>
      </w:r>
      <w:r w:rsidRPr="004B12E4">
        <w:rPr>
          <w:lang w:val="en-US"/>
        </w:rPr>
        <w:t>lack lea</w:t>
      </w:r>
      <w:r>
        <w:rPr>
          <w:lang w:val="en-US"/>
        </w:rPr>
        <w:t>ves</w:t>
      </w:r>
      <w:r w:rsidRPr="004B12E4">
        <w:rPr>
          <w:lang w:val="en-US"/>
        </w:rPr>
        <w:t>, is presumed that, stem cuttings formed from them, would have low concentration of auxins a</w:t>
      </w:r>
      <w:r>
        <w:rPr>
          <w:lang w:val="en-US"/>
        </w:rPr>
        <w:t>nd consequently low inhibition of lateral buds</w:t>
      </w:r>
      <w:r w:rsidRPr="004B12E4">
        <w:rPr>
          <w:lang w:val="en-US"/>
        </w:rPr>
        <w:t xml:space="preserve">, </w:t>
      </w:r>
      <w:r>
        <w:rPr>
          <w:lang w:val="en-US"/>
        </w:rPr>
        <w:t>that justifies the high proportion of successful cuttings observed</w:t>
      </w:r>
      <w:r w:rsidRPr="004B12E4">
        <w:rPr>
          <w:lang w:val="en-US"/>
        </w:rPr>
        <w:t>.</w:t>
      </w:r>
    </w:p>
    <w:p w:rsidR="00BC7D1A" w:rsidRPr="00A919CA" w:rsidRDefault="00BC7D1A" w:rsidP="00782013">
      <w:pPr>
        <w:spacing w:line="480" w:lineRule="auto"/>
        <w:jc w:val="both"/>
        <w:rPr>
          <w:lang w:val="en-US"/>
        </w:rPr>
      </w:pPr>
      <w:r>
        <w:rPr>
          <w:lang w:val="en-US"/>
        </w:rPr>
        <w:t>About the treatments with N</w:t>
      </w:r>
      <w:r w:rsidRPr="004B12E4">
        <w:rPr>
          <w:lang w:val="en-US"/>
        </w:rPr>
        <w:t>itroge</w:t>
      </w:r>
      <w:r>
        <w:rPr>
          <w:lang w:val="en-US"/>
        </w:rPr>
        <w:t>n</w:t>
      </w:r>
      <w:r w:rsidRPr="004B12E4">
        <w:rPr>
          <w:lang w:val="en-US"/>
        </w:rPr>
        <w:t xml:space="preserve"> fertilizer</w:t>
      </w:r>
      <w:r>
        <w:rPr>
          <w:lang w:val="en-US"/>
        </w:rPr>
        <w:t xml:space="preserve">, on </w:t>
      </w:r>
      <w:r w:rsidRPr="004B12E4">
        <w:rPr>
          <w:lang w:val="en-US"/>
        </w:rPr>
        <w:t>proportion of successful cuttings</w:t>
      </w:r>
      <w:r>
        <w:rPr>
          <w:lang w:val="en-US"/>
        </w:rPr>
        <w:t>,</w:t>
      </w:r>
      <w:r w:rsidRPr="004B12E4">
        <w:rPr>
          <w:lang w:val="en-US"/>
        </w:rPr>
        <w:t xml:space="preserve"> </w:t>
      </w:r>
      <w:r>
        <w:rPr>
          <w:lang w:val="en-US"/>
        </w:rPr>
        <w:t xml:space="preserve">in </w:t>
      </w:r>
      <w:r w:rsidRPr="004B12E4">
        <w:rPr>
          <w:lang w:val="en-US"/>
        </w:rPr>
        <w:t>the treatment with Calcium Nitrate</w:t>
      </w:r>
      <w:r>
        <w:rPr>
          <w:lang w:val="en-US"/>
        </w:rPr>
        <w:t>,</w:t>
      </w:r>
      <w:r w:rsidRPr="004B12E4">
        <w:rPr>
          <w:lang w:val="en-US"/>
        </w:rPr>
        <w:t xml:space="preserve"> </w:t>
      </w:r>
      <w:r>
        <w:rPr>
          <w:lang w:val="en-US"/>
        </w:rPr>
        <w:t>a</w:t>
      </w:r>
      <w:r w:rsidRPr="004B12E4">
        <w:rPr>
          <w:lang w:val="en-US"/>
        </w:rPr>
        <w:t>t the concentration of 11.61gL</w:t>
      </w:r>
      <w:r w:rsidRPr="004B12E4">
        <w:rPr>
          <w:vertAlign w:val="superscript"/>
          <w:lang w:val="en-US"/>
        </w:rPr>
        <w:t>-1</w:t>
      </w:r>
      <w:r>
        <w:rPr>
          <w:lang w:val="en-US"/>
        </w:rPr>
        <w:t xml:space="preserve">, was observed the </w:t>
      </w:r>
      <w:r w:rsidRPr="004B12E4">
        <w:rPr>
          <w:lang w:val="en-US"/>
        </w:rPr>
        <w:t>lowe</w:t>
      </w:r>
      <w:r>
        <w:rPr>
          <w:lang w:val="en-US"/>
        </w:rPr>
        <w:t xml:space="preserve">st value </w:t>
      </w:r>
      <w:r w:rsidRPr="004B12E4">
        <w:rPr>
          <w:lang w:val="en-US"/>
        </w:rPr>
        <w:t>(</w:t>
      </w:r>
      <w:r w:rsidRPr="00C92C6A">
        <w:rPr>
          <w:bCs w:val="0"/>
          <w:lang w:val="en-US"/>
        </w:rPr>
        <w:t>33.3</w:t>
      </w:r>
      <w:r w:rsidRPr="004B12E4">
        <w:rPr>
          <w:lang w:val="en-US"/>
        </w:rPr>
        <w:t>%)</w:t>
      </w:r>
      <w:r>
        <w:rPr>
          <w:lang w:val="en-US"/>
        </w:rPr>
        <w:t xml:space="preserve">, the highest one (62.5%) was observed under the treatment of </w:t>
      </w:r>
      <w:r w:rsidRPr="00C92C6A">
        <w:rPr>
          <w:lang w:val="en-US"/>
        </w:rPr>
        <w:t xml:space="preserve">Calcium Nitrate </w:t>
      </w:r>
      <w:r>
        <w:rPr>
          <w:lang w:val="en-US"/>
        </w:rPr>
        <w:t xml:space="preserve">at </w:t>
      </w:r>
      <w:r w:rsidRPr="00C92C6A">
        <w:rPr>
          <w:lang w:val="en-US"/>
        </w:rPr>
        <w:t>17.42 g L</w:t>
      </w:r>
      <w:r w:rsidRPr="00C92C6A">
        <w:rPr>
          <w:vertAlign w:val="superscript"/>
          <w:lang w:val="en-US"/>
        </w:rPr>
        <w:t>-1</w:t>
      </w:r>
      <w:r w:rsidRPr="00C92C6A">
        <w:rPr>
          <w:lang w:val="en-US"/>
        </w:rPr>
        <w:t>.</w:t>
      </w:r>
      <w:r>
        <w:rPr>
          <w:lang w:val="en-US"/>
        </w:rPr>
        <w:t xml:space="preserve"> In other words, Nitrogen application, in </w:t>
      </w:r>
      <w:r w:rsidRPr="004B12E4">
        <w:rPr>
          <w:lang w:val="en-US"/>
        </w:rPr>
        <w:t xml:space="preserve">5 </w:t>
      </w:r>
      <w:r>
        <w:rPr>
          <w:lang w:val="en-US"/>
        </w:rPr>
        <w:t>of the</w:t>
      </w:r>
      <w:r w:rsidRPr="004B12E4">
        <w:rPr>
          <w:lang w:val="en-US"/>
        </w:rPr>
        <w:t xml:space="preserve"> </w:t>
      </w:r>
      <w:r>
        <w:rPr>
          <w:lang w:val="en-US"/>
        </w:rPr>
        <w:t xml:space="preserve">6 applied </w:t>
      </w:r>
      <w:r w:rsidRPr="004B12E4">
        <w:rPr>
          <w:lang w:val="en-US"/>
        </w:rPr>
        <w:t>tr</w:t>
      </w:r>
      <w:r>
        <w:rPr>
          <w:lang w:val="en-US"/>
        </w:rPr>
        <w:t>eatments</w:t>
      </w:r>
      <w:r w:rsidRPr="004B12E4">
        <w:rPr>
          <w:lang w:val="en-US"/>
        </w:rPr>
        <w:t xml:space="preserve">, </w:t>
      </w:r>
      <w:r>
        <w:rPr>
          <w:lang w:val="en-US"/>
        </w:rPr>
        <w:t xml:space="preserve">showed similar effect to the Control treatment that had, in average, </w:t>
      </w:r>
      <w:r w:rsidRPr="004B12E4">
        <w:rPr>
          <w:lang w:val="en-US"/>
        </w:rPr>
        <w:t>50.0% (Tabl</w:t>
      </w:r>
      <w:r>
        <w:rPr>
          <w:lang w:val="en-US"/>
        </w:rPr>
        <w:t>e</w:t>
      </w:r>
      <w:r w:rsidRPr="004B12E4">
        <w:rPr>
          <w:lang w:val="en-US"/>
        </w:rPr>
        <w:t xml:space="preserve"> 2). </w:t>
      </w:r>
      <w:r>
        <w:rPr>
          <w:lang w:val="en-US"/>
        </w:rPr>
        <w:t>Venturieri and</w:t>
      </w:r>
      <w:r w:rsidRPr="00A919CA">
        <w:rPr>
          <w:lang w:val="en-US"/>
        </w:rPr>
        <w:t xml:space="preserve"> Pickscius (2012) in a similar </w:t>
      </w:r>
      <w:r w:rsidRPr="00A919CA">
        <w:rPr>
          <w:i/>
          <w:lang w:val="en-US"/>
        </w:rPr>
        <w:t>D. nobile</w:t>
      </w:r>
      <w:r w:rsidRPr="00A919CA">
        <w:rPr>
          <w:lang w:val="en-US"/>
        </w:rPr>
        <w:t xml:space="preserve"> experiment, </w:t>
      </w:r>
      <w:r>
        <w:rPr>
          <w:lang w:val="en-US"/>
        </w:rPr>
        <w:t xml:space="preserve">where </w:t>
      </w:r>
      <w:r w:rsidRPr="00A919CA">
        <w:rPr>
          <w:lang w:val="en-US"/>
        </w:rPr>
        <w:t xml:space="preserve">the same variables as in the present work </w:t>
      </w:r>
      <w:r>
        <w:rPr>
          <w:lang w:val="en-US"/>
        </w:rPr>
        <w:t>were eva</w:t>
      </w:r>
      <w:r w:rsidRPr="00A919CA">
        <w:rPr>
          <w:lang w:val="en-US"/>
        </w:rPr>
        <w:t>luated</w:t>
      </w:r>
      <w:r>
        <w:rPr>
          <w:lang w:val="en-US"/>
        </w:rPr>
        <w:t>,</w:t>
      </w:r>
      <w:r w:rsidRPr="00A919CA">
        <w:rPr>
          <w:lang w:val="en-US"/>
        </w:rPr>
        <w:t xml:space="preserve"> but </w:t>
      </w:r>
      <w:r>
        <w:rPr>
          <w:lang w:val="en-US"/>
        </w:rPr>
        <w:t xml:space="preserve">without </w:t>
      </w:r>
      <w:r w:rsidRPr="00A919CA">
        <w:rPr>
          <w:lang w:val="en-US"/>
        </w:rPr>
        <w:t>stem cuttings</w:t>
      </w:r>
      <w:r w:rsidRPr="00C73EB7">
        <w:rPr>
          <w:lang w:val="en-US"/>
        </w:rPr>
        <w:t xml:space="preserve"> </w:t>
      </w:r>
      <w:r w:rsidRPr="00A919CA">
        <w:rPr>
          <w:lang w:val="en-US"/>
        </w:rPr>
        <w:t xml:space="preserve">differentiated </w:t>
      </w:r>
      <w:r>
        <w:rPr>
          <w:lang w:val="en-US"/>
        </w:rPr>
        <w:t>by ages</w:t>
      </w:r>
      <w:r w:rsidRPr="00A919CA">
        <w:rPr>
          <w:lang w:val="en-US"/>
        </w:rPr>
        <w:t xml:space="preserve">, </w:t>
      </w:r>
      <w:r>
        <w:rPr>
          <w:lang w:val="en-US"/>
        </w:rPr>
        <w:t xml:space="preserve">was also </w:t>
      </w:r>
      <w:r w:rsidRPr="00A919CA">
        <w:rPr>
          <w:lang w:val="en-US"/>
        </w:rPr>
        <w:t>observ</w:t>
      </w:r>
      <w:r>
        <w:rPr>
          <w:lang w:val="en-US"/>
        </w:rPr>
        <w:t>e</w:t>
      </w:r>
      <w:r w:rsidRPr="00A919CA">
        <w:rPr>
          <w:lang w:val="en-US"/>
        </w:rPr>
        <w:t>d</w:t>
      </w:r>
      <w:r>
        <w:rPr>
          <w:lang w:val="en-US"/>
        </w:rPr>
        <w:t xml:space="preserve"> that nitrogen fertilizer did not influenced or proportion of successful cuttings</w:t>
      </w:r>
      <w:r w:rsidRPr="00A919CA">
        <w:rPr>
          <w:lang w:val="en-US"/>
        </w:rPr>
        <w:t xml:space="preserve">, </w:t>
      </w:r>
      <w:r>
        <w:rPr>
          <w:lang w:val="en-US"/>
        </w:rPr>
        <w:t>nevertheless it influenced vigor positively</w:t>
      </w:r>
      <w:r w:rsidRPr="00A919CA">
        <w:rPr>
          <w:lang w:val="en-US"/>
        </w:rPr>
        <w:t xml:space="preserve">, </w:t>
      </w:r>
      <w:r>
        <w:rPr>
          <w:lang w:val="en-US"/>
        </w:rPr>
        <w:t>fact that was not observed in the present work</w:t>
      </w:r>
      <w:r w:rsidRPr="00A919CA">
        <w:rPr>
          <w:lang w:val="en-US"/>
        </w:rPr>
        <w:t>. Apparently, lower proportion of successful cuttings observed for the treatment Calcium Nitrate at 11.61gL</w:t>
      </w:r>
      <w:r w:rsidRPr="00A919CA">
        <w:rPr>
          <w:vertAlign w:val="superscript"/>
          <w:lang w:val="en-US"/>
        </w:rPr>
        <w:t>-1</w:t>
      </w:r>
      <w:r>
        <w:rPr>
          <w:lang w:val="en-US"/>
        </w:rPr>
        <w:t xml:space="preserve"> would be an experimental artifact, because there was no interaction with the age of stems (Table 1)</w:t>
      </w:r>
      <w:r w:rsidRPr="00A919CA">
        <w:rPr>
          <w:lang w:val="en-US"/>
        </w:rPr>
        <w:t>.</w:t>
      </w:r>
    </w:p>
    <w:p w:rsidR="00BC7D1A" w:rsidRDefault="00BC7D1A" w:rsidP="00782013">
      <w:pPr>
        <w:spacing w:line="480" w:lineRule="auto"/>
        <w:jc w:val="both"/>
        <w:rPr>
          <w:lang w:val="en-US"/>
        </w:rPr>
      </w:pPr>
      <w:r w:rsidRPr="008F7BA6">
        <w:rPr>
          <w:lang w:val="en-US"/>
        </w:rPr>
        <w:t>About stems cuttings ages, the hi</w:t>
      </w:r>
      <w:r>
        <w:rPr>
          <w:lang w:val="en-US"/>
        </w:rPr>
        <w:t>g</w:t>
      </w:r>
      <w:r w:rsidRPr="008F7BA6">
        <w:rPr>
          <w:lang w:val="en-US"/>
        </w:rPr>
        <w:t>hest proportion of successful cuttings (59.5%)</w:t>
      </w:r>
      <w:r>
        <w:rPr>
          <w:lang w:val="en-US"/>
        </w:rPr>
        <w:t xml:space="preserve"> </w:t>
      </w:r>
      <w:r w:rsidRPr="008F7BA6">
        <w:rPr>
          <w:lang w:val="en-US"/>
        </w:rPr>
        <w:t>as the highest vigor, w</w:t>
      </w:r>
      <w:r>
        <w:rPr>
          <w:lang w:val="en-US"/>
        </w:rPr>
        <w:t>ere obtained with stem cuttings from mature stems</w:t>
      </w:r>
      <w:r w:rsidRPr="008F7BA6">
        <w:rPr>
          <w:lang w:val="en-US"/>
        </w:rPr>
        <w:t xml:space="preserve">, </w:t>
      </w:r>
      <w:r>
        <w:rPr>
          <w:lang w:val="en-US"/>
        </w:rPr>
        <w:t xml:space="preserve">a value </w:t>
      </w:r>
      <w:r w:rsidRPr="008F7BA6">
        <w:rPr>
          <w:lang w:val="en-US"/>
        </w:rPr>
        <w:t>superior</w:t>
      </w:r>
      <w:r>
        <w:rPr>
          <w:lang w:val="en-US"/>
        </w:rPr>
        <w:t xml:space="preserve"> to</w:t>
      </w:r>
      <w:r w:rsidRPr="008F7BA6">
        <w:rPr>
          <w:lang w:val="en-US"/>
        </w:rPr>
        <w:t xml:space="preserve"> 40.7% obt</w:t>
      </w:r>
      <w:r>
        <w:rPr>
          <w:lang w:val="en-US"/>
        </w:rPr>
        <w:t>ained by Venturieri and</w:t>
      </w:r>
      <w:r w:rsidRPr="008F7BA6">
        <w:rPr>
          <w:lang w:val="en-US"/>
        </w:rPr>
        <w:t xml:space="preserve"> </w:t>
      </w:r>
      <w:r w:rsidRPr="008F7BA6">
        <w:rPr>
          <w:spacing w:val="-3"/>
          <w:lang w:val="en-US"/>
        </w:rPr>
        <w:t>Pickscius (</w:t>
      </w:r>
      <w:r w:rsidRPr="008F7BA6">
        <w:rPr>
          <w:lang w:val="en-US"/>
        </w:rPr>
        <w:t xml:space="preserve">2012) </w:t>
      </w:r>
      <w:r>
        <w:rPr>
          <w:lang w:val="en-US"/>
        </w:rPr>
        <w:t>without differentiation of stem cutting age (Table 2)</w:t>
      </w:r>
      <w:r w:rsidRPr="008F7BA6">
        <w:rPr>
          <w:lang w:val="en-US"/>
        </w:rPr>
        <w:t>.</w:t>
      </w:r>
    </w:p>
    <w:p w:rsidR="00BC7D1A" w:rsidRDefault="00BC7D1A" w:rsidP="00782013">
      <w:pPr>
        <w:spacing w:line="480" w:lineRule="auto"/>
        <w:jc w:val="both"/>
        <w:rPr>
          <w:lang w:val="en-US"/>
        </w:rPr>
      </w:pPr>
      <w:r w:rsidRPr="00DB601A">
        <w:rPr>
          <w:lang w:val="en-US"/>
        </w:rPr>
        <w:t xml:space="preserve">Correlation between theoretical Nitrogen </w:t>
      </w:r>
      <w:r>
        <w:rPr>
          <w:lang w:val="en-US"/>
        </w:rPr>
        <w:t xml:space="preserve">level </w:t>
      </w:r>
      <w:r w:rsidRPr="00DB601A">
        <w:rPr>
          <w:lang w:val="en-US"/>
        </w:rPr>
        <w:t>and evaluated variables</w:t>
      </w:r>
      <w:r>
        <w:rPr>
          <w:lang w:val="en-US"/>
        </w:rPr>
        <w:t>,</w:t>
      </w:r>
      <w:r w:rsidRPr="00DB601A">
        <w:rPr>
          <w:lang w:val="en-US"/>
        </w:rPr>
        <w:t xml:space="preserve"> in mature stem cuttings</w:t>
      </w:r>
      <w:r>
        <w:rPr>
          <w:lang w:val="en-US"/>
        </w:rPr>
        <w:t>,</w:t>
      </w:r>
      <w:r w:rsidRPr="00DB601A">
        <w:rPr>
          <w:lang w:val="en-US"/>
        </w:rPr>
        <w:t xml:space="preserve"> significant </w:t>
      </w:r>
      <w:r>
        <w:rPr>
          <w:i/>
          <w:lang w:val="en-US"/>
        </w:rPr>
        <w:t xml:space="preserve">r </w:t>
      </w:r>
      <w:r w:rsidRPr="00DB601A">
        <w:rPr>
          <w:lang w:val="en-US"/>
        </w:rPr>
        <w:t>values (</w:t>
      </w:r>
      <w:r w:rsidRPr="00DB601A">
        <w:rPr>
          <w:i/>
          <w:lang w:val="en-US"/>
        </w:rPr>
        <w:t>p</w:t>
      </w:r>
      <w:r w:rsidRPr="00DB601A">
        <w:rPr>
          <w:lang w:val="en-US"/>
        </w:rPr>
        <w:t xml:space="preserve"> = 0.05) was observed between proportion of </w:t>
      </w:r>
      <w:r>
        <w:rPr>
          <w:lang w:val="en-US"/>
        </w:rPr>
        <w:t xml:space="preserve">successful </w:t>
      </w:r>
      <w:r w:rsidRPr="00DB601A">
        <w:rPr>
          <w:lang w:val="en-US"/>
        </w:rPr>
        <w:t xml:space="preserve">stem cutting </w:t>
      </w:r>
      <w:r>
        <w:rPr>
          <w:lang w:val="en-US"/>
        </w:rPr>
        <w:t xml:space="preserve">that was negatively correlated with proportion of rotten cutting stalks cuttings </w:t>
      </w:r>
      <w:r w:rsidRPr="00DB601A">
        <w:rPr>
          <w:lang w:val="en-US"/>
        </w:rPr>
        <w:t>(</w:t>
      </w:r>
      <w:r w:rsidRPr="00DB601A">
        <w:rPr>
          <w:i/>
          <w:lang w:val="en-US"/>
        </w:rPr>
        <w:t>r =</w:t>
      </w:r>
      <w:r w:rsidRPr="00DB601A">
        <w:rPr>
          <w:lang w:val="en-US"/>
        </w:rPr>
        <w:t xml:space="preserve"> - 0.58) </w:t>
      </w:r>
      <w:r>
        <w:rPr>
          <w:lang w:val="en-US"/>
        </w:rPr>
        <w:t xml:space="preserve">and between </w:t>
      </w:r>
      <w:r w:rsidRPr="00DB601A">
        <w:rPr>
          <w:lang w:val="en-US"/>
        </w:rPr>
        <w:t>propor</w:t>
      </w:r>
      <w:r>
        <w:rPr>
          <w:lang w:val="en-US"/>
        </w:rPr>
        <w:t>tion of successful cuttings and</w:t>
      </w:r>
      <w:r w:rsidRPr="00DB601A">
        <w:rPr>
          <w:lang w:val="en-US"/>
        </w:rPr>
        <w:t xml:space="preserve"> vigor (</w:t>
      </w:r>
      <w:r w:rsidRPr="00DB601A">
        <w:rPr>
          <w:i/>
          <w:lang w:val="en-US"/>
        </w:rPr>
        <w:t>r</w:t>
      </w:r>
      <w:r w:rsidRPr="00DB601A">
        <w:rPr>
          <w:lang w:val="en-US"/>
        </w:rPr>
        <w:t xml:space="preserve"> = 0.55), </w:t>
      </w:r>
      <w:r>
        <w:rPr>
          <w:lang w:val="en-US"/>
        </w:rPr>
        <w:t xml:space="preserve">been </w:t>
      </w:r>
      <w:r w:rsidRPr="00DB601A">
        <w:rPr>
          <w:lang w:val="en-US"/>
        </w:rPr>
        <w:t>vigor</w:t>
      </w:r>
      <w:r>
        <w:rPr>
          <w:lang w:val="en-US"/>
        </w:rPr>
        <w:t xml:space="preserve"> also negatively correlated with proportion of rotten cutting stalks </w:t>
      </w:r>
      <w:r w:rsidRPr="00DB601A">
        <w:rPr>
          <w:lang w:val="en-US"/>
        </w:rPr>
        <w:t>(</w:t>
      </w:r>
      <w:r w:rsidRPr="00DB601A">
        <w:rPr>
          <w:i/>
          <w:lang w:val="en-US"/>
        </w:rPr>
        <w:t>r =</w:t>
      </w:r>
      <w:r w:rsidRPr="00DB601A">
        <w:rPr>
          <w:lang w:val="en-US"/>
        </w:rPr>
        <w:t xml:space="preserve"> -0.56). By the observed association</w:t>
      </w:r>
      <w:r>
        <w:rPr>
          <w:lang w:val="en-US"/>
        </w:rPr>
        <w:t>s</w:t>
      </w:r>
      <w:r w:rsidRPr="00DB601A">
        <w:rPr>
          <w:lang w:val="en-US"/>
        </w:rPr>
        <w:t xml:space="preserve"> can be supposed that</w:t>
      </w:r>
      <w:r>
        <w:rPr>
          <w:lang w:val="en-US"/>
        </w:rPr>
        <w:t>,</w:t>
      </w:r>
      <w:r w:rsidRPr="00DB601A">
        <w:rPr>
          <w:lang w:val="en-US"/>
        </w:rPr>
        <w:t xml:space="preserve"> successful </w:t>
      </w:r>
      <w:r>
        <w:rPr>
          <w:lang w:val="en-US"/>
        </w:rPr>
        <w:t xml:space="preserve">stem </w:t>
      </w:r>
      <w:r w:rsidRPr="00DB601A">
        <w:rPr>
          <w:lang w:val="en-US"/>
        </w:rPr>
        <w:t xml:space="preserve">cutting </w:t>
      </w:r>
      <w:r>
        <w:rPr>
          <w:lang w:val="en-US"/>
        </w:rPr>
        <w:t xml:space="preserve">under </w:t>
      </w:r>
      <w:r w:rsidRPr="00DB601A">
        <w:rPr>
          <w:lang w:val="en-US"/>
        </w:rPr>
        <w:t>m</w:t>
      </w:r>
      <w:r>
        <w:rPr>
          <w:lang w:val="en-US"/>
        </w:rPr>
        <w:t>ature cuttings stalks, could be improved avoiding stem cutting rot and vigor increasing</w:t>
      </w:r>
      <w:r w:rsidRPr="00DB601A">
        <w:rPr>
          <w:lang w:val="en-US"/>
        </w:rPr>
        <w:t xml:space="preserve">. </w:t>
      </w:r>
      <w:r w:rsidRPr="00604C64">
        <w:rPr>
          <w:lang w:val="en-US"/>
        </w:rPr>
        <w:t>Ven</w:t>
      </w:r>
      <w:r>
        <w:rPr>
          <w:lang w:val="en-US"/>
        </w:rPr>
        <w:t>turieri and</w:t>
      </w:r>
      <w:r w:rsidRPr="00604C64">
        <w:rPr>
          <w:lang w:val="en-US"/>
        </w:rPr>
        <w:t xml:space="preserve"> </w:t>
      </w:r>
      <w:r w:rsidRPr="00604C64">
        <w:rPr>
          <w:spacing w:val="-3"/>
          <w:lang w:val="en-US"/>
        </w:rPr>
        <w:t>Pickscius (</w:t>
      </w:r>
      <w:r w:rsidRPr="00604C64">
        <w:rPr>
          <w:lang w:val="en-US"/>
        </w:rPr>
        <w:t>2012) observed</w:t>
      </w:r>
      <w:r>
        <w:rPr>
          <w:lang w:val="en-US"/>
        </w:rPr>
        <w:t>,</w:t>
      </w:r>
      <w:r w:rsidRPr="00604C64">
        <w:rPr>
          <w:lang w:val="en-US"/>
        </w:rPr>
        <w:t xml:space="preserve"> in a similar experiment</w:t>
      </w:r>
      <w:r>
        <w:rPr>
          <w:lang w:val="en-US"/>
        </w:rPr>
        <w:t>,</w:t>
      </w:r>
      <w:r w:rsidRPr="00604C64">
        <w:rPr>
          <w:lang w:val="en-US"/>
        </w:rPr>
        <w:t xml:space="preserve"> an association between application of Nitrogen and cuttings vigor</w:t>
      </w:r>
      <w:r>
        <w:rPr>
          <w:lang w:val="en-US"/>
        </w:rPr>
        <w:t xml:space="preserve"> suggesting </w:t>
      </w:r>
      <w:r w:rsidRPr="00604C64">
        <w:rPr>
          <w:lang w:val="en-US"/>
        </w:rPr>
        <w:t>that, application of</w:t>
      </w:r>
      <w:r>
        <w:rPr>
          <w:lang w:val="en-US"/>
        </w:rPr>
        <w:t xml:space="preserve"> a fungicide associated with Nitrogen fertilizer</w:t>
      </w:r>
      <w:r w:rsidRPr="00604C64">
        <w:rPr>
          <w:lang w:val="en-US"/>
        </w:rPr>
        <w:t xml:space="preserve">, vigor </w:t>
      </w:r>
      <w:r>
        <w:rPr>
          <w:lang w:val="en-US"/>
        </w:rPr>
        <w:t>could be improved and decrease rotting</w:t>
      </w:r>
      <w:r w:rsidRPr="00604C64">
        <w:rPr>
          <w:lang w:val="en-US"/>
        </w:rPr>
        <w:t xml:space="preserve"> </w:t>
      </w:r>
      <w:r>
        <w:rPr>
          <w:lang w:val="en-US"/>
        </w:rPr>
        <w:t>on mature stem cuttings</w:t>
      </w:r>
      <w:r w:rsidRPr="00604C64">
        <w:rPr>
          <w:lang w:val="en-US"/>
        </w:rPr>
        <w:t>. A significant (</w:t>
      </w:r>
      <w:r w:rsidRPr="00604C64">
        <w:rPr>
          <w:i/>
          <w:lang w:val="en-US"/>
        </w:rPr>
        <w:t>p</w:t>
      </w:r>
      <w:r w:rsidRPr="00604C64">
        <w:rPr>
          <w:lang w:val="en-US"/>
        </w:rPr>
        <w:t xml:space="preserve"> = 0.05)and negative correlation </w:t>
      </w:r>
      <w:r w:rsidRPr="00DB601A">
        <w:rPr>
          <w:lang w:val="en-US"/>
        </w:rPr>
        <w:t>(</w:t>
      </w:r>
      <w:r w:rsidRPr="00DB601A">
        <w:rPr>
          <w:i/>
          <w:lang w:val="en-US"/>
        </w:rPr>
        <w:t>r =</w:t>
      </w:r>
      <w:r w:rsidRPr="00DB601A">
        <w:rPr>
          <w:lang w:val="en-US"/>
        </w:rPr>
        <w:t xml:space="preserve"> </w:t>
      </w:r>
      <w:r w:rsidRPr="00B608B1">
        <w:rPr>
          <w:bCs w:val="0"/>
          <w:sz w:val="22"/>
          <w:szCs w:val="22"/>
          <w:lang w:val="en-US"/>
        </w:rPr>
        <w:t>-0.44</w:t>
      </w:r>
      <w:r>
        <w:rPr>
          <w:lang w:val="en-US"/>
        </w:rPr>
        <w:t>)</w:t>
      </w:r>
      <w:r w:rsidRPr="00604C64">
        <w:rPr>
          <w:lang w:val="en-US"/>
        </w:rPr>
        <w:t xml:space="preserve"> between theoretical Nitrogen level, on mature stem cuttings, with root length</w:t>
      </w:r>
      <w:r>
        <w:rPr>
          <w:lang w:val="en-US"/>
        </w:rPr>
        <w:t xml:space="preserve"> was observed</w:t>
      </w:r>
      <w:r w:rsidRPr="00604C64">
        <w:rPr>
          <w:lang w:val="en-US"/>
        </w:rPr>
        <w:t xml:space="preserve"> (Table 3)</w:t>
      </w:r>
      <w:r>
        <w:rPr>
          <w:lang w:val="en-US"/>
        </w:rPr>
        <w:t xml:space="preserve">. A </w:t>
      </w:r>
      <w:r w:rsidRPr="00604C64">
        <w:rPr>
          <w:lang w:val="en-US"/>
        </w:rPr>
        <w:t xml:space="preserve">similar effect </w:t>
      </w:r>
      <w:r>
        <w:rPr>
          <w:lang w:val="en-US"/>
        </w:rPr>
        <w:t xml:space="preserve">was also </w:t>
      </w:r>
      <w:r w:rsidRPr="00604C64">
        <w:rPr>
          <w:lang w:val="en-US"/>
        </w:rPr>
        <w:t>observed in</w:t>
      </w:r>
      <w:r>
        <w:rPr>
          <w:lang w:val="en-US"/>
        </w:rPr>
        <w:t xml:space="preserve"> </w:t>
      </w:r>
      <w:r w:rsidRPr="00604C64">
        <w:rPr>
          <w:i/>
          <w:lang w:val="en-US"/>
        </w:rPr>
        <w:t>in vitro</w:t>
      </w:r>
      <w:r w:rsidRPr="00604C64">
        <w:rPr>
          <w:lang w:val="en-US"/>
        </w:rPr>
        <w:t xml:space="preserve"> </w:t>
      </w:r>
      <w:r>
        <w:rPr>
          <w:lang w:val="en-US"/>
        </w:rPr>
        <w:t xml:space="preserve">cultivation of </w:t>
      </w:r>
      <w:r w:rsidRPr="00604C64">
        <w:rPr>
          <w:iCs/>
          <w:lang w:val="en-US"/>
        </w:rPr>
        <w:t>Phalaenopsis</w:t>
      </w:r>
      <w:r>
        <w:rPr>
          <w:iCs/>
          <w:lang w:val="en-US"/>
        </w:rPr>
        <w:t xml:space="preserve"> hybrids</w:t>
      </w:r>
      <w:r w:rsidRPr="00604C64">
        <w:rPr>
          <w:lang w:val="en-US"/>
        </w:rPr>
        <w:t xml:space="preserve">, where </w:t>
      </w:r>
      <w:r>
        <w:rPr>
          <w:lang w:val="en-US"/>
        </w:rPr>
        <w:t xml:space="preserve">increases in </w:t>
      </w:r>
      <w:r w:rsidRPr="00604C64">
        <w:rPr>
          <w:lang w:val="en-US"/>
        </w:rPr>
        <w:t>NH</w:t>
      </w:r>
      <w:r w:rsidRPr="00604C64">
        <w:rPr>
          <w:vertAlign w:val="superscript"/>
          <w:lang w:val="en-US"/>
        </w:rPr>
        <w:t>+</w:t>
      </w:r>
      <w:r w:rsidRPr="00604C64">
        <w:rPr>
          <w:vertAlign w:val="subscript"/>
          <w:lang w:val="en-US"/>
        </w:rPr>
        <w:t>4</w:t>
      </w:r>
      <w:r>
        <w:rPr>
          <w:lang w:val="en-US"/>
        </w:rPr>
        <w:t xml:space="preserve"> and</w:t>
      </w:r>
      <w:r w:rsidRPr="00604C64">
        <w:rPr>
          <w:lang w:val="en-US"/>
        </w:rPr>
        <w:t xml:space="preserve"> NO</w:t>
      </w:r>
      <w:r w:rsidRPr="00604C64">
        <w:rPr>
          <w:vertAlign w:val="superscript"/>
          <w:lang w:val="en-US"/>
        </w:rPr>
        <w:t>−</w:t>
      </w:r>
      <w:r w:rsidRPr="00604C64">
        <w:rPr>
          <w:vertAlign w:val="subscript"/>
          <w:lang w:val="en-US"/>
        </w:rPr>
        <w:t xml:space="preserve">3 </w:t>
      </w:r>
      <w:r>
        <w:rPr>
          <w:lang w:val="en-US"/>
        </w:rPr>
        <w:t xml:space="preserve">concentration </w:t>
      </w:r>
      <w:r w:rsidRPr="00604C64">
        <w:rPr>
          <w:lang w:val="en-US"/>
        </w:rPr>
        <w:t>pro</w:t>
      </w:r>
      <w:r>
        <w:rPr>
          <w:lang w:val="en-US"/>
        </w:rPr>
        <w:t>voked shoot growth and root reduction (Hinnen et al.</w:t>
      </w:r>
      <w:r w:rsidRPr="00604C64">
        <w:rPr>
          <w:lang w:val="en-US"/>
        </w:rPr>
        <w:t xml:space="preserve"> 1989).</w:t>
      </w:r>
    </w:p>
    <w:p w:rsidR="00BC7D1A" w:rsidRPr="00604C64" w:rsidRDefault="00BC7D1A" w:rsidP="002717DB">
      <w:pPr>
        <w:spacing w:line="480" w:lineRule="auto"/>
        <w:ind w:firstLine="709"/>
        <w:jc w:val="both"/>
        <w:rPr>
          <w:lang w:val="en-US"/>
        </w:rPr>
      </w:pPr>
    </w:p>
    <w:p w:rsidR="00BC7D1A" w:rsidRPr="00F969FF" w:rsidRDefault="00BC7D1A" w:rsidP="00782013">
      <w:pPr>
        <w:spacing w:line="480" w:lineRule="auto"/>
        <w:jc w:val="both"/>
        <w:rPr>
          <w:lang w:val="en-US"/>
        </w:rPr>
      </w:pPr>
      <w:r w:rsidRPr="00597698">
        <w:rPr>
          <w:b/>
          <w:lang w:val="en-US"/>
        </w:rPr>
        <w:t>Experiment 2:</w:t>
      </w:r>
      <w:r w:rsidRPr="00597698">
        <w:rPr>
          <w:lang w:val="en-US"/>
        </w:rPr>
        <w:t xml:space="preserve"> </w:t>
      </w:r>
      <w:r w:rsidRPr="00597698">
        <w:rPr>
          <w:i/>
          <w:lang w:val="en-US"/>
        </w:rPr>
        <w:t xml:space="preserve">Evaluation of Salicylic acid on </w:t>
      </w:r>
      <w:r>
        <w:rPr>
          <w:i/>
          <w:lang w:val="en-US"/>
        </w:rPr>
        <w:t>production of cutting</w:t>
      </w:r>
      <w:r w:rsidRPr="00CD4B3B">
        <w:rPr>
          <w:lang w:val="en-US"/>
        </w:rPr>
        <w:t>.</w:t>
      </w:r>
      <w:r w:rsidRPr="00735280">
        <w:rPr>
          <w:lang w:val="en-US"/>
        </w:rPr>
        <w:t xml:space="preserve"> A summary of probabilities and their statistical significance for effects of</w:t>
      </w:r>
      <w:r>
        <w:rPr>
          <w:lang w:val="en-US"/>
        </w:rPr>
        <w:t xml:space="preserve"> all variables are presented in the </w:t>
      </w:r>
      <w:r w:rsidRPr="00735280">
        <w:rPr>
          <w:lang w:val="en-US"/>
        </w:rPr>
        <w:t>tabl</w:t>
      </w:r>
      <w:r>
        <w:rPr>
          <w:lang w:val="en-US"/>
        </w:rPr>
        <w:t>e 4.</w:t>
      </w:r>
      <w:r w:rsidRPr="00181A82">
        <w:rPr>
          <w:lang w:val="en-US"/>
        </w:rPr>
        <w:t xml:space="preserve"> Among evaluated parameters</w:t>
      </w:r>
      <w:r>
        <w:rPr>
          <w:lang w:val="en-US"/>
        </w:rPr>
        <w:t>,</w:t>
      </w:r>
      <w:r w:rsidRPr="00181A82">
        <w:rPr>
          <w:lang w:val="en-US"/>
        </w:rPr>
        <w:t xml:space="preserve"> for proportion of successful cuttings only</w:t>
      </w:r>
      <w:r>
        <w:rPr>
          <w:lang w:val="en-US"/>
        </w:rPr>
        <w:t xml:space="preserve">, </w:t>
      </w:r>
      <w:r w:rsidRPr="00181A82">
        <w:rPr>
          <w:lang w:val="en-US"/>
        </w:rPr>
        <w:t>was observed statistical difference (</w:t>
      </w:r>
      <w:r w:rsidRPr="00181A82">
        <w:rPr>
          <w:i/>
          <w:lang w:val="en-US"/>
        </w:rPr>
        <w:t>p</w:t>
      </w:r>
      <w:r w:rsidRPr="00181A82">
        <w:rPr>
          <w:lang w:val="en-US"/>
        </w:rPr>
        <w:t xml:space="preserve">&lt;0.05) </w:t>
      </w:r>
      <w:r>
        <w:rPr>
          <w:lang w:val="en-US"/>
        </w:rPr>
        <w:t xml:space="preserve">with </w:t>
      </w:r>
      <w:r w:rsidRPr="00181A82">
        <w:rPr>
          <w:lang w:val="en-US"/>
        </w:rPr>
        <w:t>the highest</w:t>
      </w:r>
      <w:r>
        <w:rPr>
          <w:lang w:val="en-US"/>
        </w:rPr>
        <w:t xml:space="preserve"> observed value (</w:t>
      </w:r>
      <w:r w:rsidRPr="00181A82">
        <w:rPr>
          <w:lang w:val="en-US"/>
        </w:rPr>
        <w:t>43.3%</w:t>
      </w:r>
      <w:r>
        <w:rPr>
          <w:lang w:val="en-US"/>
        </w:rPr>
        <w:t xml:space="preserve">) in the treatment with </w:t>
      </w:r>
      <w:r w:rsidRPr="00181A82">
        <w:rPr>
          <w:lang w:val="en-US"/>
        </w:rPr>
        <w:t>0.50mM</w:t>
      </w:r>
      <w:r>
        <w:rPr>
          <w:lang w:val="en-US"/>
        </w:rPr>
        <w:t xml:space="preserve"> of Salicylic acid</w:t>
      </w:r>
      <w:r w:rsidRPr="00181A82">
        <w:rPr>
          <w:lang w:val="en-US"/>
        </w:rPr>
        <w:t>,</w:t>
      </w:r>
      <w:r>
        <w:rPr>
          <w:lang w:val="en-US"/>
        </w:rPr>
        <w:t xml:space="preserve"> 1.86 times more than observed for the control treatment that that was</w:t>
      </w:r>
      <w:r w:rsidRPr="00181A82">
        <w:rPr>
          <w:lang w:val="en-US"/>
        </w:rPr>
        <w:t xml:space="preserve"> 23.3% (Figur</w:t>
      </w:r>
      <w:r>
        <w:rPr>
          <w:lang w:val="en-US"/>
        </w:rPr>
        <w:t>e</w:t>
      </w:r>
      <w:r w:rsidRPr="00181A82">
        <w:rPr>
          <w:lang w:val="en-US"/>
        </w:rPr>
        <w:t xml:space="preserve"> 1). </w:t>
      </w:r>
      <w:r w:rsidRPr="00F969FF">
        <w:rPr>
          <w:lang w:val="en-US"/>
        </w:rPr>
        <w:t xml:space="preserve">Salicylic acid is involved in many physiological plants </w:t>
      </w:r>
      <w:r>
        <w:rPr>
          <w:lang w:val="en-US"/>
        </w:rPr>
        <w:t>processes</w:t>
      </w:r>
      <w:r w:rsidRPr="00F969FF">
        <w:rPr>
          <w:lang w:val="en-US"/>
        </w:rPr>
        <w:t>, amo</w:t>
      </w:r>
      <w:r>
        <w:rPr>
          <w:lang w:val="en-US"/>
        </w:rPr>
        <w:t>n</w:t>
      </w:r>
      <w:r w:rsidRPr="00F969FF">
        <w:rPr>
          <w:lang w:val="en-US"/>
        </w:rPr>
        <w:t>g th</w:t>
      </w:r>
      <w:r>
        <w:rPr>
          <w:lang w:val="en-US"/>
        </w:rPr>
        <w:t>ese stomata closure (Mori et al.</w:t>
      </w:r>
      <w:r w:rsidRPr="00F969FF">
        <w:rPr>
          <w:lang w:val="en-US"/>
        </w:rPr>
        <w:t xml:space="preserve"> 2001) and induction for abiot</w:t>
      </w:r>
      <w:r>
        <w:rPr>
          <w:lang w:val="en-US"/>
        </w:rPr>
        <w:t xml:space="preserve">ic </w:t>
      </w:r>
      <w:r w:rsidRPr="00F969FF">
        <w:rPr>
          <w:lang w:val="en-US"/>
        </w:rPr>
        <w:t>stress resist</w:t>
      </w:r>
      <w:r>
        <w:rPr>
          <w:lang w:val="en-US"/>
        </w:rPr>
        <w:t>ance (Janda et al.</w:t>
      </w:r>
      <w:r w:rsidRPr="00F969FF">
        <w:rPr>
          <w:lang w:val="en-US"/>
        </w:rPr>
        <w:t xml:space="preserve"> 1999) </w:t>
      </w:r>
      <w:r>
        <w:rPr>
          <w:lang w:val="en-US"/>
        </w:rPr>
        <w:t>that could contribute to proportion of successful cuttings increment</w:t>
      </w:r>
      <w:r w:rsidRPr="00F969FF">
        <w:rPr>
          <w:lang w:val="en-US"/>
        </w:rPr>
        <w:t>.</w:t>
      </w:r>
      <w:r>
        <w:rPr>
          <w:lang w:val="en-US"/>
        </w:rPr>
        <w:t xml:space="preserve"> </w:t>
      </w:r>
      <w:r w:rsidRPr="00F969FF">
        <w:rPr>
          <w:lang w:val="en-US"/>
        </w:rPr>
        <w:t>Nevertheless, the h</w:t>
      </w:r>
      <w:r>
        <w:rPr>
          <w:lang w:val="en-US"/>
        </w:rPr>
        <w:t>i</w:t>
      </w:r>
      <w:r w:rsidRPr="00F969FF">
        <w:rPr>
          <w:lang w:val="en-US"/>
        </w:rPr>
        <w:t>ghe</w:t>
      </w:r>
      <w:r>
        <w:rPr>
          <w:lang w:val="en-US"/>
        </w:rPr>
        <w:t>s</w:t>
      </w:r>
      <w:r w:rsidRPr="00F969FF">
        <w:rPr>
          <w:lang w:val="en-US"/>
        </w:rPr>
        <w:t xml:space="preserve">t tested concentration, 1.0mM, showed a reduction of 7% </w:t>
      </w:r>
      <w:r>
        <w:rPr>
          <w:lang w:val="en-US"/>
        </w:rPr>
        <w:t>in proportion of successful cuttings in relation to obtained with the dosage of</w:t>
      </w:r>
      <w:r w:rsidRPr="00F969FF">
        <w:rPr>
          <w:lang w:val="en-US"/>
        </w:rPr>
        <w:t xml:space="preserve"> 0.5mM (Figur</w:t>
      </w:r>
      <w:r>
        <w:rPr>
          <w:lang w:val="en-US"/>
        </w:rPr>
        <w:t>e 1). Çanakci and</w:t>
      </w:r>
      <w:r w:rsidRPr="00F969FF">
        <w:rPr>
          <w:lang w:val="en-US"/>
        </w:rPr>
        <w:t xml:space="preserve"> Munzuroglu (2009), in a</w:t>
      </w:r>
      <w:r>
        <w:rPr>
          <w:lang w:val="en-US"/>
        </w:rPr>
        <w:t>n</w:t>
      </w:r>
      <w:r w:rsidRPr="00F969FF">
        <w:rPr>
          <w:lang w:val="en-US"/>
        </w:rPr>
        <w:t xml:space="preserve"> experiment with application of Salicylic </w:t>
      </w:r>
      <w:r>
        <w:rPr>
          <w:lang w:val="en-US"/>
        </w:rPr>
        <w:t>acid</w:t>
      </w:r>
      <w:r w:rsidRPr="00F969FF">
        <w:rPr>
          <w:lang w:val="en-US"/>
        </w:rPr>
        <w:t xml:space="preserve"> in barley and radish observed that concentra</w:t>
      </w:r>
      <w:r>
        <w:rPr>
          <w:lang w:val="en-US"/>
        </w:rPr>
        <w:t>te</w:t>
      </w:r>
      <w:r w:rsidRPr="00F969FF">
        <w:rPr>
          <w:lang w:val="en-US"/>
        </w:rPr>
        <w:t>d doses provoke a reductio</w:t>
      </w:r>
      <w:r>
        <w:rPr>
          <w:lang w:val="en-US"/>
        </w:rPr>
        <w:t>n in fresh weigh and chlorophyll content</w:t>
      </w:r>
      <w:r w:rsidRPr="00F969FF">
        <w:rPr>
          <w:lang w:val="en-US"/>
        </w:rPr>
        <w:t xml:space="preserve">. So, is supposed that the application of Salicylic </w:t>
      </w:r>
      <w:r>
        <w:rPr>
          <w:lang w:val="en-US"/>
        </w:rPr>
        <w:t>acid</w:t>
      </w:r>
      <w:r w:rsidRPr="00F969FF">
        <w:rPr>
          <w:lang w:val="en-US"/>
        </w:rPr>
        <w:t>, at th</w:t>
      </w:r>
      <w:r>
        <w:rPr>
          <w:lang w:val="en-US"/>
        </w:rPr>
        <w:t xml:space="preserve">e concentration of </w:t>
      </w:r>
      <w:r w:rsidRPr="00F969FF">
        <w:rPr>
          <w:lang w:val="en-US"/>
        </w:rPr>
        <w:t xml:space="preserve">1.0mM </w:t>
      </w:r>
      <w:r>
        <w:rPr>
          <w:lang w:val="en-US"/>
        </w:rPr>
        <w:t xml:space="preserve">could have induced phytotoxic effect and </w:t>
      </w:r>
      <w:r w:rsidRPr="00F969FF">
        <w:rPr>
          <w:lang w:val="en-US"/>
        </w:rPr>
        <w:t>dimin</w:t>
      </w:r>
      <w:r>
        <w:rPr>
          <w:lang w:val="en-US"/>
        </w:rPr>
        <w:t>ished the proportion of successful cuttings</w:t>
      </w:r>
      <w:r w:rsidRPr="00F969FF">
        <w:rPr>
          <w:lang w:val="en-US"/>
        </w:rPr>
        <w:t>.</w:t>
      </w:r>
    </w:p>
    <w:p w:rsidR="00BC7D1A" w:rsidRPr="00B64A45" w:rsidRDefault="00BC7D1A" w:rsidP="00782013">
      <w:pPr>
        <w:spacing w:line="480" w:lineRule="auto"/>
        <w:jc w:val="both"/>
        <w:rPr>
          <w:lang w:val="en-US"/>
        </w:rPr>
      </w:pPr>
      <w:r w:rsidRPr="0094342A">
        <w:rPr>
          <w:lang w:val="en-US"/>
        </w:rPr>
        <w:t>Fro</w:t>
      </w:r>
      <w:r>
        <w:rPr>
          <w:lang w:val="en-US"/>
        </w:rPr>
        <w:t>m</w:t>
      </w:r>
      <w:r w:rsidRPr="0094342A">
        <w:rPr>
          <w:lang w:val="en-US"/>
        </w:rPr>
        <w:t xml:space="preserve"> the regression analysis on the figure 1 is possible to visualize that the point of highest inflection of the curve is given with </w:t>
      </w:r>
      <w:r>
        <w:rPr>
          <w:lang w:val="en-US"/>
        </w:rPr>
        <w:t xml:space="preserve">the x- axis of </w:t>
      </w:r>
      <w:r w:rsidRPr="0094342A">
        <w:rPr>
          <w:lang w:val="en-US"/>
        </w:rPr>
        <w:t xml:space="preserve">0.61mM, </w:t>
      </w:r>
      <w:r>
        <w:rPr>
          <w:lang w:val="en-US"/>
        </w:rPr>
        <w:t xml:space="preserve">point where the higher proportion of successful cuttings could reaches its maximum </w:t>
      </w:r>
      <w:r w:rsidRPr="0094342A">
        <w:rPr>
          <w:lang w:val="en-US"/>
        </w:rPr>
        <w:t xml:space="preserve">(44.8%), </w:t>
      </w:r>
      <w:r>
        <w:rPr>
          <w:lang w:val="en-US"/>
        </w:rPr>
        <w:t xml:space="preserve">so, this would be the theoretical dosage for the maximum </w:t>
      </w:r>
      <w:r w:rsidRPr="0094342A">
        <w:rPr>
          <w:i/>
          <w:lang w:val="en-US"/>
        </w:rPr>
        <w:t>D. nobile</w:t>
      </w:r>
      <w:r>
        <w:rPr>
          <w:lang w:val="en-US"/>
        </w:rPr>
        <w:t xml:space="preserve"> cuttings production</w:t>
      </w:r>
      <w:r w:rsidRPr="0094342A">
        <w:rPr>
          <w:lang w:val="en-US"/>
        </w:rPr>
        <w:t xml:space="preserve">. </w:t>
      </w:r>
      <w:r w:rsidRPr="00B64A45">
        <w:rPr>
          <w:lang w:val="en-US"/>
        </w:rPr>
        <w:t>This value is 3% superior to the best ob</w:t>
      </w:r>
      <w:r>
        <w:rPr>
          <w:lang w:val="en-US"/>
        </w:rPr>
        <w:t>served treatment by Venturieri and</w:t>
      </w:r>
      <w:r w:rsidRPr="00B64A45">
        <w:rPr>
          <w:lang w:val="en-US"/>
        </w:rPr>
        <w:t xml:space="preserve"> </w:t>
      </w:r>
      <w:r w:rsidRPr="00B64A45">
        <w:rPr>
          <w:spacing w:val="-3"/>
          <w:lang w:val="en-US"/>
        </w:rPr>
        <w:t>Pickscius (</w:t>
      </w:r>
      <w:r w:rsidRPr="00B64A45">
        <w:rPr>
          <w:lang w:val="en-US"/>
        </w:rPr>
        <w:t xml:space="preserve">2012) where the </w:t>
      </w:r>
      <w:r>
        <w:rPr>
          <w:lang w:val="en-US"/>
        </w:rPr>
        <w:t>b</w:t>
      </w:r>
      <w:r w:rsidRPr="00B64A45">
        <w:rPr>
          <w:lang w:val="en-US"/>
        </w:rPr>
        <w:t>est treatment was 2</w:t>
      </w:r>
      <w:r>
        <w:rPr>
          <w:lang w:val="en-US"/>
        </w:rPr>
        <w:t>.</w:t>
      </w:r>
      <w:r w:rsidRPr="00B64A45">
        <w:rPr>
          <w:lang w:val="en-US"/>
        </w:rPr>
        <w:t xml:space="preserve">5% superior to the control treatment </w:t>
      </w:r>
      <w:r>
        <w:rPr>
          <w:lang w:val="en-US"/>
        </w:rPr>
        <w:t>only. At the present work</w:t>
      </w:r>
      <w:r w:rsidRPr="00B64A45">
        <w:rPr>
          <w:lang w:val="en-US"/>
        </w:rPr>
        <w:t xml:space="preserve">, </w:t>
      </w:r>
      <w:r>
        <w:rPr>
          <w:lang w:val="en-US"/>
        </w:rPr>
        <w:t xml:space="preserve">the best </w:t>
      </w:r>
      <w:r w:rsidRPr="00B64A45">
        <w:rPr>
          <w:lang w:val="en-US"/>
        </w:rPr>
        <w:t>tr</w:t>
      </w:r>
      <w:r>
        <w:rPr>
          <w:lang w:val="en-US"/>
        </w:rPr>
        <w:t>e</w:t>
      </w:r>
      <w:r w:rsidRPr="00B64A45">
        <w:rPr>
          <w:lang w:val="en-US"/>
        </w:rPr>
        <w:t xml:space="preserve">atment </w:t>
      </w:r>
      <w:r>
        <w:rPr>
          <w:lang w:val="en-US"/>
        </w:rPr>
        <w:t>was</w:t>
      </w:r>
      <w:r w:rsidRPr="00B64A45">
        <w:rPr>
          <w:lang w:val="en-US"/>
        </w:rPr>
        <w:t xml:space="preserve"> 20</w:t>
      </w:r>
      <w:r>
        <w:rPr>
          <w:lang w:val="en-US"/>
        </w:rPr>
        <w:t>.</w:t>
      </w:r>
      <w:r w:rsidRPr="00B64A45">
        <w:rPr>
          <w:lang w:val="en-US"/>
        </w:rPr>
        <w:t xml:space="preserve">5% superior </w:t>
      </w:r>
      <w:r>
        <w:rPr>
          <w:lang w:val="en-US"/>
        </w:rPr>
        <w:t>to the control treatment</w:t>
      </w:r>
      <w:r w:rsidRPr="00B64A45">
        <w:rPr>
          <w:lang w:val="en-US"/>
        </w:rPr>
        <w:t xml:space="preserve">, </w:t>
      </w:r>
      <w:r>
        <w:rPr>
          <w:lang w:val="en-US"/>
        </w:rPr>
        <w:t>so there were environment restrictions that affected negatively the present experiment</w:t>
      </w:r>
      <w:r w:rsidRPr="00B64A45">
        <w:rPr>
          <w:lang w:val="en-US"/>
        </w:rPr>
        <w:t>. In fact, during the execution of the second experiment</w:t>
      </w:r>
      <w:r>
        <w:rPr>
          <w:lang w:val="en-US"/>
        </w:rPr>
        <w:t xml:space="preserve"> significantly hot days </w:t>
      </w:r>
      <w:r w:rsidRPr="00B64A45">
        <w:rPr>
          <w:lang w:val="en-US"/>
        </w:rPr>
        <w:t>w</w:t>
      </w:r>
      <w:r>
        <w:rPr>
          <w:lang w:val="en-US"/>
        </w:rPr>
        <w:t>ere observed</w:t>
      </w:r>
      <w:r w:rsidRPr="00B64A45">
        <w:rPr>
          <w:lang w:val="en-US"/>
        </w:rPr>
        <w:t>.</w:t>
      </w:r>
    </w:p>
    <w:p w:rsidR="00BC7D1A" w:rsidRPr="00B64A45" w:rsidRDefault="00BC7D1A" w:rsidP="00010AAE">
      <w:pPr>
        <w:spacing w:line="480" w:lineRule="auto"/>
        <w:jc w:val="both"/>
        <w:rPr>
          <w:lang w:val="en-US"/>
        </w:rPr>
      </w:pPr>
    </w:p>
    <w:p w:rsidR="00BC7D1A" w:rsidRPr="005373C7" w:rsidRDefault="00BC7D1A" w:rsidP="00935D86">
      <w:pPr>
        <w:spacing w:line="480" w:lineRule="auto"/>
        <w:ind w:left="284" w:right="18" w:hanging="284"/>
        <w:rPr>
          <w:b/>
          <w:bCs w:val="0"/>
          <w:spacing w:val="-2"/>
          <w:lang w:val="en-US"/>
        </w:rPr>
      </w:pPr>
      <w:r w:rsidRPr="005373C7">
        <w:rPr>
          <w:b/>
          <w:spacing w:val="-2"/>
          <w:lang w:val="en-US"/>
        </w:rPr>
        <w:t>A</w:t>
      </w:r>
      <w:r>
        <w:rPr>
          <w:b/>
          <w:spacing w:val="-2"/>
          <w:lang w:val="en-US"/>
        </w:rPr>
        <w:t>CKNOWLEDGMENTS</w:t>
      </w:r>
    </w:p>
    <w:p w:rsidR="00BC7D1A" w:rsidRPr="00935D86" w:rsidRDefault="00BC7D1A" w:rsidP="002717DB">
      <w:pPr>
        <w:spacing w:line="480" w:lineRule="auto"/>
        <w:jc w:val="both"/>
        <w:rPr>
          <w:szCs w:val="22"/>
          <w:lang w:val="en-US"/>
        </w:rPr>
      </w:pPr>
      <w:r w:rsidRPr="005373C7">
        <w:rPr>
          <w:szCs w:val="22"/>
          <w:lang w:val="en-US"/>
        </w:rPr>
        <w:tab/>
      </w:r>
      <w:r w:rsidRPr="00935D86">
        <w:rPr>
          <w:szCs w:val="22"/>
          <w:lang w:val="en-US"/>
        </w:rPr>
        <w:t>To colle</w:t>
      </w:r>
      <w:r>
        <w:rPr>
          <w:szCs w:val="22"/>
          <w:lang w:val="en-US"/>
        </w:rPr>
        <w:t>a</w:t>
      </w:r>
      <w:r w:rsidRPr="00935D86">
        <w:rPr>
          <w:szCs w:val="22"/>
          <w:lang w:val="en-US"/>
        </w:rPr>
        <w:t xml:space="preserve">gues Antônio Correa Garcia </w:t>
      </w:r>
      <w:r>
        <w:rPr>
          <w:szCs w:val="22"/>
          <w:lang w:val="en-US"/>
        </w:rPr>
        <w:t>and</w:t>
      </w:r>
      <w:r w:rsidRPr="00935D86">
        <w:rPr>
          <w:szCs w:val="22"/>
          <w:lang w:val="en-US"/>
        </w:rPr>
        <w:t xml:space="preserve"> Jefferson Sandi for the help during the executio</w:t>
      </w:r>
      <w:r>
        <w:rPr>
          <w:szCs w:val="22"/>
          <w:lang w:val="en-US"/>
        </w:rPr>
        <w:t>n of the present experiments. T</w:t>
      </w:r>
      <w:r w:rsidRPr="00935D86">
        <w:rPr>
          <w:szCs w:val="22"/>
          <w:lang w:val="en-US"/>
        </w:rPr>
        <w:t>o Mr. José Francisco Nunes Filho for the genetic materi</w:t>
      </w:r>
      <w:r>
        <w:rPr>
          <w:szCs w:val="22"/>
          <w:lang w:val="en-US"/>
        </w:rPr>
        <w:t>a</w:t>
      </w:r>
      <w:r w:rsidRPr="00935D86">
        <w:rPr>
          <w:szCs w:val="22"/>
          <w:lang w:val="en-US"/>
        </w:rPr>
        <w:t>l supplied</w:t>
      </w:r>
      <w:r>
        <w:rPr>
          <w:szCs w:val="22"/>
          <w:lang w:val="en-US"/>
        </w:rPr>
        <w:t>. And we also acknowledge Dr</w:t>
      </w:r>
      <w:r w:rsidRPr="00935D86">
        <w:rPr>
          <w:szCs w:val="22"/>
          <w:lang w:val="en-US"/>
        </w:rPr>
        <w:t xml:space="preserve"> César A</w:t>
      </w:r>
      <w:r>
        <w:rPr>
          <w:szCs w:val="22"/>
          <w:lang w:val="en-US"/>
        </w:rPr>
        <w:t xml:space="preserve">ssis Butignol, the MS student </w:t>
      </w:r>
      <w:r w:rsidRPr="00935D86">
        <w:rPr>
          <w:szCs w:val="22"/>
          <w:lang w:val="en-US"/>
        </w:rPr>
        <w:t>Evelyn Loureiro</w:t>
      </w:r>
      <w:r>
        <w:rPr>
          <w:szCs w:val="22"/>
          <w:lang w:val="en-US"/>
        </w:rPr>
        <w:t xml:space="preserve"> and undergraduate Vinicius Jubett</w:t>
      </w:r>
      <w:r w:rsidRPr="00935D86">
        <w:rPr>
          <w:szCs w:val="22"/>
          <w:lang w:val="en-US"/>
        </w:rPr>
        <w:t xml:space="preserve"> </w:t>
      </w:r>
      <w:r>
        <w:rPr>
          <w:szCs w:val="22"/>
          <w:lang w:val="en-US"/>
        </w:rPr>
        <w:t>for the critical revision of the manuscript</w:t>
      </w:r>
      <w:r w:rsidRPr="00935D86">
        <w:rPr>
          <w:szCs w:val="22"/>
          <w:lang w:val="en-US"/>
        </w:rPr>
        <w:t>.</w:t>
      </w:r>
    </w:p>
    <w:p w:rsidR="00BC7D1A" w:rsidRPr="00935D86" w:rsidRDefault="00BC7D1A" w:rsidP="002717DB">
      <w:pPr>
        <w:spacing w:line="480" w:lineRule="auto"/>
        <w:ind w:left="1080" w:hanging="1080"/>
        <w:jc w:val="both"/>
        <w:rPr>
          <w:b/>
          <w:szCs w:val="22"/>
          <w:lang w:val="en-US"/>
        </w:rPr>
      </w:pPr>
    </w:p>
    <w:p w:rsidR="00BC7D1A" w:rsidRDefault="00BC7D1A" w:rsidP="002717DB">
      <w:pPr>
        <w:spacing w:line="480" w:lineRule="auto"/>
        <w:ind w:left="1080" w:hanging="1080"/>
        <w:jc w:val="both"/>
        <w:rPr>
          <w:b/>
          <w:szCs w:val="22"/>
          <w:lang w:val="en-US"/>
        </w:rPr>
      </w:pPr>
      <w:r>
        <w:rPr>
          <w:b/>
          <w:szCs w:val="22"/>
          <w:lang w:val="en-US"/>
        </w:rPr>
        <w:t>CONCLUSION</w:t>
      </w:r>
    </w:p>
    <w:p w:rsidR="00BC7D1A" w:rsidRPr="00B64A45" w:rsidRDefault="00BC7D1A" w:rsidP="00960C8E">
      <w:pPr>
        <w:pStyle w:val="ListParagraph"/>
        <w:spacing w:line="480" w:lineRule="auto"/>
        <w:ind w:left="0"/>
        <w:jc w:val="both"/>
        <w:rPr>
          <w:lang w:val="en-US"/>
        </w:rPr>
      </w:pPr>
      <w:r w:rsidRPr="00B64A45">
        <w:rPr>
          <w:lang w:val="en-US"/>
        </w:rPr>
        <w:t xml:space="preserve">With mature </w:t>
      </w:r>
      <w:r>
        <w:rPr>
          <w:lang w:val="en-US"/>
        </w:rPr>
        <w:t xml:space="preserve">stems </w:t>
      </w:r>
      <w:r w:rsidRPr="00B64A45">
        <w:rPr>
          <w:lang w:val="en-US"/>
        </w:rPr>
        <w:t>in achi</w:t>
      </w:r>
      <w:r>
        <w:rPr>
          <w:lang w:val="en-US"/>
        </w:rPr>
        <w:t>ev</w:t>
      </w:r>
      <w:r w:rsidRPr="00B64A45">
        <w:rPr>
          <w:lang w:val="en-US"/>
        </w:rPr>
        <w:t xml:space="preserve">ed the highest </w:t>
      </w:r>
      <w:r>
        <w:rPr>
          <w:lang w:val="en-US"/>
        </w:rPr>
        <w:t xml:space="preserve">vigor and </w:t>
      </w:r>
      <w:r w:rsidRPr="00B64A45">
        <w:rPr>
          <w:lang w:val="en-US"/>
        </w:rPr>
        <w:t>proportion of successful cuttings.</w:t>
      </w:r>
    </w:p>
    <w:p w:rsidR="00BC7D1A" w:rsidRDefault="00BC7D1A" w:rsidP="00960C8E">
      <w:pPr>
        <w:pStyle w:val="ListParagraph"/>
        <w:spacing w:line="480" w:lineRule="auto"/>
        <w:ind w:left="0"/>
        <w:jc w:val="both"/>
        <w:rPr>
          <w:lang w:val="en-US"/>
        </w:rPr>
      </w:pPr>
      <w:r w:rsidRPr="00B64A45">
        <w:rPr>
          <w:lang w:val="en-US"/>
        </w:rPr>
        <w:t>Ap</w:t>
      </w:r>
      <w:r>
        <w:rPr>
          <w:lang w:val="en-US"/>
        </w:rPr>
        <w:t>p</w:t>
      </w:r>
      <w:r w:rsidRPr="00B64A45">
        <w:rPr>
          <w:lang w:val="en-US"/>
        </w:rPr>
        <w:t>lication of Nitrogen in the am</w:t>
      </w:r>
      <w:r>
        <w:rPr>
          <w:lang w:val="en-US"/>
        </w:rPr>
        <w:t>m</w:t>
      </w:r>
      <w:r w:rsidRPr="00B64A45">
        <w:rPr>
          <w:lang w:val="en-US"/>
        </w:rPr>
        <w:t>oniac or nitric forms did not benefi</w:t>
      </w:r>
      <w:r>
        <w:rPr>
          <w:lang w:val="en-US"/>
        </w:rPr>
        <w:t xml:space="preserve">t vigor or even cuttings production. </w:t>
      </w:r>
      <w:r w:rsidRPr="00B64A45">
        <w:rPr>
          <w:lang w:val="en-US"/>
        </w:rPr>
        <w:t xml:space="preserve">Application of Salicylic acid </w:t>
      </w:r>
      <w:r>
        <w:rPr>
          <w:lang w:val="en-US"/>
        </w:rPr>
        <w:t>a</w:t>
      </w:r>
      <w:r w:rsidRPr="00B64A45">
        <w:rPr>
          <w:lang w:val="en-US"/>
        </w:rPr>
        <w:t>t concentration of 0.50mM increased the proportion of suc</w:t>
      </w:r>
      <w:r>
        <w:rPr>
          <w:lang w:val="en-US"/>
        </w:rPr>
        <w:t>c</w:t>
      </w:r>
      <w:r w:rsidRPr="00B64A45">
        <w:rPr>
          <w:lang w:val="en-US"/>
        </w:rPr>
        <w:t xml:space="preserve">essful </w:t>
      </w:r>
      <w:r>
        <w:rPr>
          <w:lang w:val="en-US"/>
        </w:rPr>
        <w:t xml:space="preserve">cuttings of </w:t>
      </w:r>
      <w:r w:rsidRPr="00B64A45">
        <w:rPr>
          <w:i/>
          <w:lang w:val="en-US"/>
        </w:rPr>
        <w:t>D. nobile</w:t>
      </w:r>
      <w:r w:rsidRPr="00B64A45">
        <w:rPr>
          <w:lang w:val="en-US"/>
        </w:rPr>
        <w:t xml:space="preserve"> </w:t>
      </w:r>
      <w:r>
        <w:rPr>
          <w:lang w:val="en-US"/>
        </w:rPr>
        <w:t>been the best efficient dosage inferred as</w:t>
      </w:r>
      <w:r w:rsidRPr="00B64A45">
        <w:rPr>
          <w:lang w:val="en-US"/>
        </w:rPr>
        <w:t xml:space="preserve"> 0.61mM.</w:t>
      </w:r>
    </w:p>
    <w:p w:rsidR="00BC7D1A" w:rsidRPr="00960C8E" w:rsidRDefault="00BC7D1A" w:rsidP="00960C8E">
      <w:pPr>
        <w:pStyle w:val="ListParagraph"/>
        <w:spacing w:line="480" w:lineRule="auto"/>
        <w:ind w:left="0"/>
        <w:jc w:val="both"/>
        <w:rPr>
          <w:szCs w:val="22"/>
          <w:lang w:val="en-US"/>
        </w:rPr>
      </w:pPr>
    </w:p>
    <w:p w:rsidR="00BC7D1A" w:rsidRPr="00202A98" w:rsidRDefault="00BC7D1A" w:rsidP="002717DB">
      <w:pPr>
        <w:spacing w:line="480" w:lineRule="auto"/>
        <w:ind w:left="1080" w:hanging="1080"/>
        <w:jc w:val="both"/>
        <w:rPr>
          <w:b/>
          <w:szCs w:val="22"/>
        </w:rPr>
      </w:pPr>
      <w:r w:rsidRPr="00782013">
        <w:rPr>
          <w:b/>
          <w:szCs w:val="22"/>
          <w:lang w:val="en-US"/>
        </w:rPr>
        <w:t>R</w:t>
      </w:r>
      <w:r>
        <w:rPr>
          <w:b/>
          <w:szCs w:val="22"/>
          <w:lang w:val="en-US"/>
        </w:rPr>
        <w:t>EFERENCES</w:t>
      </w:r>
    </w:p>
    <w:p w:rsidR="00BC7D1A" w:rsidRDefault="00BC7D1A" w:rsidP="0084300A">
      <w:pPr>
        <w:pStyle w:val="NormalWeb"/>
        <w:spacing w:before="0" w:beforeAutospacing="0" w:after="0" w:afterAutospacing="0" w:line="480" w:lineRule="auto"/>
        <w:jc w:val="both"/>
      </w:pPr>
      <w:r w:rsidRPr="00074DFD">
        <w:t>A</w:t>
      </w:r>
      <w:r>
        <w:t xml:space="preserve">lexandre </w:t>
      </w:r>
      <w:r w:rsidRPr="00074DFD">
        <w:t>R</w:t>
      </w:r>
      <w:r>
        <w:t>.</w:t>
      </w:r>
      <w:r w:rsidRPr="00074DFD">
        <w:t xml:space="preserve"> S</w:t>
      </w:r>
      <w:r>
        <w:t xml:space="preserve">., </w:t>
      </w:r>
      <w:r w:rsidRPr="004B06A9">
        <w:t>J</w:t>
      </w:r>
      <w:r>
        <w:t xml:space="preserve">unior </w:t>
      </w:r>
      <w:r w:rsidRPr="004B06A9">
        <w:t>A</w:t>
      </w:r>
      <w:r>
        <w:t>.</w:t>
      </w:r>
      <w:r w:rsidRPr="004B06A9">
        <w:t xml:space="preserve"> W</w:t>
      </w:r>
      <w:r>
        <w:t xml:space="preserve">., </w:t>
      </w:r>
      <w:r w:rsidRPr="004B06A9">
        <w:t>N</w:t>
      </w:r>
      <w:r>
        <w:t xml:space="preserve">egreiros </w:t>
      </w:r>
      <w:r w:rsidRPr="004B06A9">
        <w:t>J</w:t>
      </w:r>
      <w:r>
        <w:t xml:space="preserve">. </w:t>
      </w:r>
      <w:r w:rsidRPr="004B06A9">
        <w:t>R</w:t>
      </w:r>
      <w:r>
        <w:t>.</w:t>
      </w:r>
      <w:r w:rsidRPr="004B06A9">
        <w:t xml:space="preserve"> d</w:t>
      </w:r>
      <w:r>
        <w:t>a</w:t>
      </w:r>
      <w:r w:rsidRPr="004B06A9">
        <w:t xml:space="preserve"> S</w:t>
      </w:r>
      <w:r>
        <w:t xml:space="preserve">., </w:t>
      </w:r>
      <w:r w:rsidRPr="00074DFD">
        <w:t>P</w:t>
      </w:r>
      <w:r>
        <w:t xml:space="preserve">arizzotto </w:t>
      </w:r>
      <w:r w:rsidRPr="00074DFD">
        <w:t>A</w:t>
      </w:r>
      <w:r>
        <w:t xml:space="preserve">., </w:t>
      </w:r>
      <w:r w:rsidRPr="00074DFD">
        <w:t>B</w:t>
      </w:r>
      <w:r>
        <w:t>runkner</w:t>
      </w:r>
      <w:r w:rsidRPr="00074DFD">
        <w:t xml:space="preserve"> C</w:t>
      </w:r>
      <w:r>
        <w:t>.</w:t>
      </w:r>
      <w:r w:rsidRPr="00074DFD">
        <w:t xml:space="preserve"> H</w:t>
      </w:r>
      <w:r>
        <w:t xml:space="preserve">. (2004). </w:t>
      </w:r>
      <w:r w:rsidRPr="00074DFD">
        <w:t>Germinação de sementes de genótipos de maracujazeiro</w:t>
      </w:r>
      <w:r>
        <w:t xml:space="preserve">. </w:t>
      </w:r>
      <w:r w:rsidRPr="0084300A">
        <w:t>Pesquisa Agropecuária Brasileira,</w:t>
      </w:r>
      <w:r>
        <w:t xml:space="preserve"> 39: n.12, </w:t>
      </w:r>
      <w:r w:rsidRPr="00074DFD">
        <w:t>1239-1245</w:t>
      </w:r>
      <w:r>
        <w:t>.</w:t>
      </w:r>
    </w:p>
    <w:p w:rsidR="00BC7D1A" w:rsidRPr="00741476" w:rsidRDefault="00BC7D1A" w:rsidP="0084300A">
      <w:pPr>
        <w:spacing w:line="480" w:lineRule="auto"/>
        <w:jc w:val="both"/>
        <w:rPr>
          <w:b/>
          <w:szCs w:val="22"/>
          <w:lang w:val="en-US"/>
        </w:rPr>
      </w:pPr>
      <w:r>
        <w:t>Ayres M., Ayres Junior M., Ayres D. L., Santos</w:t>
      </w:r>
      <w:r w:rsidRPr="00C22790">
        <w:t xml:space="preserve"> A.</w:t>
      </w:r>
      <w:r>
        <w:t xml:space="preserve"> </w:t>
      </w:r>
      <w:r w:rsidRPr="00C22790">
        <w:t>A.</w:t>
      </w:r>
      <w:r>
        <w:t xml:space="preserve"> </w:t>
      </w:r>
      <w:r w:rsidRPr="00C22790">
        <w:t>S.</w:t>
      </w:r>
      <w:r>
        <w:t xml:space="preserve"> (2007). </w:t>
      </w:r>
      <w:r w:rsidRPr="00C22790">
        <w:t>BioEstat</w:t>
      </w:r>
      <w:r>
        <w:t xml:space="preserve"> </w:t>
      </w:r>
      <w:r w:rsidRPr="00C22790">
        <w:t xml:space="preserve">5.0.: </w:t>
      </w:r>
      <w:r>
        <w:t>a</w:t>
      </w:r>
      <w:r w:rsidRPr="00C22790">
        <w:t xml:space="preserve">plicações estatísticas nas áreas das Ciências Biomédicas. Sociedade Civil Mamirauá: Belém, Pará-Brasil. </w:t>
      </w:r>
      <w:r w:rsidRPr="00565AA6">
        <w:rPr>
          <w:lang w:val="en-US"/>
        </w:rPr>
        <w:t>324p</w:t>
      </w:r>
      <w:r>
        <w:rPr>
          <w:lang w:val="en-US"/>
        </w:rPr>
        <w:t>p</w:t>
      </w:r>
      <w:r w:rsidRPr="00565AA6">
        <w:rPr>
          <w:lang w:val="en-US"/>
        </w:rPr>
        <w:t xml:space="preserve">. </w:t>
      </w:r>
    </w:p>
    <w:p w:rsidR="00BC7D1A" w:rsidRPr="00565AA6" w:rsidRDefault="00BC7D1A" w:rsidP="0084300A">
      <w:pPr>
        <w:pStyle w:val="NormalWeb"/>
        <w:spacing w:before="0" w:beforeAutospacing="0" w:after="0" w:afterAutospacing="0" w:line="480" w:lineRule="auto"/>
        <w:jc w:val="both"/>
      </w:pPr>
      <w:r w:rsidRPr="00647EB8">
        <w:rPr>
          <w:lang w:val="en-US"/>
        </w:rPr>
        <w:t>B</w:t>
      </w:r>
      <w:r>
        <w:rPr>
          <w:lang w:val="en-US"/>
        </w:rPr>
        <w:t>aker M.,</w:t>
      </w:r>
      <w:r w:rsidRPr="00647EB8">
        <w:rPr>
          <w:lang w:val="en-US"/>
        </w:rPr>
        <w:t xml:space="preserve"> B</w:t>
      </w:r>
      <w:r>
        <w:rPr>
          <w:lang w:val="en-US"/>
        </w:rPr>
        <w:t>aker C. O. (1996)</w:t>
      </w:r>
      <w:r w:rsidRPr="00647EB8">
        <w:rPr>
          <w:lang w:val="en-US"/>
        </w:rPr>
        <w:t xml:space="preserve"> </w:t>
      </w:r>
      <w:r w:rsidRPr="00565AA6">
        <w:rPr>
          <w:lang w:val="en-US"/>
        </w:rPr>
        <w:t>Orchid Species Culture. Dendrobium</w:t>
      </w:r>
      <w:r w:rsidRPr="0017515D">
        <w:rPr>
          <w:lang w:val="en-US"/>
        </w:rPr>
        <w:t xml:space="preserve">. Timber Press. </w:t>
      </w:r>
      <w:r w:rsidRPr="00565AA6">
        <w:t>Portland, Oregon, USA, 852 pp.</w:t>
      </w:r>
    </w:p>
    <w:p w:rsidR="00BC7D1A" w:rsidRDefault="00BC7D1A" w:rsidP="0084300A">
      <w:pPr>
        <w:suppressAutoHyphens/>
        <w:spacing w:line="480" w:lineRule="auto"/>
        <w:jc w:val="both"/>
        <w:rPr>
          <w:rFonts w:cs="Arial"/>
          <w:kern w:val="1"/>
          <w:lang w:eastAsia="ar-SA"/>
        </w:rPr>
      </w:pPr>
      <w:r w:rsidRPr="00565AA6">
        <w:rPr>
          <w:rFonts w:cs="Arial"/>
          <w:kern w:val="1"/>
          <w:lang w:eastAsia="ar-SA"/>
        </w:rPr>
        <w:t>Baldin A. D.</w:t>
      </w:r>
      <w:r>
        <w:rPr>
          <w:rFonts w:cs="Arial"/>
          <w:kern w:val="1"/>
          <w:lang w:eastAsia="ar-SA"/>
        </w:rPr>
        <w:t>,</w:t>
      </w:r>
      <w:r w:rsidRPr="00565AA6">
        <w:rPr>
          <w:rFonts w:cs="Arial"/>
          <w:kern w:val="1"/>
          <w:lang w:eastAsia="ar-SA"/>
        </w:rPr>
        <w:t xml:space="preserve"> A</w:t>
      </w:r>
      <w:r>
        <w:rPr>
          <w:rFonts w:cs="Arial"/>
          <w:kern w:val="1"/>
          <w:lang w:eastAsia="ar-SA"/>
        </w:rPr>
        <w:t>rmani</w:t>
      </w:r>
      <w:r w:rsidRPr="00565AA6">
        <w:rPr>
          <w:rFonts w:cs="Arial"/>
          <w:kern w:val="1"/>
          <w:lang w:eastAsia="ar-SA"/>
        </w:rPr>
        <w:t xml:space="preserve"> M. C. A.</w:t>
      </w:r>
      <w:r>
        <w:rPr>
          <w:rFonts w:cs="Arial"/>
          <w:kern w:val="1"/>
          <w:lang w:eastAsia="ar-SA"/>
        </w:rPr>
        <w:t>,</w:t>
      </w:r>
      <w:r w:rsidRPr="00565AA6">
        <w:rPr>
          <w:rFonts w:cs="Arial"/>
          <w:kern w:val="1"/>
          <w:lang w:eastAsia="ar-SA"/>
        </w:rPr>
        <w:t xml:space="preserve"> M</w:t>
      </w:r>
      <w:r>
        <w:rPr>
          <w:rFonts w:cs="Arial"/>
          <w:kern w:val="1"/>
          <w:lang w:eastAsia="ar-SA"/>
        </w:rPr>
        <w:t>orcillo</w:t>
      </w:r>
      <w:r w:rsidRPr="00565AA6">
        <w:rPr>
          <w:rFonts w:cs="Arial"/>
          <w:kern w:val="1"/>
          <w:lang w:eastAsia="ar-SA"/>
        </w:rPr>
        <w:t xml:space="preserve"> A. M.</w:t>
      </w:r>
      <w:r>
        <w:rPr>
          <w:rFonts w:cs="Arial"/>
          <w:kern w:val="1"/>
          <w:lang w:eastAsia="ar-SA"/>
        </w:rPr>
        <w:t>,</w:t>
      </w:r>
      <w:r w:rsidRPr="00565AA6">
        <w:rPr>
          <w:rFonts w:cs="Arial"/>
          <w:kern w:val="1"/>
          <w:lang w:eastAsia="ar-SA"/>
        </w:rPr>
        <w:t xml:space="preserve"> L</w:t>
      </w:r>
      <w:r>
        <w:rPr>
          <w:rFonts w:cs="Arial"/>
          <w:kern w:val="1"/>
          <w:lang w:eastAsia="ar-SA"/>
        </w:rPr>
        <w:t>emos-marini</w:t>
      </w:r>
      <w:r w:rsidRPr="00565AA6">
        <w:rPr>
          <w:rFonts w:cs="Arial"/>
          <w:kern w:val="1"/>
          <w:lang w:eastAsia="ar-SA"/>
        </w:rPr>
        <w:t xml:space="preserve"> S</w:t>
      </w:r>
      <w:r w:rsidRPr="00202A98">
        <w:rPr>
          <w:rFonts w:cs="Arial"/>
          <w:kern w:val="1"/>
          <w:lang w:eastAsia="ar-SA"/>
        </w:rPr>
        <w:t>. H.V.</w:t>
      </w:r>
      <w:r>
        <w:rPr>
          <w:rFonts w:cs="Arial"/>
          <w:kern w:val="1"/>
          <w:lang w:eastAsia="ar-SA"/>
        </w:rPr>
        <w:t>,</w:t>
      </w:r>
      <w:r w:rsidRPr="00202A98">
        <w:rPr>
          <w:rFonts w:cs="Arial"/>
          <w:kern w:val="1"/>
          <w:lang w:eastAsia="ar-SA"/>
        </w:rPr>
        <w:t xml:space="preserve"> B</w:t>
      </w:r>
      <w:r>
        <w:rPr>
          <w:rFonts w:cs="Arial"/>
          <w:kern w:val="1"/>
          <w:lang w:eastAsia="ar-SA"/>
        </w:rPr>
        <w:t>aptista</w:t>
      </w:r>
      <w:r w:rsidRPr="00202A98">
        <w:rPr>
          <w:rFonts w:cs="Arial"/>
          <w:kern w:val="1"/>
          <w:lang w:eastAsia="ar-SA"/>
        </w:rPr>
        <w:t xml:space="preserve"> M. T. M.</w:t>
      </w:r>
      <w:r>
        <w:rPr>
          <w:rFonts w:cs="Arial"/>
          <w:kern w:val="1"/>
          <w:lang w:eastAsia="ar-SA"/>
        </w:rPr>
        <w:t>,</w:t>
      </w:r>
      <w:r w:rsidRPr="00202A98">
        <w:rPr>
          <w:rFonts w:cs="Arial"/>
          <w:kern w:val="1"/>
          <w:lang w:eastAsia="ar-SA"/>
        </w:rPr>
        <w:t xml:space="preserve"> M</w:t>
      </w:r>
      <w:r>
        <w:rPr>
          <w:rFonts w:cs="Arial"/>
          <w:kern w:val="1"/>
          <w:lang w:eastAsia="ar-SA"/>
        </w:rPr>
        <w:t>aciel-guerra</w:t>
      </w:r>
      <w:r w:rsidRPr="00202A98">
        <w:rPr>
          <w:rFonts w:cs="Arial"/>
          <w:kern w:val="1"/>
          <w:lang w:eastAsia="ar-SA"/>
        </w:rPr>
        <w:t xml:space="preserve"> A. T.</w:t>
      </w:r>
      <w:r>
        <w:rPr>
          <w:rFonts w:cs="Arial"/>
          <w:kern w:val="1"/>
          <w:lang w:eastAsia="ar-SA"/>
        </w:rPr>
        <w:t>,</w:t>
      </w:r>
      <w:r w:rsidRPr="00202A98">
        <w:rPr>
          <w:rFonts w:cs="Arial"/>
          <w:kern w:val="1"/>
          <w:lang w:eastAsia="ar-SA"/>
        </w:rPr>
        <w:t xml:space="preserve"> G</w:t>
      </w:r>
      <w:r>
        <w:rPr>
          <w:rFonts w:cs="Arial"/>
          <w:kern w:val="1"/>
          <w:lang w:eastAsia="ar-SA"/>
        </w:rPr>
        <w:t>uerra</w:t>
      </w:r>
      <w:r w:rsidRPr="00202A98">
        <w:rPr>
          <w:rFonts w:cs="Arial"/>
          <w:kern w:val="1"/>
          <w:lang w:eastAsia="ar-SA"/>
        </w:rPr>
        <w:t xml:space="preserve"> J</w:t>
      </w:r>
      <w:r>
        <w:rPr>
          <w:rFonts w:cs="Arial"/>
          <w:kern w:val="1"/>
          <w:lang w:eastAsia="ar-SA"/>
        </w:rPr>
        <w:t>unior</w:t>
      </w:r>
      <w:r w:rsidRPr="00202A98">
        <w:rPr>
          <w:rFonts w:cs="Arial"/>
          <w:kern w:val="1"/>
          <w:lang w:eastAsia="ar-SA"/>
        </w:rPr>
        <w:t xml:space="preserve"> G.</w:t>
      </w:r>
      <w:r>
        <w:rPr>
          <w:rFonts w:cs="Arial"/>
          <w:kern w:val="1"/>
          <w:lang w:eastAsia="ar-SA"/>
        </w:rPr>
        <w:t xml:space="preserve"> (2005).</w:t>
      </w:r>
      <w:r w:rsidRPr="00202A98">
        <w:rPr>
          <w:rFonts w:cs="Arial"/>
          <w:kern w:val="1"/>
          <w:lang w:eastAsia="ar-SA"/>
        </w:rPr>
        <w:t xml:space="preserve"> </w:t>
      </w:r>
      <w:r w:rsidRPr="00074DFD">
        <w:rPr>
          <w:rFonts w:cs="Arial"/>
          <w:kern w:val="1"/>
          <w:lang w:eastAsia="ar-SA"/>
        </w:rPr>
        <w:t>Proporções corporais em um grupo de pacientes brasileiras com Síndrome de Turner.</w:t>
      </w:r>
      <w:r w:rsidRPr="00074DFD">
        <w:rPr>
          <w:rFonts w:cs="Arial"/>
          <w:i/>
          <w:iCs/>
          <w:kern w:val="1"/>
          <w:lang w:eastAsia="ar-SA"/>
        </w:rPr>
        <w:t> </w:t>
      </w:r>
      <w:r w:rsidRPr="00565AA6">
        <w:rPr>
          <w:rFonts w:cs="Arial"/>
          <w:iCs/>
          <w:kern w:val="1"/>
          <w:lang w:eastAsia="ar-SA"/>
        </w:rPr>
        <w:t>Arquivos Brasileiros de Endocrinologia e Metabologia,</w:t>
      </w:r>
      <w:r>
        <w:rPr>
          <w:rFonts w:cs="Arial"/>
          <w:b/>
          <w:iCs/>
          <w:kern w:val="1"/>
          <w:lang w:eastAsia="ar-SA"/>
        </w:rPr>
        <w:t xml:space="preserve"> </w:t>
      </w:r>
      <w:r>
        <w:rPr>
          <w:rFonts w:cs="Arial"/>
          <w:kern w:val="1"/>
          <w:lang w:eastAsia="ar-SA"/>
        </w:rPr>
        <w:t>49:</w:t>
      </w:r>
      <w:r w:rsidRPr="00074DFD">
        <w:rPr>
          <w:rFonts w:cs="Arial"/>
          <w:kern w:val="1"/>
          <w:lang w:eastAsia="ar-SA"/>
        </w:rPr>
        <w:t xml:space="preserve"> n.</w:t>
      </w:r>
      <w:r>
        <w:rPr>
          <w:rFonts w:cs="Arial"/>
          <w:kern w:val="1"/>
          <w:lang w:eastAsia="ar-SA"/>
        </w:rPr>
        <w:t>4, 529-535.</w:t>
      </w:r>
    </w:p>
    <w:p w:rsidR="00BC7D1A" w:rsidRPr="00AC64C9" w:rsidRDefault="00BC7D1A" w:rsidP="0084300A">
      <w:pPr>
        <w:suppressAutoHyphens/>
        <w:spacing w:line="480" w:lineRule="auto"/>
        <w:jc w:val="both"/>
        <w:rPr>
          <w:rFonts w:cs="Arial"/>
          <w:kern w:val="1"/>
          <w:lang w:eastAsia="ar-SA"/>
        </w:rPr>
      </w:pPr>
      <w:r>
        <w:rPr>
          <w:rFonts w:cs="Arial"/>
          <w:kern w:val="1"/>
          <w:lang w:eastAsia="ar-SA"/>
        </w:rPr>
        <w:t xml:space="preserve"> Batalha M. O., Buainain</w:t>
      </w:r>
      <w:r w:rsidRPr="00AC64C9">
        <w:rPr>
          <w:rFonts w:cs="Arial"/>
          <w:kern w:val="1"/>
          <w:lang w:eastAsia="ar-SA"/>
        </w:rPr>
        <w:t xml:space="preserve"> A. M.</w:t>
      </w:r>
      <w:r>
        <w:rPr>
          <w:rFonts w:cs="Arial"/>
          <w:kern w:val="1"/>
          <w:lang w:eastAsia="ar-SA"/>
        </w:rPr>
        <w:t xml:space="preserve"> (2007) </w:t>
      </w:r>
      <w:r w:rsidRPr="00665486">
        <w:rPr>
          <w:rFonts w:cs="Arial"/>
          <w:bCs w:val="0"/>
          <w:kern w:val="1"/>
          <w:lang w:eastAsia="ar-SA"/>
        </w:rPr>
        <w:t>Cadeias produtivas de flores e mel</w:t>
      </w:r>
      <w:r>
        <w:rPr>
          <w:rFonts w:cs="Arial"/>
          <w:kern w:val="1"/>
          <w:lang w:eastAsia="ar-SA"/>
        </w:rPr>
        <w:t>. IICA/ MAPA/SPA, Brasília, Brasil, 140 pp.</w:t>
      </w:r>
    </w:p>
    <w:p w:rsidR="00BC7D1A" w:rsidRDefault="00BC7D1A" w:rsidP="0084300A">
      <w:pPr>
        <w:pStyle w:val="NormalWeb"/>
        <w:spacing w:before="0" w:beforeAutospacing="0" w:after="0" w:afterAutospacing="0" w:line="480" w:lineRule="auto"/>
        <w:jc w:val="both"/>
        <w:rPr>
          <w:spacing w:val="-2"/>
          <w:lang w:val="en-US"/>
        </w:rPr>
      </w:pPr>
      <w:r>
        <w:rPr>
          <w:spacing w:val="-2"/>
        </w:rPr>
        <w:t>Campos A. D</w:t>
      </w:r>
      <w:r w:rsidRPr="006D5CF0">
        <w:rPr>
          <w:spacing w:val="-2"/>
        </w:rPr>
        <w:t>.</w:t>
      </w:r>
      <w:r>
        <w:rPr>
          <w:spacing w:val="-2"/>
        </w:rPr>
        <w:t>, Ferreira A. G., Hampe M. M. V., Antunes I. F., Brancao N., Silveira E. P. da, Osório V. A., Augustin E. (2004)</w:t>
      </w:r>
      <w:r w:rsidRPr="006D5CF0">
        <w:rPr>
          <w:spacing w:val="-2"/>
        </w:rPr>
        <w:t xml:space="preserve"> Atividade de peroxidase e polifenoloxidase na resistência do feijão à antracnose.</w:t>
      </w:r>
      <w:r w:rsidRPr="00EB5EE7">
        <w:rPr>
          <w:b/>
          <w:spacing w:val="-2"/>
        </w:rPr>
        <w:t xml:space="preserve"> </w:t>
      </w:r>
      <w:r w:rsidRPr="00565AA6">
        <w:rPr>
          <w:spacing w:val="-2"/>
          <w:lang w:val="en-US"/>
        </w:rPr>
        <w:t>Pesquisa agropecuária brasileira.</w:t>
      </w:r>
      <w:r w:rsidRPr="00202A98">
        <w:rPr>
          <w:spacing w:val="-2"/>
          <w:lang w:val="en-US"/>
        </w:rPr>
        <w:t xml:space="preserve"> 39</w:t>
      </w:r>
      <w:r>
        <w:rPr>
          <w:spacing w:val="-2"/>
          <w:lang w:val="en-US"/>
        </w:rPr>
        <w:t>:</w:t>
      </w:r>
      <w:r w:rsidRPr="00202A98">
        <w:rPr>
          <w:spacing w:val="-2"/>
          <w:lang w:val="en-US"/>
        </w:rPr>
        <w:t xml:space="preserve"> n.7, 637-643. </w:t>
      </w:r>
    </w:p>
    <w:p w:rsidR="00BC7D1A" w:rsidRPr="00565AA6" w:rsidRDefault="00BC7D1A" w:rsidP="0084300A">
      <w:pPr>
        <w:pStyle w:val="NormalWeb"/>
        <w:spacing w:before="0" w:beforeAutospacing="0" w:after="0" w:afterAutospacing="0" w:line="480" w:lineRule="auto"/>
        <w:jc w:val="both"/>
        <w:rPr>
          <w:spacing w:val="-2"/>
        </w:rPr>
      </w:pPr>
      <w:r w:rsidRPr="00EB5EE7">
        <w:rPr>
          <w:spacing w:val="-2"/>
          <w:lang w:val="en-US"/>
        </w:rPr>
        <w:t>Ç</w:t>
      </w:r>
      <w:r>
        <w:rPr>
          <w:spacing w:val="-2"/>
          <w:lang w:val="en-US"/>
        </w:rPr>
        <w:t>anakci S.,</w:t>
      </w:r>
      <w:r w:rsidRPr="00EB5EE7">
        <w:rPr>
          <w:spacing w:val="-2"/>
          <w:lang w:val="en-US"/>
        </w:rPr>
        <w:t xml:space="preserve"> M</w:t>
      </w:r>
      <w:r>
        <w:rPr>
          <w:spacing w:val="-2"/>
          <w:lang w:val="en-US"/>
        </w:rPr>
        <w:t xml:space="preserve">unzuroglu Ö. (2009). Effects of Salicylic acid on growth and chlorophyll destruction of some plant tissues. </w:t>
      </w:r>
      <w:r w:rsidRPr="00565AA6">
        <w:rPr>
          <w:spacing w:val="-2"/>
        </w:rPr>
        <w:t>World Journal of Agricultural Sciences, 5: 577-581.</w:t>
      </w:r>
    </w:p>
    <w:p w:rsidR="00BC7D1A" w:rsidRPr="00AA7FA1" w:rsidRDefault="00BC7D1A" w:rsidP="0084300A">
      <w:pPr>
        <w:pStyle w:val="NormalWeb"/>
        <w:spacing w:before="0" w:beforeAutospacing="0" w:after="0" w:afterAutospacing="0" w:line="480" w:lineRule="auto"/>
        <w:jc w:val="both"/>
        <w:rPr>
          <w:spacing w:val="-2"/>
        </w:rPr>
      </w:pPr>
      <w:r w:rsidRPr="00565AA6">
        <w:rPr>
          <w:spacing w:val="-2"/>
        </w:rPr>
        <w:t>Carvalho P. R.</w:t>
      </w:r>
      <w:r>
        <w:rPr>
          <w:spacing w:val="-2"/>
        </w:rPr>
        <w:t>,</w:t>
      </w:r>
      <w:r w:rsidRPr="00565AA6">
        <w:rPr>
          <w:spacing w:val="-2"/>
        </w:rPr>
        <w:t xml:space="preserve"> M</w:t>
      </w:r>
      <w:r>
        <w:rPr>
          <w:spacing w:val="-2"/>
        </w:rPr>
        <w:t>achado</w:t>
      </w:r>
      <w:r w:rsidRPr="00565AA6">
        <w:rPr>
          <w:spacing w:val="-2"/>
        </w:rPr>
        <w:t xml:space="preserve"> N</w:t>
      </w:r>
      <w:r>
        <w:rPr>
          <w:spacing w:val="-2"/>
        </w:rPr>
        <w:t>eto</w:t>
      </w:r>
      <w:r w:rsidRPr="00565AA6">
        <w:rPr>
          <w:spacing w:val="-2"/>
        </w:rPr>
        <w:t xml:space="preserve"> N. B.</w:t>
      </w:r>
      <w:r>
        <w:rPr>
          <w:spacing w:val="-2"/>
        </w:rPr>
        <w:t>,</w:t>
      </w:r>
      <w:r w:rsidRPr="00565AA6">
        <w:rPr>
          <w:spacing w:val="-2"/>
        </w:rPr>
        <w:t xml:space="preserve"> C</w:t>
      </w:r>
      <w:r>
        <w:rPr>
          <w:spacing w:val="-2"/>
        </w:rPr>
        <w:t>ustodio</w:t>
      </w:r>
      <w:r w:rsidRPr="00565AA6">
        <w:rPr>
          <w:spacing w:val="-2"/>
        </w:rPr>
        <w:t xml:space="preserve"> </w:t>
      </w:r>
      <w:r>
        <w:rPr>
          <w:spacing w:val="-2"/>
        </w:rPr>
        <w:t>C. C. (2007). Ácido salicílico em sementes de calêndula (</w:t>
      </w:r>
      <w:r w:rsidRPr="00613E66">
        <w:rPr>
          <w:i/>
          <w:spacing w:val="-2"/>
        </w:rPr>
        <w:t>Calendula officinalis</w:t>
      </w:r>
      <w:r w:rsidRPr="00412576">
        <w:rPr>
          <w:spacing w:val="-2"/>
        </w:rPr>
        <w:t xml:space="preserve"> l.) sob</w:t>
      </w:r>
      <w:r>
        <w:rPr>
          <w:spacing w:val="-2"/>
        </w:rPr>
        <w:t xml:space="preserve"> </w:t>
      </w:r>
      <w:r w:rsidRPr="00412576">
        <w:rPr>
          <w:spacing w:val="-2"/>
        </w:rPr>
        <w:t>diferentes estresses</w:t>
      </w:r>
      <w:r>
        <w:rPr>
          <w:spacing w:val="-2"/>
        </w:rPr>
        <w:t xml:space="preserve">, </w:t>
      </w:r>
      <w:r w:rsidRPr="00565AA6">
        <w:rPr>
          <w:spacing w:val="-2"/>
        </w:rPr>
        <w:t>Revista Brasileira de Sementes,</w:t>
      </w:r>
      <w:r>
        <w:rPr>
          <w:spacing w:val="-2"/>
        </w:rPr>
        <w:t xml:space="preserve"> 29: n. 1, </w:t>
      </w:r>
      <w:r w:rsidRPr="00412576">
        <w:rPr>
          <w:spacing w:val="-2"/>
        </w:rPr>
        <w:t>114-124</w:t>
      </w:r>
      <w:r>
        <w:rPr>
          <w:spacing w:val="-2"/>
        </w:rPr>
        <w:t>.</w:t>
      </w:r>
    </w:p>
    <w:p w:rsidR="00BC7D1A" w:rsidRPr="00E95AF4" w:rsidRDefault="00BC7D1A" w:rsidP="0084300A">
      <w:pPr>
        <w:spacing w:line="480" w:lineRule="auto"/>
        <w:jc w:val="both"/>
        <w:rPr>
          <w:bCs w:val="0"/>
          <w:iCs/>
          <w:lang w:val="en-US"/>
        </w:rPr>
      </w:pPr>
      <w:r w:rsidRPr="00AA7FA1">
        <w:rPr>
          <w:iCs/>
        </w:rPr>
        <w:t>Devi P</w:t>
      </w:r>
      <w:r w:rsidRPr="00AA7FA1">
        <w:rPr>
          <w:bCs w:val="0"/>
          <w:iCs/>
        </w:rPr>
        <w:t xml:space="preserve">. </w:t>
      </w:r>
      <w:r w:rsidRPr="00AA7FA1">
        <w:rPr>
          <w:iCs/>
        </w:rPr>
        <w:t>U</w:t>
      </w:r>
      <w:r w:rsidRPr="00AA7FA1">
        <w:rPr>
          <w:bCs w:val="0"/>
          <w:iCs/>
        </w:rPr>
        <w:t>.,</w:t>
      </w:r>
      <w:r w:rsidRPr="00AA7FA1">
        <w:rPr>
          <w:iCs/>
        </w:rPr>
        <w:t xml:space="preserve"> Selvi</w:t>
      </w:r>
      <w:r w:rsidRPr="00AA7FA1">
        <w:rPr>
          <w:bCs w:val="0"/>
          <w:iCs/>
        </w:rPr>
        <w:t xml:space="preserve"> </w:t>
      </w:r>
      <w:r w:rsidRPr="00AA7FA1">
        <w:rPr>
          <w:iCs/>
        </w:rPr>
        <w:t>S</w:t>
      </w:r>
      <w:r w:rsidRPr="00AA7FA1">
        <w:rPr>
          <w:bCs w:val="0"/>
          <w:iCs/>
        </w:rPr>
        <w:t>.,</w:t>
      </w:r>
      <w:r w:rsidRPr="00AA7FA1">
        <w:rPr>
          <w:iCs/>
        </w:rPr>
        <w:t xml:space="preserve"> Devipriya D</w:t>
      </w:r>
      <w:r w:rsidRPr="00AA7FA1">
        <w:rPr>
          <w:bCs w:val="0"/>
          <w:iCs/>
        </w:rPr>
        <w:t>.,</w:t>
      </w:r>
      <w:r w:rsidRPr="00AA7FA1">
        <w:rPr>
          <w:iCs/>
        </w:rPr>
        <w:t xml:space="preserve"> Murugan S</w:t>
      </w:r>
      <w:r w:rsidRPr="00AA7FA1">
        <w:rPr>
          <w:bCs w:val="0"/>
          <w:iCs/>
        </w:rPr>
        <w:t xml:space="preserve">., </w:t>
      </w:r>
      <w:r w:rsidRPr="00AA7FA1">
        <w:rPr>
          <w:iCs/>
        </w:rPr>
        <w:t>Suja</w:t>
      </w:r>
      <w:r w:rsidRPr="00AA7FA1">
        <w:rPr>
          <w:bCs w:val="0"/>
          <w:iCs/>
        </w:rPr>
        <w:t xml:space="preserve"> S. (2009). </w:t>
      </w:r>
      <w:r w:rsidRPr="005032A7">
        <w:rPr>
          <w:iCs/>
          <w:lang w:val="en-US"/>
        </w:rPr>
        <w:t>Antitumor and antimicrobial activities and inhibition of</w:t>
      </w:r>
      <w:r>
        <w:rPr>
          <w:iCs/>
          <w:lang w:val="en-US"/>
        </w:rPr>
        <w:t xml:space="preserve"> </w:t>
      </w:r>
      <w:r w:rsidRPr="005032A7">
        <w:rPr>
          <w:i/>
          <w:iCs/>
          <w:lang w:val="en-US"/>
        </w:rPr>
        <w:t>in-vitro</w:t>
      </w:r>
      <w:r>
        <w:rPr>
          <w:iCs/>
          <w:lang w:val="en-US"/>
        </w:rPr>
        <w:t xml:space="preserve"> lipid peroxidation by </w:t>
      </w:r>
      <w:r>
        <w:rPr>
          <w:i/>
          <w:iCs/>
          <w:lang w:val="en-US"/>
        </w:rPr>
        <w:t>Dendrobium nobile</w:t>
      </w:r>
      <w:r>
        <w:rPr>
          <w:bCs w:val="0"/>
          <w:i/>
          <w:iCs/>
          <w:lang w:val="en-US"/>
        </w:rPr>
        <w:t xml:space="preserve">, </w:t>
      </w:r>
      <w:r w:rsidRPr="00AA7FA1">
        <w:rPr>
          <w:bCs w:val="0"/>
          <w:iCs/>
          <w:lang w:val="en-US"/>
        </w:rPr>
        <w:t>African journal of biotechnology,</w:t>
      </w:r>
      <w:r>
        <w:rPr>
          <w:bCs w:val="0"/>
          <w:iCs/>
          <w:lang w:val="en-US"/>
        </w:rPr>
        <w:t xml:space="preserve"> 8: n</w:t>
      </w:r>
      <w:r w:rsidRPr="00CE2586">
        <w:rPr>
          <w:bCs w:val="0"/>
          <w:iCs/>
          <w:lang w:val="en-US"/>
        </w:rPr>
        <w:t>.</w:t>
      </w:r>
      <w:r>
        <w:rPr>
          <w:bCs w:val="0"/>
          <w:iCs/>
          <w:lang w:val="en-US"/>
        </w:rPr>
        <w:t xml:space="preserve"> 10, </w:t>
      </w:r>
      <w:r w:rsidRPr="00E95AF4">
        <w:rPr>
          <w:iCs/>
          <w:lang w:val="en-US"/>
        </w:rPr>
        <w:t>1684-5315</w:t>
      </w:r>
      <w:r>
        <w:rPr>
          <w:iCs/>
          <w:lang w:val="en-US"/>
        </w:rPr>
        <w:t>.</w:t>
      </w:r>
    </w:p>
    <w:p w:rsidR="00BC7D1A" w:rsidRPr="00202A98" w:rsidRDefault="00BC7D1A" w:rsidP="0084300A">
      <w:pPr>
        <w:spacing w:line="480" w:lineRule="auto"/>
        <w:ind w:right="18"/>
        <w:jc w:val="both"/>
        <w:rPr>
          <w:lang w:val="en-US"/>
        </w:rPr>
      </w:pPr>
      <w:r w:rsidRPr="00515C24">
        <w:rPr>
          <w:lang w:val="en-US"/>
        </w:rPr>
        <w:t>H</w:t>
      </w:r>
      <w:r>
        <w:rPr>
          <w:lang w:val="en-US"/>
        </w:rPr>
        <w:t>anelt, P. (2001)</w:t>
      </w:r>
      <w:r w:rsidRPr="00515C24">
        <w:rPr>
          <w:lang w:val="en-US"/>
        </w:rPr>
        <w:t xml:space="preserve">, </w:t>
      </w:r>
      <w:r w:rsidRPr="00515C24">
        <w:rPr>
          <w:b/>
          <w:lang w:val="en-US"/>
        </w:rPr>
        <w:t>Mansfeld's Encyclopedia of Agricultural and Horticultural Crops</w:t>
      </w:r>
      <w:r w:rsidRPr="00515C24">
        <w:rPr>
          <w:lang w:val="en-US"/>
        </w:rPr>
        <w:t xml:space="preserve">. </w:t>
      </w:r>
      <w:r>
        <w:rPr>
          <w:lang w:val="en-US"/>
        </w:rPr>
        <w:t xml:space="preserve">Gatersleben:Springer, </w:t>
      </w:r>
      <w:r w:rsidRPr="00515C24">
        <w:rPr>
          <w:lang w:val="en-US"/>
        </w:rPr>
        <w:t>I</w:t>
      </w:r>
      <w:r>
        <w:rPr>
          <w:lang w:val="en-US"/>
        </w:rPr>
        <w:t>nstitut</w:t>
      </w:r>
      <w:r w:rsidRPr="00515C24">
        <w:rPr>
          <w:lang w:val="en-US"/>
        </w:rPr>
        <w:t xml:space="preserve"> F</w:t>
      </w:r>
      <w:r>
        <w:rPr>
          <w:lang w:val="en-US"/>
        </w:rPr>
        <w:t>ür</w:t>
      </w:r>
      <w:r w:rsidRPr="00515C24">
        <w:rPr>
          <w:lang w:val="en-US"/>
        </w:rPr>
        <w:t xml:space="preserve"> P</w:t>
      </w:r>
      <w:r>
        <w:rPr>
          <w:lang w:val="en-US"/>
        </w:rPr>
        <w:t>flanzengenetik</w:t>
      </w:r>
      <w:r w:rsidRPr="00515C24">
        <w:rPr>
          <w:lang w:val="en-US"/>
        </w:rPr>
        <w:t xml:space="preserve"> </w:t>
      </w:r>
      <w:r>
        <w:rPr>
          <w:lang w:val="en-US"/>
        </w:rPr>
        <w:t>und</w:t>
      </w:r>
      <w:r w:rsidRPr="00515C24">
        <w:rPr>
          <w:lang w:val="en-US"/>
        </w:rPr>
        <w:t xml:space="preserve"> K</w:t>
      </w:r>
      <w:r>
        <w:rPr>
          <w:lang w:val="en-US"/>
        </w:rPr>
        <w:t>ulturflanzen</w:t>
      </w:r>
      <w:r w:rsidRPr="00515C24">
        <w:rPr>
          <w:lang w:val="en-US"/>
        </w:rPr>
        <w:t xml:space="preserve"> - IPK</w:t>
      </w:r>
      <w:r w:rsidRPr="00202A98">
        <w:rPr>
          <w:lang w:val="en-US"/>
        </w:rPr>
        <w:t>.</w:t>
      </w:r>
    </w:p>
    <w:p w:rsidR="00BC7D1A" w:rsidRPr="00665486" w:rsidRDefault="00BC7D1A" w:rsidP="0084300A">
      <w:pPr>
        <w:spacing w:line="480" w:lineRule="auto"/>
        <w:jc w:val="both"/>
        <w:rPr>
          <w:lang w:val="en-US"/>
        </w:rPr>
      </w:pPr>
      <w:r w:rsidRPr="009B439B">
        <w:rPr>
          <w:lang w:val="en-US"/>
        </w:rPr>
        <w:t>H</w:t>
      </w:r>
      <w:r>
        <w:rPr>
          <w:lang w:val="en-US"/>
        </w:rPr>
        <w:t xml:space="preserve">innen </w:t>
      </w:r>
      <w:r w:rsidRPr="009B439B">
        <w:rPr>
          <w:lang w:val="en-US"/>
        </w:rPr>
        <w:t>M</w:t>
      </w:r>
      <w:r>
        <w:rPr>
          <w:lang w:val="en-US"/>
        </w:rPr>
        <w:t xml:space="preserve">. </w:t>
      </w:r>
      <w:r w:rsidRPr="009B439B">
        <w:rPr>
          <w:lang w:val="en-US"/>
        </w:rPr>
        <w:t>G</w:t>
      </w:r>
      <w:r>
        <w:rPr>
          <w:lang w:val="en-US"/>
        </w:rPr>
        <w:t xml:space="preserve">. </w:t>
      </w:r>
      <w:r w:rsidRPr="009B439B">
        <w:rPr>
          <w:lang w:val="en-US"/>
        </w:rPr>
        <w:t>J</w:t>
      </w:r>
      <w:r>
        <w:rPr>
          <w:lang w:val="en-US"/>
        </w:rPr>
        <w:t>., Pierik</w:t>
      </w:r>
      <w:r w:rsidRPr="009B439B">
        <w:rPr>
          <w:lang w:val="en-US"/>
        </w:rPr>
        <w:t xml:space="preserve"> R</w:t>
      </w:r>
      <w:r>
        <w:rPr>
          <w:lang w:val="en-US"/>
        </w:rPr>
        <w:t xml:space="preserve">. </w:t>
      </w:r>
      <w:r w:rsidRPr="009B439B">
        <w:rPr>
          <w:lang w:val="en-US"/>
        </w:rPr>
        <w:t>L</w:t>
      </w:r>
      <w:r>
        <w:rPr>
          <w:lang w:val="en-US"/>
        </w:rPr>
        <w:t xml:space="preserve">. </w:t>
      </w:r>
      <w:r w:rsidRPr="009B439B">
        <w:rPr>
          <w:lang w:val="en-US"/>
        </w:rPr>
        <w:t>M</w:t>
      </w:r>
      <w:r>
        <w:rPr>
          <w:lang w:val="en-US"/>
        </w:rPr>
        <w:t xml:space="preserve">., </w:t>
      </w:r>
      <w:r w:rsidRPr="009B439B">
        <w:rPr>
          <w:lang w:val="en-US"/>
        </w:rPr>
        <w:t>B</w:t>
      </w:r>
      <w:r>
        <w:rPr>
          <w:lang w:val="en-US"/>
        </w:rPr>
        <w:t>ronsema</w:t>
      </w:r>
      <w:r w:rsidRPr="009B439B">
        <w:rPr>
          <w:lang w:val="en-US"/>
        </w:rPr>
        <w:t xml:space="preserve"> F</w:t>
      </w:r>
      <w:r>
        <w:rPr>
          <w:lang w:val="en-US"/>
        </w:rPr>
        <w:t xml:space="preserve">. </w:t>
      </w:r>
      <w:r w:rsidRPr="009B439B">
        <w:rPr>
          <w:lang w:val="en-US"/>
        </w:rPr>
        <w:t>B</w:t>
      </w:r>
      <w:r>
        <w:rPr>
          <w:lang w:val="en-US"/>
        </w:rPr>
        <w:t xml:space="preserve">. </w:t>
      </w:r>
      <w:r w:rsidRPr="009B439B">
        <w:rPr>
          <w:lang w:val="en-US"/>
        </w:rPr>
        <w:t>F</w:t>
      </w:r>
      <w:r>
        <w:rPr>
          <w:lang w:val="en-US"/>
        </w:rPr>
        <w:t xml:space="preserve">. (1989). </w:t>
      </w:r>
      <w:r w:rsidRPr="009B439B">
        <w:rPr>
          <w:lang w:val="en-US"/>
        </w:rPr>
        <w:t xml:space="preserve">The influence of macronutrients and some other factors on growth of Phalaenopsis hybrid seedlings in vitro. </w:t>
      </w:r>
      <w:r w:rsidRPr="00AA7FA1">
        <w:rPr>
          <w:lang w:val="en-US"/>
        </w:rPr>
        <w:t>Scientia</w:t>
      </w:r>
      <w:r>
        <w:rPr>
          <w:lang w:val="en-US"/>
        </w:rPr>
        <w:t xml:space="preserve"> </w:t>
      </w:r>
      <w:r w:rsidRPr="00AA7FA1">
        <w:rPr>
          <w:lang w:val="en-US"/>
        </w:rPr>
        <w:t>Horticulturae</w:t>
      </w:r>
      <w:r>
        <w:rPr>
          <w:lang w:val="en-US"/>
        </w:rPr>
        <w:t>, 41(1-2): 105-116.</w:t>
      </w:r>
    </w:p>
    <w:p w:rsidR="00BC7D1A" w:rsidRPr="00AA7FA1" w:rsidRDefault="00BC7D1A" w:rsidP="0084300A">
      <w:pPr>
        <w:spacing w:line="480" w:lineRule="auto"/>
        <w:ind w:right="18"/>
        <w:jc w:val="both"/>
        <w:rPr>
          <w:lang w:val="en-US"/>
        </w:rPr>
      </w:pPr>
      <w:r w:rsidRPr="00AA7FA1">
        <w:t xml:space="preserve">Janda T., Szalai G., Tari I., Páldi E. (1999). </w:t>
      </w:r>
      <w:r w:rsidRPr="00A16F02">
        <w:rPr>
          <w:lang w:val="en-US"/>
        </w:rPr>
        <w:t>Hydroponic treatment with salicylic acid decreases the effects of chilling injury in maize (</w:t>
      </w:r>
      <w:r w:rsidRPr="00A16F02">
        <w:rPr>
          <w:i/>
          <w:lang w:val="en-US"/>
        </w:rPr>
        <w:t>Zea mays</w:t>
      </w:r>
      <w:r w:rsidRPr="00A16F02">
        <w:rPr>
          <w:lang w:val="en-US"/>
        </w:rPr>
        <w:t xml:space="preserve"> L.) </w:t>
      </w:r>
      <w:r>
        <w:rPr>
          <w:lang w:val="en-US"/>
        </w:rPr>
        <w:t xml:space="preserve">plants. </w:t>
      </w:r>
      <w:r w:rsidRPr="00AA7FA1">
        <w:rPr>
          <w:lang w:val="en-US"/>
        </w:rPr>
        <w:t>Planta</w:t>
      </w:r>
      <w:r>
        <w:rPr>
          <w:lang w:val="en-US"/>
        </w:rPr>
        <w:t>, 208, p.175-180</w:t>
      </w:r>
      <w:r w:rsidRPr="00AA7FA1">
        <w:rPr>
          <w:lang w:val="en-US"/>
        </w:rPr>
        <w:t>.</w:t>
      </w:r>
    </w:p>
    <w:p w:rsidR="00BC7D1A" w:rsidRPr="00515C24" w:rsidRDefault="00BC7D1A" w:rsidP="0084300A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C316FC">
        <w:rPr>
          <w:spacing w:val="-3"/>
        </w:rPr>
        <w:t>Lo S-F., Nalawade S. M</w:t>
      </w:r>
      <w:r>
        <w:rPr>
          <w:spacing w:val="-3"/>
        </w:rPr>
        <w:t>,</w:t>
      </w:r>
      <w:r w:rsidRPr="00C316FC">
        <w:rPr>
          <w:spacing w:val="-3"/>
        </w:rPr>
        <w:t xml:space="preserve"> K</w:t>
      </w:r>
      <w:r>
        <w:rPr>
          <w:spacing w:val="-3"/>
        </w:rPr>
        <w:t>uo</w:t>
      </w:r>
      <w:r w:rsidRPr="00C316FC">
        <w:rPr>
          <w:spacing w:val="-3"/>
        </w:rPr>
        <w:t xml:space="preserve"> C-L</w:t>
      </w:r>
      <w:r>
        <w:rPr>
          <w:spacing w:val="-3"/>
        </w:rPr>
        <w:t>.,</w:t>
      </w:r>
      <w:r w:rsidRPr="00C316FC">
        <w:rPr>
          <w:spacing w:val="-3"/>
        </w:rPr>
        <w:t xml:space="preserve"> C</w:t>
      </w:r>
      <w:r>
        <w:rPr>
          <w:spacing w:val="-3"/>
        </w:rPr>
        <w:t>hen</w:t>
      </w:r>
      <w:r w:rsidRPr="00C316FC">
        <w:rPr>
          <w:spacing w:val="-3"/>
        </w:rPr>
        <w:t xml:space="preserve"> C-L</w:t>
      </w:r>
      <w:r>
        <w:rPr>
          <w:spacing w:val="-3"/>
        </w:rPr>
        <w:t>.,</w:t>
      </w:r>
      <w:r w:rsidRPr="00C316FC">
        <w:rPr>
          <w:spacing w:val="-3"/>
        </w:rPr>
        <w:t xml:space="preserve"> T</w:t>
      </w:r>
      <w:r>
        <w:rPr>
          <w:spacing w:val="-3"/>
        </w:rPr>
        <w:t>say</w:t>
      </w:r>
      <w:r w:rsidRPr="00C316FC">
        <w:rPr>
          <w:spacing w:val="-3"/>
        </w:rPr>
        <w:t>, H-S.</w:t>
      </w:r>
      <w:r>
        <w:rPr>
          <w:spacing w:val="-3"/>
        </w:rPr>
        <w:t xml:space="preserve"> </w:t>
      </w:r>
      <w:r w:rsidRPr="00C316FC">
        <w:rPr>
          <w:spacing w:val="-3"/>
          <w:lang w:val="en-US"/>
        </w:rPr>
        <w:t xml:space="preserve">(2004). </w:t>
      </w:r>
      <w:r w:rsidRPr="00515C24">
        <w:rPr>
          <w:lang w:val="en-US"/>
        </w:rPr>
        <w:t xml:space="preserve">Asymbiotic Germination of Immature Seeds, Plantlet Development and </w:t>
      </w:r>
      <w:r w:rsidRPr="00515C24">
        <w:rPr>
          <w:i/>
          <w:iCs/>
          <w:lang w:val="en-US"/>
        </w:rPr>
        <w:t>Ex Vitro</w:t>
      </w:r>
      <w:r w:rsidRPr="00515C24">
        <w:rPr>
          <w:lang w:val="en-US"/>
        </w:rPr>
        <w:t xml:space="preserve"> Establishment of Plants of </w:t>
      </w:r>
      <w:r w:rsidRPr="00515C24">
        <w:rPr>
          <w:i/>
          <w:iCs/>
          <w:lang w:val="en-US"/>
        </w:rPr>
        <w:t>Dendrobium tosaense</w:t>
      </w:r>
      <w:r w:rsidRPr="00515C24">
        <w:rPr>
          <w:lang w:val="en-US"/>
        </w:rPr>
        <w:t xml:space="preserve"> Makino – A Medicinally Important Orchid. </w:t>
      </w:r>
      <w:r w:rsidRPr="00C316FC">
        <w:rPr>
          <w:bCs/>
          <w:lang w:val="en-US"/>
        </w:rPr>
        <w:t>In Vitro Cellular and Development Biology- Plant</w:t>
      </w:r>
      <w:r w:rsidRPr="00C316FC">
        <w:rPr>
          <w:lang w:val="en-US"/>
        </w:rPr>
        <w:t>,</w:t>
      </w:r>
      <w:r w:rsidRPr="00515C24">
        <w:rPr>
          <w:b/>
          <w:bCs/>
          <w:lang w:val="en-US"/>
        </w:rPr>
        <w:t xml:space="preserve"> </w:t>
      </w:r>
      <w:r w:rsidRPr="00515C24">
        <w:rPr>
          <w:lang w:val="en-US"/>
        </w:rPr>
        <w:t>40</w:t>
      </w:r>
      <w:r>
        <w:rPr>
          <w:lang w:val="en-US"/>
        </w:rPr>
        <w:t>:</w:t>
      </w:r>
      <w:r w:rsidRPr="00515C24">
        <w:rPr>
          <w:lang w:val="en-US"/>
        </w:rPr>
        <w:t xml:space="preserve"> n. 5, 528-535.</w:t>
      </w:r>
    </w:p>
    <w:p w:rsidR="00BC7D1A" w:rsidRPr="00C316FC" w:rsidRDefault="00BC7D1A" w:rsidP="0084300A">
      <w:pPr>
        <w:spacing w:line="480" w:lineRule="auto"/>
        <w:ind w:right="18"/>
        <w:jc w:val="both"/>
        <w:rPr>
          <w:lang w:val="en-US"/>
        </w:rPr>
      </w:pPr>
      <w:r w:rsidRPr="0075632C">
        <w:rPr>
          <w:lang w:val="en-US"/>
        </w:rPr>
        <w:t>M</w:t>
      </w:r>
      <w:r>
        <w:rPr>
          <w:lang w:val="en-US"/>
        </w:rPr>
        <w:t>ori</w:t>
      </w:r>
      <w:r w:rsidRPr="0075632C">
        <w:rPr>
          <w:lang w:val="en-US"/>
        </w:rPr>
        <w:t xml:space="preserve"> I. C.</w:t>
      </w:r>
      <w:r>
        <w:rPr>
          <w:lang w:val="en-US"/>
        </w:rPr>
        <w:t>,</w:t>
      </w:r>
      <w:r w:rsidRPr="0075632C">
        <w:rPr>
          <w:lang w:val="en-US"/>
        </w:rPr>
        <w:t xml:space="preserve"> P</w:t>
      </w:r>
      <w:r>
        <w:rPr>
          <w:lang w:val="en-US"/>
        </w:rPr>
        <w:t>inontoan</w:t>
      </w:r>
      <w:r w:rsidRPr="0075632C">
        <w:rPr>
          <w:lang w:val="en-US"/>
        </w:rPr>
        <w:t xml:space="preserve"> R.</w:t>
      </w:r>
      <w:r>
        <w:rPr>
          <w:lang w:val="en-US"/>
        </w:rPr>
        <w:t>,</w:t>
      </w:r>
      <w:r w:rsidRPr="0075632C">
        <w:rPr>
          <w:lang w:val="en-US"/>
        </w:rPr>
        <w:t xml:space="preserve"> T</w:t>
      </w:r>
      <w:r>
        <w:rPr>
          <w:lang w:val="en-US"/>
        </w:rPr>
        <w:t>omonori K.,</w:t>
      </w:r>
      <w:r w:rsidRPr="0075632C">
        <w:rPr>
          <w:lang w:val="en-US"/>
        </w:rPr>
        <w:t xml:space="preserve"> M</w:t>
      </w:r>
      <w:r>
        <w:rPr>
          <w:lang w:val="en-US"/>
        </w:rPr>
        <w:t>uto</w:t>
      </w:r>
      <w:r w:rsidRPr="0075632C">
        <w:rPr>
          <w:lang w:val="en-US"/>
        </w:rPr>
        <w:t xml:space="preserve"> S.</w:t>
      </w:r>
      <w:r>
        <w:rPr>
          <w:lang w:val="en-US"/>
        </w:rPr>
        <w:t xml:space="preserve"> (2001). </w:t>
      </w:r>
      <w:r w:rsidRPr="00592D8A">
        <w:rPr>
          <w:lang w:val="en-US"/>
        </w:rPr>
        <w:t>Involvement of sup</w:t>
      </w:r>
      <w:r>
        <w:rPr>
          <w:lang w:val="en-US"/>
        </w:rPr>
        <w:t xml:space="preserve">eroxide </w:t>
      </w:r>
      <w:r w:rsidRPr="00592D8A">
        <w:rPr>
          <w:lang w:val="en-US"/>
        </w:rPr>
        <w:t xml:space="preserve">generetion in salicylic acid-induced stomatal closure in </w:t>
      </w:r>
      <w:r w:rsidRPr="00592D8A">
        <w:rPr>
          <w:i/>
          <w:lang w:val="en-US"/>
        </w:rPr>
        <w:t>Vicia</w:t>
      </w:r>
      <w:r>
        <w:rPr>
          <w:i/>
          <w:lang w:val="en-US"/>
        </w:rPr>
        <w:t xml:space="preserve"> </w:t>
      </w:r>
      <w:r w:rsidRPr="00592D8A">
        <w:rPr>
          <w:i/>
          <w:lang w:val="en-US"/>
        </w:rPr>
        <w:t>faba</w:t>
      </w:r>
      <w:r w:rsidRPr="00592D8A">
        <w:rPr>
          <w:lang w:val="en-US"/>
        </w:rPr>
        <w:t>.</w:t>
      </w:r>
      <w:r>
        <w:rPr>
          <w:lang w:val="en-US"/>
        </w:rPr>
        <w:t xml:space="preserve"> </w:t>
      </w:r>
      <w:r w:rsidRPr="00C316FC">
        <w:rPr>
          <w:lang w:val="en-US"/>
        </w:rPr>
        <w:t xml:space="preserve">Plant Cell Physiology, n.42. </w:t>
      </w:r>
    </w:p>
    <w:p w:rsidR="00BC7D1A" w:rsidRPr="009A42FA" w:rsidRDefault="00BC7D1A" w:rsidP="0084300A">
      <w:pPr>
        <w:spacing w:line="480" w:lineRule="auto"/>
        <w:jc w:val="both"/>
        <w:rPr>
          <w:b/>
          <w:szCs w:val="22"/>
          <w:lang w:val="en-US"/>
        </w:rPr>
      </w:pPr>
      <w:r w:rsidRPr="009A42FA">
        <w:rPr>
          <w:lang w:val="en-US"/>
        </w:rPr>
        <w:t>R</w:t>
      </w:r>
      <w:r>
        <w:rPr>
          <w:lang w:val="en-US"/>
        </w:rPr>
        <w:t>askin</w:t>
      </w:r>
      <w:r w:rsidRPr="009A42FA">
        <w:rPr>
          <w:lang w:val="en-US"/>
        </w:rPr>
        <w:t xml:space="preserve"> </w:t>
      </w:r>
      <w:r>
        <w:rPr>
          <w:lang w:val="en-US"/>
        </w:rPr>
        <w:t>I. (</w:t>
      </w:r>
      <w:r w:rsidRPr="009A42FA">
        <w:rPr>
          <w:lang w:val="en-US"/>
        </w:rPr>
        <w:t>1992</w:t>
      </w:r>
      <w:r>
        <w:rPr>
          <w:lang w:val="en-US"/>
        </w:rPr>
        <w:t>)</w:t>
      </w:r>
      <w:r w:rsidRPr="009A42FA">
        <w:rPr>
          <w:lang w:val="en-US"/>
        </w:rPr>
        <w:t xml:space="preserve">. Role </w:t>
      </w:r>
      <w:r>
        <w:rPr>
          <w:lang w:val="en-US"/>
        </w:rPr>
        <w:t xml:space="preserve">of salicylic acid in plants. </w:t>
      </w:r>
      <w:r w:rsidRPr="00C316FC">
        <w:rPr>
          <w:lang w:val="en-US"/>
        </w:rPr>
        <w:t>Annual Review Plant Physiology Plant Molecular Biology</w:t>
      </w:r>
      <w:r>
        <w:rPr>
          <w:lang w:val="en-US"/>
        </w:rPr>
        <w:t xml:space="preserve">, </w:t>
      </w:r>
      <w:r w:rsidRPr="009A42FA">
        <w:rPr>
          <w:lang w:val="en-US"/>
        </w:rPr>
        <w:t>43</w:t>
      </w:r>
      <w:r>
        <w:rPr>
          <w:lang w:val="en-US"/>
        </w:rPr>
        <w:t>: n.16, p.</w:t>
      </w:r>
      <w:r w:rsidRPr="009A42FA">
        <w:rPr>
          <w:lang w:val="en-US"/>
        </w:rPr>
        <w:t>439-463</w:t>
      </w:r>
      <w:r>
        <w:rPr>
          <w:lang w:val="en-US"/>
        </w:rPr>
        <w:t xml:space="preserve">. </w:t>
      </w:r>
    </w:p>
    <w:p w:rsidR="00BC7D1A" w:rsidRPr="00665486" w:rsidRDefault="00BC7D1A" w:rsidP="0084300A">
      <w:pPr>
        <w:spacing w:line="480" w:lineRule="auto"/>
        <w:jc w:val="both"/>
      </w:pPr>
      <w:r w:rsidRPr="00C316FC">
        <w:rPr>
          <w:lang w:val="en-US"/>
        </w:rPr>
        <w:t>Raven P. H., Evert, R. F., Eichhorn S. E.</w:t>
      </w:r>
      <w:r>
        <w:rPr>
          <w:lang w:val="en-US"/>
        </w:rPr>
        <w:t xml:space="preserve"> (1996).</w:t>
      </w:r>
      <w:r w:rsidRPr="00C316FC">
        <w:rPr>
          <w:lang w:val="en-US"/>
        </w:rPr>
        <w:t xml:space="preserve"> </w:t>
      </w:r>
      <w:r w:rsidRPr="00C316FC">
        <w:t>Biologia Vegetal. Kogan S.A.,</w:t>
      </w:r>
      <w:r w:rsidRPr="00665486">
        <w:t xml:space="preserve"> Rio de Janeiro, Gu</w:t>
      </w:r>
      <w:r>
        <w:t xml:space="preserve">anabara, Brasil, </w:t>
      </w:r>
      <w:r w:rsidRPr="00665486">
        <w:t>728 p</w:t>
      </w:r>
      <w:r>
        <w:t>p</w:t>
      </w:r>
      <w:r w:rsidRPr="00665486">
        <w:t>.</w:t>
      </w:r>
    </w:p>
    <w:p w:rsidR="00BC7D1A" w:rsidRPr="00A107AB" w:rsidRDefault="00BC7D1A" w:rsidP="0084300A">
      <w:pPr>
        <w:spacing w:line="480" w:lineRule="auto"/>
        <w:jc w:val="both"/>
      </w:pPr>
      <w:r w:rsidRPr="00665486">
        <w:t>R</w:t>
      </w:r>
      <w:r>
        <w:t>eetz</w:t>
      </w:r>
      <w:r w:rsidRPr="00665486">
        <w:t xml:space="preserve"> E.R.</w:t>
      </w:r>
      <w:r>
        <w:t>,</w:t>
      </w:r>
      <w:r w:rsidRPr="00665486">
        <w:t xml:space="preserve"> C</w:t>
      </w:r>
      <w:r>
        <w:t>leiton S.,</w:t>
      </w:r>
      <w:r w:rsidRPr="00665486">
        <w:t xml:space="preserve"> R</w:t>
      </w:r>
      <w:r>
        <w:t>igon</w:t>
      </w:r>
      <w:r w:rsidRPr="00665486">
        <w:t>,</w:t>
      </w:r>
      <w:r>
        <w:t xml:space="preserve"> </w:t>
      </w:r>
      <w:r w:rsidRPr="00665486">
        <w:t>L.</w:t>
      </w:r>
      <w:r>
        <w:t>,</w:t>
      </w:r>
      <w:r w:rsidRPr="00665486">
        <w:t xml:space="preserve"> C</w:t>
      </w:r>
      <w:r>
        <w:t>orrea</w:t>
      </w:r>
      <w:r w:rsidRPr="00665486">
        <w:t>, S.</w:t>
      </w:r>
      <w:r>
        <w:t>,</w:t>
      </w:r>
      <w:r w:rsidRPr="00665486">
        <w:t xml:space="preserve"> L</w:t>
      </w:r>
      <w:r>
        <w:t>indemann, C. e</w:t>
      </w:r>
      <w:r w:rsidRPr="00665486">
        <w:t xml:space="preserve"> B</w:t>
      </w:r>
      <w:r>
        <w:t>eling</w:t>
      </w:r>
      <w:r w:rsidRPr="00665486">
        <w:t>, R.R.</w:t>
      </w:r>
      <w:r>
        <w:t xml:space="preserve"> (2007).</w:t>
      </w:r>
      <w:r w:rsidRPr="00665486">
        <w:t xml:space="preserve"> Anuário Brasileiro das Flores. </w:t>
      </w:r>
      <w:r w:rsidRPr="00C316FC">
        <w:t>Ed. Gazeta</w:t>
      </w:r>
      <w:r>
        <w:t>.</w:t>
      </w:r>
      <w:r w:rsidRPr="00A107AB">
        <w:t xml:space="preserve"> Sta. Cruz do Sul,</w:t>
      </w:r>
      <w:r>
        <w:t xml:space="preserve"> Brasil</w:t>
      </w:r>
      <w:r w:rsidRPr="00A25A6C">
        <w:t>.</w:t>
      </w:r>
    </w:p>
    <w:p w:rsidR="00BC7D1A" w:rsidRDefault="00BC7D1A" w:rsidP="0084300A">
      <w:pPr>
        <w:spacing w:line="480" w:lineRule="auto"/>
        <w:jc w:val="both"/>
        <w:rPr>
          <w:lang w:val="en-US"/>
        </w:rPr>
      </w:pPr>
      <w:r w:rsidRPr="00C316FC">
        <w:t xml:space="preserve">Sanchez-Duffhues G., Calzado M. A., Vinuesa A. G. De, Caballero F. J., Ech-Chahad A., Appemdino G., Krohn K., Fiebich B. L., Munoz E. (2008). </w:t>
      </w:r>
      <w:r w:rsidRPr="00C316FC">
        <w:rPr>
          <w:lang w:val="en-US"/>
        </w:rPr>
        <w:t>Denbinobin, a naturally occurring 1,4-phenanthrenequinone, inhibits HIV-1 replication through an NF-</w:t>
      </w:r>
      <w:r>
        <w:rPr>
          <w:lang w:val="en-US"/>
        </w:rPr>
        <w:t>κ</w:t>
      </w:r>
      <w:r w:rsidRPr="00C316FC">
        <w:rPr>
          <w:lang w:val="en-US"/>
        </w:rPr>
        <w:t xml:space="preserve">B-dependent pathway. Biochemical Pharmacology, 76 (10): 1240-1250. </w:t>
      </w:r>
    </w:p>
    <w:p w:rsidR="00BC7D1A" w:rsidRDefault="00BC7D1A" w:rsidP="002B7F36">
      <w:pPr>
        <w:spacing w:line="480" w:lineRule="auto"/>
        <w:jc w:val="both"/>
      </w:pPr>
      <w:r w:rsidRPr="00C316FC">
        <w:rPr>
          <w:lang w:val="en-US"/>
        </w:rPr>
        <w:t xml:space="preserve">SECEX (2012), Disponível em &lt;http://aliceweb2.mdic.gov.br/&gt; Accessed at: 20/05/2012. </w:t>
      </w:r>
      <w:r w:rsidRPr="007E170A">
        <w:rPr>
          <w:lang w:val="it-IT"/>
        </w:rPr>
        <w:t>V</w:t>
      </w:r>
      <w:r>
        <w:rPr>
          <w:lang w:val="it-IT"/>
        </w:rPr>
        <w:t xml:space="preserve">enturieri G.A., </w:t>
      </w:r>
      <w:r w:rsidRPr="007E170A">
        <w:rPr>
          <w:lang w:val="it-IT"/>
        </w:rPr>
        <w:t>P</w:t>
      </w:r>
      <w:r>
        <w:rPr>
          <w:lang w:val="it-IT"/>
        </w:rPr>
        <w:t xml:space="preserve">ickscius F. J. (2012) </w:t>
      </w:r>
      <w:r w:rsidRPr="00F8445D">
        <w:rPr>
          <w:lang w:val="en-US"/>
        </w:rPr>
        <w:t>Propagation of nobile</w:t>
      </w:r>
      <w:r>
        <w:rPr>
          <w:lang w:val="en-US"/>
        </w:rPr>
        <w:t xml:space="preserve"> </w:t>
      </w:r>
      <w:r w:rsidRPr="00F8445D">
        <w:rPr>
          <w:lang w:val="en-US"/>
        </w:rPr>
        <w:t>dendrobium (</w:t>
      </w:r>
      <w:r>
        <w:rPr>
          <w:i/>
          <w:lang w:val="en-US"/>
        </w:rPr>
        <w:t xml:space="preserve">Dendrobium nobile </w:t>
      </w:r>
      <w:r w:rsidRPr="00F8445D">
        <w:rPr>
          <w:lang w:val="en-US"/>
        </w:rPr>
        <w:t>Lindl.) by cutting</w:t>
      </w:r>
      <w:r>
        <w:rPr>
          <w:lang w:val="en-US"/>
        </w:rPr>
        <w:t xml:space="preserve">. </w:t>
      </w:r>
      <w:r w:rsidRPr="002B7F36">
        <w:t>Acta Scientiarum – Agronomy</w:t>
      </w:r>
      <w:r>
        <w:t xml:space="preserve">. </w:t>
      </w:r>
    </w:p>
    <w:p w:rsidR="00BC7D1A" w:rsidRPr="00692567" w:rsidRDefault="00BC7D1A" w:rsidP="002B7F36">
      <w:pPr>
        <w:spacing w:line="480" w:lineRule="auto"/>
        <w:jc w:val="both"/>
        <w:rPr>
          <w:spacing w:val="-2"/>
          <w:lang w:val="it-IT"/>
        </w:rPr>
      </w:pPr>
      <w:r w:rsidRPr="00536136">
        <w:rPr>
          <w:spacing w:val="-2"/>
        </w:rPr>
        <w:t>S</w:t>
      </w:r>
      <w:r>
        <w:rPr>
          <w:spacing w:val="-2"/>
        </w:rPr>
        <w:t>ilva</w:t>
      </w:r>
      <w:r w:rsidRPr="00536136">
        <w:rPr>
          <w:spacing w:val="-2"/>
        </w:rPr>
        <w:t xml:space="preserve"> W.</w:t>
      </w:r>
      <w:r>
        <w:rPr>
          <w:spacing w:val="-2"/>
        </w:rPr>
        <w:t xml:space="preserve"> (1986).</w:t>
      </w:r>
      <w:r w:rsidRPr="00536136">
        <w:rPr>
          <w:spacing w:val="-2"/>
        </w:rPr>
        <w:t xml:space="preserve"> </w:t>
      </w:r>
      <w:r w:rsidRPr="002B7F36">
        <w:rPr>
          <w:spacing w:val="-2"/>
        </w:rPr>
        <w:t>O cultivo de orquídeas no Brasil</w:t>
      </w:r>
      <w:r w:rsidRPr="002B7F36">
        <w:rPr>
          <w:spacing w:val="-2"/>
          <w:lang w:val="it-IT"/>
        </w:rPr>
        <w:t>,</w:t>
      </w:r>
      <w:r w:rsidRPr="00692567">
        <w:rPr>
          <w:spacing w:val="-2"/>
          <w:lang w:val="it-IT"/>
        </w:rPr>
        <w:t xml:space="preserve"> 6ª ed.</w:t>
      </w:r>
      <w:r>
        <w:rPr>
          <w:spacing w:val="-2"/>
          <w:lang w:val="it-IT"/>
        </w:rPr>
        <w:t>,</w:t>
      </w:r>
      <w:r w:rsidRPr="00536136">
        <w:rPr>
          <w:spacing w:val="-2"/>
        </w:rPr>
        <w:t xml:space="preserve"> </w:t>
      </w:r>
      <w:r w:rsidRPr="00692567">
        <w:rPr>
          <w:spacing w:val="-2"/>
          <w:lang w:val="it-IT"/>
        </w:rPr>
        <w:t>São Paulo</w:t>
      </w:r>
      <w:r>
        <w:rPr>
          <w:spacing w:val="-2"/>
          <w:lang w:val="it-IT"/>
        </w:rPr>
        <w:t>, Brasil.</w:t>
      </w:r>
    </w:p>
    <w:p w:rsidR="00BC7D1A" w:rsidRPr="00E95AF4" w:rsidRDefault="00BC7D1A" w:rsidP="0084300A">
      <w:pPr>
        <w:pStyle w:val="NormalWeb"/>
        <w:spacing w:before="0" w:beforeAutospacing="0" w:after="0" w:afterAutospacing="0" w:line="480" w:lineRule="auto"/>
        <w:jc w:val="both"/>
        <w:rPr>
          <w:lang w:val="en-US"/>
        </w:rPr>
      </w:pPr>
      <w:r w:rsidRPr="002B7F36">
        <w:rPr>
          <w:lang w:val="en-US"/>
        </w:rPr>
        <w:t>Yamamoto Dendrobiums</w:t>
      </w:r>
      <w:r>
        <w:rPr>
          <w:lang w:val="en-US"/>
        </w:rPr>
        <w:t>,</w:t>
      </w:r>
      <w:r w:rsidRPr="002B7F36">
        <w:rPr>
          <w:lang w:val="en-US"/>
        </w:rPr>
        <w:t xml:space="preserve"> (2011). General Carrying: Fertilizing. Avalilable at: http://www.yamamotodendrobiums.com/html/g</w:t>
      </w:r>
      <w:r w:rsidRPr="00E95AF4">
        <w:rPr>
          <w:lang w:val="en-US"/>
        </w:rPr>
        <w:t xml:space="preserve">eneral_care.html#Fertilizing </w:t>
      </w:r>
      <w:r w:rsidRPr="006B65F3">
        <w:rPr>
          <w:lang w:val="en-US"/>
        </w:rPr>
        <w:t>Acces</w:t>
      </w:r>
      <w:r>
        <w:rPr>
          <w:lang w:val="en-US"/>
        </w:rPr>
        <w:t>sed at</w:t>
      </w:r>
      <w:r w:rsidRPr="00E95AF4">
        <w:rPr>
          <w:lang w:val="en-US"/>
        </w:rPr>
        <w:t>: 31 jul. 2012.</w:t>
      </w:r>
    </w:p>
    <w:p w:rsidR="00BC7D1A" w:rsidRPr="00202A98" w:rsidRDefault="00BC7D1A" w:rsidP="0084300A">
      <w:pPr>
        <w:pStyle w:val="NormalWeb"/>
        <w:spacing w:before="0" w:beforeAutospacing="0" w:after="0" w:afterAutospacing="0" w:line="480" w:lineRule="auto"/>
        <w:rPr>
          <w:lang w:val="en-US"/>
        </w:rPr>
      </w:pPr>
      <w:r w:rsidRPr="00515C24">
        <w:rPr>
          <w:lang w:val="en-US"/>
        </w:rPr>
        <w:t>Y</w:t>
      </w:r>
      <w:r>
        <w:rPr>
          <w:lang w:val="en-US"/>
        </w:rPr>
        <w:t>e</w:t>
      </w:r>
      <w:r w:rsidRPr="00515C24">
        <w:rPr>
          <w:lang w:val="en-US"/>
        </w:rPr>
        <w:t xml:space="preserve"> Q</w:t>
      </w:r>
      <w:r>
        <w:rPr>
          <w:lang w:val="en-US"/>
        </w:rPr>
        <w:t>.,</w:t>
      </w:r>
      <w:r w:rsidRPr="00515C24">
        <w:rPr>
          <w:lang w:val="en-US"/>
        </w:rPr>
        <w:t xml:space="preserve"> Z</w:t>
      </w:r>
      <w:r>
        <w:rPr>
          <w:lang w:val="en-US"/>
        </w:rPr>
        <w:t>hao</w:t>
      </w:r>
      <w:r w:rsidRPr="00515C24">
        <w:rPr>
          <w:lang w:val="en-US"/>
        </w:rPr>
        <w:t xml:space="preserve"> W.</w:t>
      </w:r>
      <w:r>
        <w:rPr>
          <w:lang w:val="en-US"/>
        </w:rPr>
        <w:t xml:space="preserve"> (2002).</w:t>
      </w:r>
      <w:r w:rsidRPr="00515C24">
        <w:rPr>
          <w:lang w:val="en-US"/>
        </w:rPr>
        <w:t xml:space="preserve"> </w:t>
      </w:r>
      <w:r w:rsidRPr="00515C24">
        <w:rPr>
          <w:rStyle w:val="schriftd"/>
          <w:lang w:val="en-US"/>
        </w:rPr>
        <w:t xml:space="preserve">New Alloaromadendrane, Cadinene and Cyclocopacamphane Type Sesquiterpene Derivatives and Bibenzyls from </w:t>
      </w:r>
      <w:r w:rsidRPr="00515C24">
        <w:rPr>
          <w:rStyle w:val="Emphasis"/>
          <w:iCs/>
          <w:lang w:val="en-US"/>
        </w:rPr>
        <w:t>Dendrobium nobile</w:t>
      </w:r>
      <w:r w:rsidRPr="00515C24">
        <w:rPr>
          <w:lang w:val="en-US"/>
        </w:rPr>
        <w:t xml:space="preserve">. </w:t>
      </w:r>
      <w:r w:rsidRPr="002B7F36">
        <w:rPr>
          <w:bCs/>
          <w:lang w:val="en-US"/>
        </w:rPr>
        <w:t>Planta Medica</w:t>
      </w:r>
      <w:r w:rsidRPr="002B7F36">
        <w:rPr>
          <w:lang w:val="en-US"/>
        </w:rPr>
        <w:t>,</w:t>
      </w:r>
      <w:r w:rsidRPr="00202A98">
        <w:rPr>
          <w:lang w:val="en-US"/>
        </w:rPr>
        <w:t xml:space="preserve"> 68</w:t>
      </w:r>
      <w:r>
        <w:rPr>
          <w:lang w:val="en-US"/>
        </w:rPr>
        <w:t>: n. 8</w:t>
      </w:r>
      <w:r w:rsidRPr="00202A98">
        <w:rPr>
          <w:lang w:val="en-US"/>
        </w:rPr>
        <w:t xml:space="preserve">  723-729.</w:t>
      </w:r>
    </w:p>
    <w:p w:rsidR="00BC7D1A" w:rsidRPr="006B65F3" w:rsidRDefault="00BC7D1A" w:rsidP="0084300A">
      <w:pPr>
        <w:spacing w:line="480" w:lineRule="auto"/>
        <w:jc w:val="both"/>
        <w:rPr>
          <w:lang w:val="en-US"/>
        </w:rPr>
      </w:pPr>
      <w:r w:rsidRPr="006B0F7C">
        <w:rPr>
          <w:lang w:val="en-US"/>
        </w:rPr>
        <w:t>Y</w:t>
      </w:r>
      <w:r>
        <w:rPr>
          <w:lang w:val="en-US"/>
        </w:rPr>
        <w:t>en</w:t>
      </w:r>
      <w:r w:rsidRPr="006B0F7C">
        <w:rPr>
          <w:lang w:val="en-US"/>
        </w:rPr>
        <w:t xml:space="preserve"> C. Y</w:t>
      </w:r>
      <w:r w:rsidRPr="006C6593">
        <w:rPr>
          <w:lang w:val="en-US"/>
        </w:rPr>
        <w:t>.</w:t>
      </w:r>
      <w:r>
        <w:rPr>
          <w:lang w:val="en-US"/>
        </w:rPr>
        <w:t xml:space="preserve"> (2008). </w:t>
      </w:r>
      <w:r w:rsidRPr="002B7F36">
        <w:rPr>
          <w:lang w:val="en-US"/>
        </w:rPr>
        <w:t>Effects of Nutrient Supply and Cooling on Growth, Flower Bud Differentiation, and Propagation of the Nobile Dendrobium Orchid.</w:t>
      </w:r>
      <w:r>
        <w:rPr>
          <w:lang w:val="en-US"/>
        </w:rPr>
        <w:t xml:space="preserve"> (</w:t>
      </w:r>
      <w:r w:rsidRPr="006C6593">
        <w:rPr>
          <w:lang w:val="en-US"/>
        </w:rPr>
        <w:t>Master's thesis</w:t>
      </w:r>
      <w:r>
        <w:rPr>
          <w:lang w:val="en-US"/>
        </w:rPr>
        <w:t>)</w:t>
      </w:r>
      <w:r w:rsidRPr="006C6593">
        <w:rPr>
          <w:lang w:val="en-US"/>
        </w:rPr>
        <w:t xml:space="preserve">, Texas A&amp;M University, </w:t>
      </w:r>
      <w:r>
        <w:rPr>
          <w:lang w:val="en-US"/>
        </w:rPr>
        <w:t xml:space="preserve">USA. </w:t>
      </w:r>
      <w:r w:rsidRPr="006C6593">
        <w:rPr>
          <w:lang w:val="en-US"/>
        </w:rPr>
        <w:t>119p</w:t>
      </w:r>
      <w:r>
        <w:rPr>
          <w:lang w:val="en-US"/>
        </w:rPr>
        <w:t>p</w:t>
      </w:r>
      <w:r w:rsidRPr="006C6593">
        <w:rPr>
          <w:lang w:val="en-US"/>
        </w:rPr>
        <w:t>.</w:t>
      </w:r>
      <w:bookmarkStart w:id="0" w:name="_GoBack"/>
      <w:bookmarkEnd w:id="0"/>
    </w:p>
    <w:p w:rsidR="00BC7D1A" w:rsidRDefault="00BC7D1A" w:rsidP="00960C8E">
      <w:pPr>
        <w:jc w:val="both"/>
        <w:rPr>
          <w:lang w:val="en-US"/>
        </w:rPr>
      </w:pPr>
      <w:r w:rsidRPr="006B65F3">
        <w:rPr>
          <w:lang w:val="en-US"/>
        </w:rPr>
        <w:br w:type="page"/>
      </w:r>
      <w:r w:rsidRPr="00AB5E33">
        <w:rPr>
          <w:b/>
          <w:lang w:val="en-US"/>
        </w:rPr>
        <w:t>Table 1.</w:t>
      </w:r>
      <w:r>
        <w:rPr>
          <w:b/>
          <w:lang w:val="en-US"/>
        </w:rPr>
        <w:t xml:space="preserve"> </w:t>
      </w:r>
      <w:r>
        <w:rPr>
          <w:i/>
          <w:lang w:val="en-US"/>
        </w:rPr>
        <w:t>Dendrobium nobile</w:t>
      </w:r>
      <w:r>
        <w:rPr>
          <w:lang w:val="en-US"/>
        </w:rPr>
        <w:t xml:space="preserve"> cuttings in a selection of Nitrogen fertilizer and cuttings age</w:t>
      </w:r>
      <w:r w:rsidRPr="00AB5E33">
        <w:rPr>
          <w:lang w:val="en-US"/>
        </w:rPr>
        <w:t xml:space="preserve">. Summary of </w:t>
      </w:r>
      <w:r>
        <w:rPr>
          <w:lang w:val="en-US"/>
        </w:rPr>
        <w:t xml:space="preserve">probabilities of significance by </w:t>
      </w:r>
      <w:r w:rsidRPr="00AB5E33">
        <w:rPr>
          <w:lang w:val="en-US"/>
        </w:rPr>
        <w:t>analysis of variance for all va</w:t>
      </w:r>
      <w:r>
        <w:rPr>
          <w:lang w:val="en-US"/>
        </w:rPr>
        <w:t xml:space="preserve">riables. Note: n.s = </w:t>
      </w:r>
      <w:r w:rsidRPr="00AB5E33">
        <w:rPr>
          <w:lang w:val="en-US"/>
        </w:rPr>
        <w:t>no</w:t>
      </w:r>
      <w:r>
        <w:rPr>
          <w:lang w:val="en-US"/>
        </w:rPr>
        <w:t>t</w:t>
      </w:r>
      <w:r w:rsidRPr="00AB5E33">
        <w:rPr>
          <w:lang w:val="en-US"/>
        </w:rPr>
        <w:t xml:space="preserve"> significant</w:t>
      </w:r>
      <w:r>
        <w:rPr>
          <w:lang w:val="en-US"/>
        </w:rPr>
        <w:t xml:space="preserve"> statistic</w:t>
      </w:r>
      <w:r w:rsidRPr="00AB5E33">
        <w:rPr>
          <w:lang w:val="en-US"/>
        </w:rPr>
        <w:t xml:space="preserve"> at a 5% level of probabi</w:t>
      </w:r>
      <w:r>
        <w:rPr>
          <w:lang w:val="en-US"/>
        </w:rPr>
        <w:t>lity. * = significant statistic</w:t>
      </w:r>
      <w:r w:rsidRPr="00AB5E33">
        <w:rPr>
          <w:lang w:val="en-US"/>
        </w:rPr>
        <w:t xml:space="preserve"> at a level inferior to 0.0</w:t>
      </w:r>
      <w:r>
        <w:rPr>
          <w:lang w:val="en-US"/>
        </w:rPr>
        <w:t>5</w:t>
      </w:r>
      <w:r w:rsidRPr="00AB5E33">
        <w:rPr>
          <w:lang w:val="en-US"/>
        </w:rPr>
        <w:t>% ** =</w:t>
      </w:r>
      <w:r>
        <w:rPr>
          <w:lang w:val="en-US"/>
        </w:rPr>
        <w:t>significant statistic at a level inferior</w:t>
      </w:r>
      <w:r w:rsidRPr="00AB5E33">
        <w:rPr>
          <w:lang w:val="en-US"/>
        </w:rPr>
        <w:t xml:space="preserve"> to 0.001%.</w:t>
      </w:r>
    </w:p>
    <w:tbl>
      <w:tblPr>
        <w:tblW w:w="5261" w:type="pct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1900"/>
        <w:gridCol w:w="1575"/>
        <w:gridCol w:w="1680"/>
        <w:gridCol w:w="1708"/>
        <w:gridCol w:w="1706"/>
        <w:gridCol w:w="1122"/>
      </w:tblGrid>
      <w:tr w:rsidR="00BC7D1A" w:rsidRPr="00C06486" w:rsidTr="00010AAE">
        <w:tc>
          <w:tcPr>
            <w:tcW w:w="980" w:type="pct"/>
            <w:tcBorders>
              <w:top w:val="single" w:sz="4" w:space="0" w:color="auto"/>
              <w:bottom w:val="single" w:sz="4" w:space="0" w:color="auto"/>
            </w:tcBorders>
          </w:tcPr>
          <w:p w:rsidR="00BC7D1A" w:rsidRPr="00C06486" w:rsidRDefault="00BC7D1A" w:rsidP="00960C8E">
            <w:pPr>
              <w:keepNext/>
              <w:keepLines/>
              <w:jc w:val="both"/>
              <w:rPr>
                <w:b/>
                <w:lang w:val="en-US"/>
              </w:rPr>
            </w:pPr>
            <w:r w:rsidRPr="00C06486">
              <w:rPr>
                <w:b/>
                <w:lang w:val="en-US"/>
              </w:rPr>
              <w:t>Factors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</w:tcPr>
          <w:p w:rsidR="00BC7D1A" w:rsidRPr="00C06486" w:rsidRDefault="00BC7D1A" w:rsidP="00960C8E">
            <w:pPr>
              <w:keepNext/>
              <w:keepLines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Proportion of successful cuttings</w:t>
            </w:r>
          </w:p>
        </w:tc>
        <w:tc>
          <w:tcPr>
            <w:tcW w:w="867" w:type="pct"/>
            <w:tcBorders>
              <w:top w:val="single" w:sz="4" w:space="0" w:color="auto"/>
              <w:bottom w:val="single" w:sz="4" w:space="0" w:color="auto"/>
            </w:tcBorders>
          </w:tcPr>
          <w:p w:rsidR="00BC7D1A" w:rsidRPr="008C3A43" w:rsidRDefault="00BC7D1A" w:rsidP="00960C8E">
            <w:pPr>
              <w:keepNext/>
              <w:keepLines/>
              <w:rPr>
                <w:b/>
                <w:lang w:val="en-US"/>
              </w:rPr>
            </w:pPr>
            <w:r w:rsidRPr="008C3A43">
              <w:rPr>
                <w:b/>
                <w:lang w:val="en-US"/>
              </w:rPr>
              <w:t xml:space="preserve">proportion of rotten </w:t>
            </w:r>
            <w:r>
              <w:rPr>
                <w:b/>
                <w:lang w:val="en-US"/>
              </w:rPr>
              <w:t xml:space="preserve">cuttings </w:t>
            </w:r>
            <w:r w:rsidRPr="008C3A43">
              <w:rPr>
                <w:b/>
                <w:lang w:val="en-US"/>
              </w:rPr>
              <w:t>stalks</w:t>
            </w:r>
          </w:p>
        </w:tc>
        <w:tc>
          <w:tcPr>
            <w:tcW w:w="881" w:type="pct"/>
            <w:tcBorders>
              <w:top w:val="single" w:sz="4" w:space="0" w:color="auto"/>
              <w:bottom w:val="single" w:sz="4" w:space="0" w:color="auto"/>
            </w:tcBorders>
          </w:tcPr>
          <w:p w:rsidR="00BC7D1A" w:rsidRPr="00C06486" w:rsidRDefault="00BC7D1A" w:rsidP="00960C8E">
            <w:pPr>
              <w:keepNext/>
              <w:keepLines/>
              <w:rPr>
                <w:b/>
              </w:rPr>
            </w:pPr>
            <w:r w:rsidRPr="00C06486">
              <w:rPr>
                <w:b/>
              </w:rPr>
              <w:t>N</w:t>
            </w:r>
            <w:r>
              <w:rPr>
                <w:b/>
              </w:rPr>
              <w:t>umber of roots</w:t>
            </w:r>
          </w:p>
        </w:tc>
        <w:tc>
          <w:tcPr>
            <w:tcW w:w="880" w:type="pct"/>
            <w:tcBorders>
              <w:top w:val="single" w:sz="4" w:space="0" w:color="auto"/>
              <w:bottom w:val="single" w:sz="4" w:space="0" w:color="auto"/>
            </w:tcBorders>
          </w:tcPr>
          <w:p w:rsidR="00BC7D1A" w:rsidRPr="00C06486" w:rsidRDefault="00BC7D1A" w:rsidP="00960C8E">
            <w:pPr>
              <w:keepNext/>
              <w:keepLines/>
              <w:rPr>
                <w:b/>
              </w:rPr>
            </w:pPr>
            <w:r>
              <w:rPr>
                <w:b/>
              </w:rPr>
              <w:t>Root length</w:t>
            </w:r>
          </w:p>
        </w:tc>
        <w:tc>
          <w:tcPr>
            <w:tcW w:w="579" w:type="pct"/>
            <w:tcBorders>
              <w:top w:val="single" w:sz="4" w:space="0" w:color="auto"/>
              <w:bottom w:val="single" w:sz="4" w:space="0" w:color="auto"/>
            </w:tcBorders>
          </w:tcPr>
          <w:p w:rsidR="00BC7D1A" w:rsidRPr="00C06486" w:rsidRDefault="00BC7D1A" w:rsidP="00960C8E">
            <w:pPr>
              <w:keepNext/>
              <w:keepLines/>
              <w:rPr>
                <w:b/>
                <w:lang w:val="en-US"/>
              </w:rPr>
            </w:pPr>
            <w:r w:rsidRPr="00C06486">
              <w:rPr>
                <w:b/>
                <w:lang w:val="en-US"/>
              </w:rPr>
              <w:t>Vigor</w:t>
            </w:r>
          </w:p>
        </w:tc>
      </w:tr>
      <w:tr w:rsidR="00BC7D1A" w:rsidRPr="00C06486" w:rsidTr="00010AAE">
        <w:tc>
          <w:tcPr>
            <w:tcW w:w="980" w:type="pct"/>
            <w:tcBorders>
              <w:top w:val="single" w:sz="4" w:space="0" w:color="auto"/>
              <w:bottom w:val="nil"/>
            </w:tcBorders>
          </w:tcPr>
          <w:p w:rsidR="00BC7D1A" w:rsidRPr="00775406" w:rsidRDefault="00BC7D1A" w:rsidP="00960C8E">
            <w:pPr>
              <w:keepNext/>
              <w:keepLines/>
              <w:jc w:val="both"/>
              <w:rPr>
                <w:lang w:val="en-US"/>
              </w:rPr>
            </w:pPr>
            <w:r w:rsidRPr="00775406">
              <w:rPr>
                <w:lang w:val="en-US"/>
              </w:rPr>
              <w:t>Cuttings age (A)</w:t>
            </w:r>
          </w:p>
        </w:tc>
        <w:tc>
          <w:tcPr>
            <w:tcW w:w="812" w:type="pct"/>
            <w:tcBorders>
              <w:top w:val="single" w:sz="4" w:space="0" w:color="auto"/>
              <w:bottom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0.000**</w:t>
            </w:r>
          </w:p>
        </w:tc>
        <w:tc>
          <w:tcPr>
            <w:tcW w:w="867" w:type="pct"/>
            <w:tcBorders>
              <w:top w:val="single" w:sz="4" w:space="0" w:color="auto"/>
              <w:bottom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</w:t>
            </w:r>
            <w:r>
              <w:rPr>
                <w:bCs w:val="0"/>
                <w:color w:val="000000"/>
              </w:rPr>
              <w:t>437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881" w:type="pct"/>
            <w:tcBorders>
              <w:top w:val="single" w:sz="4" w:space="0" w:color="auto"/>
              <w:bottom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0.305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880" w:type="pct"/>
            <w:tcBorders>
              <w:top w:val="single" w:sz="4" w:space="0" w:color="auto"/>
              <w:bottom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0.087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579" w:type="pct"/>
            <w:tcBorders>
              <w:top w:val="single" w:sz="4" w:space="0" w:color="auto"/>
              <w:bottom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color w:val="000000"/>
              </w:rPr>
            </w:pPr>
            <w:r w:rsidRPr="00C06486">
              <w:rPr>
                <w:color w:val="000000"/>
              </w:rPr>
              <w:t>0,000**</w:t>
            </w:r>
          </w:p>
        </w:tc>
      </w:tr>
      <w:tr w:rsidR="00BC7D1A" w:rsidRPr="00C06486" w:rsidTr="00010AAE">
        <w:tc>
          <w:tcPr>
            <w:tcW w:w="980" w:type="pct"/>
            <w:tcBorders>
              <w:top w:val="nil"/>
            </w:tcBorders>
          </w:tcPr>
          <w:p w:rsidR="00BC7D1A" w:rsidRPr="00775406" w:rsidRDefault="00BC7D1A" w:rsidP="00960C8E">
            <w:pPr>
              <w:keepNext/>
              <w:keepLines/>
              <w:jc w:val="both"/>
              <w:rPr>
                <w:lang w:val="en-US"/>
              </w:rPr>
            </w:pPr>
            <w:r w:rsidRPr="00775406">
              <w:rPr>
                <w:lang w:val="en-US"/>
              </w:rPr>
              <w:t>Fertilizer (B)</w:t>
            </w:r>
          </w:p>
        </w:tc>
        <w:tc>
          <w:tcPr>
            <w:tcW w:w="812" w:type="pct"/>
            <w:tcBorders>
              <w:top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>
              <w:rPr>
                <w:bCs w:val="0"/>
                <w:color w:val="000000"/>
              </w:rPr>
              <w:t>0.040</w:t>
            </w:r>
            <w:r w:rsidRPr="00C06486">
              <w:rPr>
                <w:bCs w:val="0"/>
                <w:color w:val="000000"/>
              </w:rPr>
              <w:t>*</w:t>
            </w:r>
          </w:p>
        </w:tc>
        <w:tc>
          <w:tcPr>
            <w:tcW w:w="867" w:type="pct"/>
            <w:tcBorders>
              <w:top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</w:t>
            </w:r>
            <w:r>
              <w:rPr>
                <w:bCs w:val="0"/>
                <w:color w:val="000000"/>
              </w:rPr>
              <w:t>124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881" w:type="pct"/>
            <w:tcBorders>
              <w:top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0.783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880" w:type="pct"/>
            <w:tcBorders>
              <w:top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0.322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579" w:type="pct"/>
            <w:tcBorders>
              <w:top w:val="nil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color w:val="000000"/>
              </w:rPr>
            </w:pPr>
            <w:r w:rsidRPr="00C06486">
              <w:rPr>
                <w:color w:val="000000"/>
              </w:rPr>
              <w:t>0,262</w:t>
            </w:r>
            <w:r w:rsidRPr="00C06486">
              <w:rPr>
                <w:vertAlign w:val="superscript"/>
              </w:rPr>
              <w:t>ns</w:t>
            </w:r>
          </w:p>
        </w:tc>
      </w:tr>
      <w:tr w:rsidR="00BC7D1A" w:rsidRPr="00C06486" w:rsidTr="00010AAE">
        <w:tc>
          <w:tcPr>
            <w:tcW w:w="980" w:type="pct"/>
            <w:tcBorders>
              <w:bottom w:val="single" w:sz="4" w:space="0" w:color="auto"/>
            </w:tcBorders>
          </w:tcPr>
          <w:p w:rsidR="00BC7D1A" w:rsidRPr="00775406" w:rsidRDefault="00BC7D1A" w:rsidP="00960C8E">
            <w:pPr>
              <w:keepNext/>
              <w:keepLines/>
              <w:jc w:val="both"/>
              <w:rPr>
                <w:lang w:val="en-US"/>
              </w:rPr>
            </w:pPr>
            <w:r w:rsidRPr="00775406">
              <w:rPr>
                <w:lang w:val="en-US"/>
              </w:rPr>
              <w:t>A x B interaction</w:t>
            </w:r>
          </w:p>
        </w:tc>
        <w:tc>
          <w:tcPr>
            <w:tcW w:w="812" w:type="pct"/>
            <w:tcBorders>
              <w:bottom w:val="single" w:sz="4" w:space="0" w:color="auto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</w:t>
            </w:r>
            <w:r>
              <w:rPr>
                <w:bCs w:val="0"/>
                <w:color w:val="000000"/>
              </w:rPr>
              <w:t>206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867" w:type="pct"/>
            <w:tcBorders>
              <w:bottom w:val="single" w:sz="4" w:space="0" w:color="auto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</w:t>
            </w:r>
            <w:r>
              <w:rPr>
                <w:bCs w:val="0"/>
                <w:color w:val="000000"/>
              </w:rPr>
              <w:t>204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881" w:type="pct"/>
            <w:tcBorders>
              <w:bottom w:val="single" w:sz="4" w:space="0" w:color="auto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0.840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880" w:type="pct"/>
            <w:tcBorders>
              <w:bottom w:val="single" w:sz="4" w:space="0" w:color="auto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bCs w:val="0"/>
                <w:color w:val="000000"/>
              </w:rPr>
            </w:pPr>
            <w:r w:rsidRPr="00C06486">
              <w:rPr>
                <w:bCs w:val="0"/>
                <w:color w:val="000000"/>
              </w:rPr>
              <w:t>0.804</w:t>
            </w:r>
            <w:r w:rsidRPr="00C06486">
              <w:rPr>
                <w:vertAlign w:val="superscript"/>
              </w:rPr>
              <w:t>ns</w:t>
            </w:r>
          </w:p>
        </w:tc>
        <w:tc>
          <w:tcPr>
            <w:tcW w:w="579" w:type="pct"/>
            <w:tcBorders>
              <w:bottom w:val="single" w:sz="4" w:space="0" w:color="auto"/>
            </w:tcBorders>
            <w:vAlign w:val="center"/>
          </w:tcPr>
          <w:p w:rsidR="00BC7D1A" w:rsidRPr="00C06486" w:rsidRDefault="00BC7D1A" w:rsidP="00960C8E">
            <w:pPr>
              <w:jc w:val="both"/>
              <w:rPr>
                <w:color w:val="000000"/>
              </w:rPr>
            </w:pPr>
            <w:r w:rsidRPr="00C06486">
              <w:rPr>
                <w:color w:val="000000"/>
              </w:rPr>
              <w:t>0,127</w:t>
            </w:r>
            <w:r w:rsidRPr="00C06486">
              <w:rPr>
                <w:vertAlign w:val="superscript"/>
              </w:rPr>
              <w:t>ns</w:t>
            </w:r>
          </w:p>
        </w:tc>
      </w:tr>
    </w:tbl>
    <w:p w:rsidR="00BC7D1A" w:rsidRDefault="00BC7D1A" w:rsidP="00960C8E">
      <w:pPr>
        <w:jc w:val="both"/>
        <w:rPr>
          <w:b/>
          <w:lang w:val="en-US"/>
        </w:rPr>
      </w:pPr>
    </w:p>
    <w:p w:rsidR="00BC7D1A" w:rsidRPr="008C3A43" w:rsidRDefault="00BC7D1A" w:rsidP="00960C8E">
      <w:pPr>
        <w:jc w:val="both"/>
        <w:rPr>
          <w:lang w:val="en-US"/>
        </w:rPr>
      </w:pPr>
      <w:r w:rsidRPr="008C3A43">
        <w:rPr>
          <w:b/>
          <w:lang w:val="en-US"/>
        </w:rPr>
        <w:t>Table 2:</w:t>
      </w:r>
      <w:r w:rsidRPr="008C3A43">
        <w:rPr>
          <w:lang w:val="en-US"/>
        </w:rPr>
        <w:t xml:space="preserve"> Parameters averages of proportion of successful cuttings and vigor (assigned as statistically different</w:t>
      </w:r>
      <w:r>
        <w:rPr>
          <w:lang w:val="en-US"/>
        </w:rPr>
        <w:t xml:space="preserve"> by an</w:t>
      </w:r>
      <w:r w:rsidRPr="008C3A43">
        <w:rPr>
          <w:lang w:val="en-US"/>
        </w:rPr>
        <w:t xml:space="preserve">alysis of Variance), </w:t>
      </w:r>
      <w:r>
        <w:rPr>
          <w:lang w:val="en-US"/>
        </w:rPr>
        <w:t>in function of used fertilizer and stem ages</w:t>
      </w:r>
      <w:r w:rsidRPr="008C3A43">
        <w:rPr>
          <w:lang w:val="en-US"/>
        </w:rPr>
        <w:t>.</w:t>
      </w:r>
    </w:p>
    <w:tbl>
      <w:tblPr>
        <w:tblpPr w:leftFromText="141" w:rightFromText="141" w:vertAnchor="text" w:horzAnchor="margin" w:tblpY="120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54"/>
        <w:gridCol w:w="1101"/>
        <w:gridCol w:w="1804"/>
        <w:gridCol w:w="682"/>
        <w:gridCol w:w="503"/>
        <w:gridCol w:w="1014"/>
        <w:gridCol w:w="901"/>
        <w:gridCol w:w="851"/>
      </w:tblGrid>
      <w:tr w:rsidR="00BC7D1A" w:rsidRPr="00323311" w:rsidTr="00005FE3">
        <w:trPr>
          <w:trHeight w:val="307"/>
        </w:trPr>
        <w:tc>
          <w:tcPr>
            <w:tcW w:w="1342" w:type="pct"/>
            <w:noWrap/>
            <w:vAlign w:val="bottom"/>
          </w:tcPr>
          <w:p w:rsidR="00BC7D1A" w:rsidRPr="008C3A43" w:rsidRDefault="00BC7D1A" w:rsidP="00960C8E">
            <w:pPr>
              <w:keepNext/>
              <w:keepLines/>
              <w:jc w:val="both"/>
              <w:rPr>
                <w:bCs w:val="0"/>
                <w:sz w:val="20"/>
                <w:szCs w:val="20"/>
                <w:lang w:val="en-US"/>
              </w:rPr>
            </w:pPr>
          </w:p>
        </w:tc>
        <w:tc>
          <w:tcPr>
            <w:tcW w:w="3658" w:type="pct"/>
            <w:gridSpan w:val="7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center"/>
              <w:rPr>
                <w:b/>
              </w:rPr>
            </w:pPr>
            <w:r w:rsidRPr="00323311">
              <w:rPr>
                <w:b/>
                <w:sz w:val="22"/>
                <w:szCs w:val="22"/>
              </w:rPr>
              <w:t>Par</w:t>
            </w:r>
            <w:r>
              <w:rPr>
                <w:b/>
                <w:sz w:val="22"/>
                <w:szCs w:val="22"/>
              </w:rPr>
              <w:t>ameter</w:t>
            </w:r>
          </w:p>
        </w:tc>
      </w:tr>
      <w:tr w:rsidR="00BC7D1A" w:rsidRPr="00323311" w:rsidTr="00005FE3">
        <w:trPr>
          <w:trHeight w:val="307"/>
        </w:trPr>
        <w:tc>
          <w:tcPr>
            <w:tcW w:w="1342" w:type="pct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  <w:sz w:val="20"/>
                <w:szCs w:val="20"/>
              </w:rPr>
            </w:pPr>
          </w:p>
        </w:tc>
        <w:tc>
          <w:tcPr>
            <w:tcW w:w="1336" w:type="pct"/>
            <w:gridSpan w:val="3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Proportion of sucessfull cuttings (%)</w:t>
            </w:r>
          </w:p>
        </w:tc>
        <w:tc>
          <w:tcPr>
            <w:tcW w:w="2322" w:type="pct"/>
            <w:gridSpan w:val="4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center"/>
              <w:rPr>
                <w:b/>
              </w:rPr>
            </w:pPr>
            <w:r w:rsidRPr="00323311">
              <w:rPr>
                <w:b/>
                <w:sz w:val="22"/>
                <w:szCs w:val="22"/>
              </w:rPr>
              <w:t>Vigor</w:t>
            </w:r>
            <w:r>
              <w:rPr>
                <w:b/>
                <w:sz w:val="22"/>
                <w:szCs w:val="22"/>
              </w:rPr>
              <w:t xml:space="preserve"> (grade)</w:t>
            </w:r>
          </w:p>
        </w:tc>
      </w:tr>
      <w:tr w:rsidR="00BC7D1A" w:rsidRPr="00323311" w:rsidTr="00005FE3">
        <w:trPr>
          <w:trHeight w:val="260"/>
        </w:trPr>
        <w:tc>
          <w:tcPr>
            <w:tcW w:w="1342" w:type="pct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both"/>
              <w:rPr>
                <w:b/>
                <w:sz w:val="20"/>
                <w:szCs w:val="20"/>
              </w:rPr>
            </w:pPr>
            <w:r w:rsidRPr="00323311">
              <w:rPr>
                <w:b/>
                <w:sz w:val="20"/>
                <w:szCs w:val="20"/>
              </w:rPr>
              <w:t>Tr</w:t>
            </w:r>
            <w:r>
              <w:rPr>
                <w:b/>
                <w:sz w:val="20"/>
                <w:szCs w:val="20"/>
              </w:rPr>
              <w:t>eatmen</w:t>
            </w:r>
          </w:p>
        </w:tc>
        <w:tc>
          <w:tcPr>
            <w:tcW w:w="410" w:type="pct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Young</w:t>
            </w:r>
          </w:p>
        </w:tc>
        <w:tc>
          <w:tcPr>
            <w:tcW w:w="672" w:type="pct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both"/>
              <w:rPr>
                <w:b/>
                <w:sz w:val="20"/>
                <w:szCs w:val="20"/>
              </w:rPr>
            </w:pPr>
            <w:r w:rsidRPr="00323311">
              <w:rPr>
                <w:b/>
                <w:sz w:val="20"/>
                <w:szCs w:val="20"/>
              </w:rPr>
              <w:t>Ma</w:t>
            </w:r>
            <w:r>
              <w:rPr>
                <w:b/>
                <w:sz w:val="20"/>
                <w:szCs w:val="20"/>
              </w:rPr>
              <w:t>ture</w:t>
            </w:r>
          </w:p>
        </w:tc>
        <w:tc>
          <w:tcPr>
            <w:tcW w:w="539" w:type="pct"/>
            <w:gridSpan w:val="2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  <w:r w:rsidRPr="00323311">
              <w:rPr>
                <w:b/>
                <w:sz w:val="20"/>
                <w:szCs w:val="20"/>
              </w:rPr>
              <w:t>*</w:t>
            </w:r>
          </w:p>
        </w:tc>
        <w:tc>
          <w:tcPr>
            <w:tcW w:w="846" w:type="pct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Young</w:t>
            </w:r>
          </w:p>
        </w:tc>
        <w:tc>
          <w:tcPr>
            <w:tcW w:w="615" w:type="pct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both"/>
              <w:rPr>
                <w:b/>
                <w:sz w:val="20"/>
                <w:szCs w:val="20"/>
              </w:rPr>
            </w:pPr>
            <w:r w:rsidRPr="00323311">
              <w:rPr>
                <w:b/>
                <w:sz w:val="20"/>
                <w:szCs w:val="20"/>
              </w:rPr>
              <w:t>Ma</w:t>
            </w:r>
            <w:r>
              <w:rPr>
                <w:b/>
                <w:sz w:val="20"/>
                <w:szCs w:val="20"/>
              </w:rPr>
              <w:t>ture</w:t>
            </w:r>
          </w:p>
        </w:tc>
        <w:tc>
          <w:tcPr>
            <w:tcW w:w="576" w:type="pct"/>
            <w:noWrap/>
            <w:vAlign w:val="bottom"/>
          </w:tcPr>
          <w:p w:rsidR="00BC7D1A" w:rsidRPr="00323311" w:rsidRDefault="00BC7D1A" w:rsidP="00960C8E">
            <w:pPr>
              <w:keepNext/>
              <w:keepLines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Average</w:t>
            </w:r>
          </w:p>
        </w:tc>
      </w:tr>
      <w:tr w:rsidR="00BC7D1A" w:rsidRPr="00323311" w:rsidTr="00005FE3">
        <w:trPr>
          <w:trHeight w:val="260"/>
        </w:trPr>
        <w:tc>
          <w:tcPr>
            <w:tcW w:w="1342" w:type="pct"/>
            <w:noWrap/>
            <w:vAlign w:val="bottom"/>
          </w:tcPr>
          <w:p w:rsidR="00BC7D1A" w:rsidRPr="00775406" w:rsidRDefault="00BC7D1A" w:rsidP="00960C8E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</w:t>
            </w:r>
          </w:p>
        </w:tc>
        <w:tc>
          <w:tcPr>
            <w:tcW w:w="410" w:type="pct"/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41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7</w:t>
            </w:r>
          </w:p>
        </w:tc>
        <w:tc>
          <w:tcPr>
            <w:tcW w:w="672" w:type="pct"/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58</w:t>
            </w:r>
            <w:r>
              <w:rPr>
                <w:bCs w:val="0"/>
                <w:sz w:val="22"/>
                <w:szCs w:val="22"/>
              </w:rPr>
              <w:t>.3</w:t>
            </w:r>
          </w:p>
        </w:tc>
        <w:tc>
          <w:tcPr>
            <w:tcW w:w="539" w:type="pct"/>
            <w:gridSpan w:val="2"/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50</w:t>
            </w:r>
            <w:r>
              <w:rPr>
                <w:bCs w:val="0"/>
                <w:sz w:val="22"/>
                <w:szCs w:val="22"/>
              </w:rPr>
              <w:t>.0ab</w:t>
            </w:r>
          </w:p>
        </w:tc>
        <w:tc>
          <w:tcPr>
            <w:tcW w:w="846" w:type="pct"/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615" w:type="pct"/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5</w:t>
            </w:r>
          </w:p>
        </w:tc>
        <w:tc>
          <w:tcPr>
            <w:tcW w:w="576" w:type="pct"/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4</w:t>
            </w:r>
          </w:p>
        </w:tc>
      </w:tr>
      <w:tr w:rsidR="00BC7D1A" w:rsidRPr="00323311" w:rsidTr="00005FE3">
        <w:trPr>
          <w:trHeight w:val="291"/>
        </w:trPr>
        <w:tc>
          <w:tcPr>
            <w:tcW w:w="1342" w:type="pct"/>
            <w:tcBorders>
              <w:bottom w:val="nil"/>
            </w:tcBorders>
            <w:noWrap/>
            <w:vAlign w:val="bottom"/>
          </w:tcPr>
          <w:p w:rsidR="00BC7D1A" w:rsidRPr="00775406" w:rsidRDefault="00BC7D1A" w:rsidP="00960C8E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Calcium Nitrate</w:t>
            </w:r>
            <w:r w:rsidRPr="00775406">
              <w:rPr>
                <w:sz w:val="20"/>
                <w:szCs w:val="20"/>
              </w:rPr>
              <w:t xml:space="preserve"> 4.2 g L</w:t>
            </w:r>
            <w:r w:rsidRPr="00775406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410" w:type="pct"/>
            <w:tcBorders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41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7</w:t>
            </w:r>
          </w:p>
        </w:tc>
        <w:tc>
          <w:tcPr>
            <w:tcW w:w="672" w:type="pct"/>
            <w:tcBorders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75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0</w:t>
            </w:r>
          </w:p>
        </w:tc>
        <w:tc>
          <w:tcPr>
            <w:tcW w:w="539" w:type="pct"/>
            <w:gridSpan w:val="2"/>
            <w:tcBorders>
              <w:bottom w:val="nil"/>
            </w:tcBorders>
            <w:noWrap/>
            <w:vAlign w:val="center"/>
          </w:tcPr>
          <w:p w:rsidR="00BC7D1A" w:rsidRPr="0038553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85535">
              <w:rPr>
                <w:bCs w:val="0"/>
                <w:sz w:val="22"/>
                <w:szCs w:val="22"/>
              </w:rPr>
              <w:t>58.3ab</w:t>
            </w:r>
          </w:p>
        </w:tc>
        <w:tc>
          <w:tcPr>
            <w:tcW w:w="846" w:type="pct"/>
            <w:tcBorders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615" w:type="pct"/>
            <w:tcBorders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5</w:t>
            </w:r>
          </w:p>
        </w:tc>
        <w:tc>
          <w:tcPr>
            <w:tcW w:w="576" w:type="pct"/>
            <w:tcBorders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4</w:t>
            </w:r>
          </w:p>
        </w:tc>
      </w:tr>
      <w:tr w:rsidR="00BC7D1A" w:rsidRPr="00323311" w:rsidTr="00005FE3">
        <w:trPr>
          <w:trHeight w:val="260"/>
        </w:trPr>
        <w:tc>
          <w:tcPr>
            <w:tcW w:w="1342" w:type="pct"/>
            <w:tcBorders>
              <w:top w:val="nil"/>
              <w:bottom w:val="nil"/>
            </w:tcBorders>
            <w:noWrap/>
            <w:vAlign w:val="bottom"/>
          </w:tcPr>
          <w:p w:rsidR="00BC7D1A" w:rsidRPr="00775406" w:rsidRDefault="00BC7D1A" w:rsidP="00960C8E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Calcium Nitrate</w:t>
            </w:r>
            <w:r w:rsidRPr="00775406">
              <w:rPr>
                <w:sz w:val="20"/>
                <w:szCs w:val="20"/>
              </w:rPr>
              <w:t xml:space="preserve"> 11.61 g L</w:t>
            </w:r>
            <w:r w:rsidRPr="00775406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410" w:type="pct"/>
            <w:tcBorders>
              <w:top w:val="nil"/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16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7</w:t>
            </w:r>
          </w:p>
        </w:tc>
        <w:tc>
          <w:tcPr>
            <w:tcW w:w="672" w:type="pct"/>
            <w:tcBorders>
              <w:top w:val="nil"/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50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0</w:t>
            </w:r>
          </w:p>
        </w:tc>
        <w:tc>
          <w:tcPr>
            <w:tcW w:w="539" w:type="pct"/>
            <w:gridSpan w:val="2"/>
            <w:tcBorders>
              <w:top w:val="nil"/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33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3</w:t>
            </w:r>
            <w:r>
              <w:rPr>
                <w:bCs w:val="0"/>
                <w:sz w:val="22"/>
                <w:szCs w:val="22"/>
              </w:rPr>
              <w:t>b</w:t>
            </w:r>
          </w:p>
        </w:tc>
        <w:tc>
          <w:tcPr>
            <w:tcW w:w="846" w:type="pct"/>
            <w:tcBorders>
              <w:top w:val="nil"/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5</w:t>
            </w:r>
          </w:p>
        </w:tc>
        <w:tc>
          <w:tcPr>
            <w:tcW w:w="615" w:type="pct"/>
            <w:tcBorders>
              <w:top w:val="nil"/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576" w:type="pct"/>
            <w:tcBorders>
              <w:top w:val="nil"/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4</w:t>
            </w:r>
          </w:p>
        </w:tc>
      </w:tr>
      <w:tr w:rsidR="00BC7D1A" w:rsidRPr="00323311" w:rsidTr="00005FE3">
        <w:trPr>
          <w:trHeight w:val="260"/>
        </w:trPr>
        <w:tc>
          <w:tcPr>
            <w:tcW w:w="1342" w:type="pct"/>
            <w:tcBorders>
              <w:top w:val="nil"/>
            </w:tcBorders>
            <w:noWrap/>
            <w:vAlign w:val="bottom"/>
          </w:tcPr>
          <w:p w:rsidR="00BC7D1A" w:rsidRPr="00775406" w:rsidRDefault="00BC7D1A" w:rsidP="00960C8E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Calcium Nitrate</w:t>
            </w:r>
            <w:r w:rsidRPr="00775406">
              <w:rPr>
                <w:sz w:val="20"/>
                <w:szCs w:val="20"/>
              </w:rPr>
              <w:t xml:space="preserve"> 17.42 g L</w:t>
            </w:r>
            <w:r w:rsidRPr="00775406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410" w:type="pct"/>
            <w:tcBorders>
              <w:top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41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7</w:t>
            </w:r>
          </w:p>
        </w:tc>
        <w:tc>
          <w:tcPr>
            <w:tcW w:w="672" w:type="pct"/>
            <w:tcBorders>
              <w:top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83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539" w:type="pct"/>
            <w:gridSpan w:val="2"/>
            <w:tcBorders>
              <w:top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62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5</w:t>
            </w:r>
            <w:r>
              <w:rPr>
                <w:bCs w:val="0"/>
                <w:sz w:val="22"/>
                <w:szCs w:val="22"/>
              </w:rPr>
              <w:t>a</w:t>
            </w:r>
          </w:p>
        </w:tc>
        <w:tc>
          <w:tcPr>
            <w:tcW w:w="846" w:type="pct"/>
            <w:tcBorders>
              <w:top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615" w:type="pct"/>
            <w:tcBorders>
              <w:top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5</w:t>
            </w:r>
          </w:p>
        </w:tc>
        <w:tc>
          <w:tcPr>
            <w:tcW w:w="576" w:type="pct"/>
            <w:tcBorders>
              <w:top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4</w:t>
            </w:r>
          </w:p>
        </w:tc>
      </w:tr>
      <w:tr w:rsidR="00BC7D1A" w:rsidRPr="00323311" w:rsidTr="00005FE3">
        <w:trPr>
          <w:trHeight w:val="260"/>
        </w:trPr>
        <w:tc>
          <w:tcPr>
            <w:tcW w:w="1342" w:type="pct"/>
            <w:tcBorders>
              <w:bottom w:val="nil"/>
            </w:tcBorders>
            <w:noWrap/>
            <w:vAlign w:val="bottom"/>
          </w:tcPr>
          <w:p w:rsidR="00BC7D1A" w:rsidRPr="00775406" w:rsidRDefault="00BC7D1A" w:rsidP="00960C8E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</w:t>
            </w:r>
            <w:r w:rsidRPr="00775406">
              <w:rPr>
                <w:sz w:val="20"/>
                <w:szCs w:val="20"/>
              </w:rPr>
              <w:t>a 2g L</w:t>
            </w:r>
            <w:r w:rsidRPr="00775406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410" w:type="pct"/>
            <w:tcBorders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33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672" w:type="pct"/>
            <w:tcBorders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58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539" w:type="pct"/>
            <w:gridSpan w:val="2"/>
            <w:tcBorders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45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8</w:t>
            </w:r>
            <w:r>
              <w:rPr>
                <w:bCs w:val="0"/>
                <w:sz w:val="22"/>
                <w:szCs w:val="22"/>
              </w:rPr>
              <w:t>ab</w:t>
            </w:r>
          </w:p>
        </w:tc>
        <w:tc>
          <w:tcPr>
            <w:tcW w:w="846" w:type="pct"/>
            <w:tcBorders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615" w:type="pct"/>
            <w:tcBorders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4</w:t>
            </w:r>
          </w:p>
        </w:tc>
        <w:tc>
          <w:tcPr>
            <w:tcW w:w="576" w:type="pct"/>
            <w:tcBorders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4</w:t>
            </w:r>
          </w:p>
        </w:tc>
      </w:tr>
      <w:tr w:rsidR="00BC7D1A" w:rsidRPr="00323311" w:rsidTr="00005FE3">
        <w:trPr>
          <w:trHeight w:val="260"/>
        </w:trPr>
        <w:tc>
          <w:tcPr>
            <w:tcW w:w="1342" w:type="pct"/>
            <w:tcBorders>
              <w:top w:val="nil"/>
              <w:bottom w:val="nil"/>
            </w:tcBorders>
            <w:noWrap/>
            <w:vAlign w:val="bottom"/>
          </w:tcPr>
          <w:p w:rsidR="00BC7D1A" w:rsidRPr="00775406" w:rsidRDefault="00BC7D1A" w:rsidP="00960C8E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</w:t>
            </w:r>
            <w:r w:rsidRPr="00775406">
              <w:rPr>
                <w:sz w:val="20"/>
                <w:szCs w:val="20"/>
              </w:rPr>
              <w:t>a 4 g L</w:t>
            </w:r>
            <w:r w:rsidRPr="00775406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410" w:type="pct"/>
            <w:tcBorders>
              <w:top w:val="nil"/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41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7</w:t>
            </w:r>
          </w:p>
        </w:tc>
        <w:tc>
          <w:tcPr>
            <w:tcW w:w="672" w:type="pct"/>
            <w:tcBorders>
              <w:top w:val="nil"/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33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539" w:type="pct"/>
            <w:gridSpan w:val="2"/>
            <w:tcBorders>
              <w:top w:val="nil"/>
              <w:bottom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37</w:t>
            </w:r>
            <w:r>
              <w:rPr>
                <w:bCs w:val="0"/>
                <w:sz w:val="22"/>
                <w:szCs w:val="22"/>
              </w:rPr>
              <w:t>.5ab</w:t>
            </w:r>
          </w:p>
        </w:tc>
        <w:tc>
          <w:tcPr>
            <w:tcW w:w="846" w:type="pct"/>
            <w:tcBorders>
              <w:top w:val="nil"/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4</w:t>
            </w:r>
          </w:p>
        </w:tc>
        <w:tc>
          <w:tcPr>
            <w:tcW w:w="615" w:type="pct"/>
            <w:tcBorders>
              <w:top w:val="nil"/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6</w:t>
            </w:r>
          </w:p>
        </w:tc>
        <w:tc>
          <w:tcPr>
            <w:tcW w:w="576" w:type="pct"/>
            <w:tcBorders>
              <w:top w:val="nil"/>
              <w:bottom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5</w:t>
            </w:r>
          </w:p>
        </w:tc>
      </w:tr>
      <w:tr w:rsidR="00BC7D1A" w:rsidRPr="00323311" w:rsidTr="00005FE3">
        <w:trPr>
          <w:trHeight w:val="260"/>
        </w:trPr>
        <w:tc>
          <w:tcPr>
            <w:tcW w:w="1342" w:type="pct"/>
            <w:tcBorders>
              <w:top w:val="nil"/>
            </w:tcBorders>
            <w:noWrap/>
            <w:vAlign w:val="bottom"/>
          </w:tcPr>
          <w:p w:rsidR="00BC7D1A" w:rsidRPr="00775406" w:rsidRDefault="00BC7D1A" w:rsidP="00960C8E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Ure</w:t>
            </w:r>
            <w:r w:rsidRPr="00775406">
              <w:rPr>
                <w:sz w:val="20"/>
                <w:szCs w:val="20"/>
              </w:rPr>
              <w:t>a 6 g L</w:t>
            </w:r>
            <w:r w:rsidRPr="00775406">
              <w:rPr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410" w:type="pct"/>
            <w:tcBorders>
              <w:top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41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7</w:t>
            </w:r>
          </w:p>
        </w:tc>
        <w:tc>
          <w:tcPr>
            <w:tcW w:w="672" w:type="pct"/>
            <w:tcBorders>
              <w:top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58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3</w:t>
            </w:r>
          </w:p>
        </w:tc>
        <w:tc>
          <w:tcPr>
            <w:tcW w:w="539" w:type="pct"/>
            <w:gridSpan w:val="2"/>
            <w:tcBorders>
              <w:top w:val="nil"/>
            </w:tcBorders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003A5">
              <w:rPr>
                <w:bCs w:val="0"/>
                <w:sz w:val="22"/>
                <w:szCs w:val="22"/>
              </w:rPr>
              <w:t>50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0</w:t>
            </w:r>
            <w:r>
              <w:rPr>
                <w:bCs w:val="0"/>
                <w:sz w:val="22"/>
                <w:szCs w:val="22"/>
              </w:rPr>
              <w:t>ab</w:t>
            </w:r>
          </w:p>
        </w:tc>
        <w:tc>
          <w:tcPr>
            <w:tcW w:w="846" w:type="pct"/>
            <w:tcBorders>
              <w:top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4</w:t>
            </w:r>
          </w:p>
        </w:tc>
        <w:tc>
          <w:tcPr>
            <w:tcW w:w="615" w:type="pct"/>
            <w:tcBorders>
              <w:top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5</w:t>
            </w:r>
          </w:p>
        </w:tc>
        <w:tc>
          <w:tcPr>
            <w:tcW w:w="576" w:type="pct"/>
            <w:tcBorders>
              <w:top w:val="nil"/>
            </w:tcBorders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4</w:t>
            </w:r>
          </w:p>
        </w:tc>
      </w:tr>
      <w:tr w:rsidR="00BC7D1A" w:rsidRPr="00323311" w:rsidTr="00005FE3">
        <w:trPr>
          <w:trHeight w:val="231"/>
        </w:trPr>
        <w:tc>
          <w:tcPr>
            <w:tcW w:w="1342" w:type="pct"/>
            <w:noWrap/>
            <w:vAlign w:val="bottom"/>
          </w:tcPr>
          <w:p w:rsidR="00BC7D1A" w:rsidRPr="00775406" w:rsidRDefault="00BC7D1A" w:rsidP="00960C8E">
            <w:pPr>
              <w:keepNext/>
              <w:keepLines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Average by branch age</w:t>
            </w:r>
            <w:r w:rsidRPr="00775406">
              <w:rPr>
                <w:sz w:val="20"/>
                <w:szCs w:val="20"/>
              </w:rPr>
              <w:t xml:space="preserve"> **</w:t>
            </w:r>
          </w:p>
        </w:tc>
        <w:tc>
          <w:tcPr>
            <w:tcW w:w="410" w:type="pct"/>
            <w:noWrap/>
            <w:vAlign w:val="center"/>
          </w:tcPr>
          <w:p w:rsidR="00BC7D1A" w:rsidRPr="00257162" w:rsidRDefault="00BC7D1A" w:rsidP="00960C8E">
            <w:pPr>
              <w:keepNext/>
              <w:keepLines/>
              <w:jc w:val="both"/>
              <w:rPr>
                <w:bCs w:val="0"/>
                <w:i/>
              </w:rPr>
            </w:pPr>
            <w:r w:rsidRPr="00A003A5">
              <w:rPr>
                <w:bCs w:val="0"/>
                <w:sz w:val="22"/>
                <w:szCs w:val="22"/>
              </w:rPr>
              <w:t>36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9</w:t>
            </w:r>
            <w:r>
              <w:rPr>
                <w:bCs w:val="0"/>
                <w:i/>
                <w:sz w:val="22"/>
                <w:szCs w:val="22"/>
              </w:rPr>
              <w:t>b</w:t>
            </w:r>
          </w:p>
        </w:tc>
        <w:tc>
          <w:tcPr>
            <w:tcW w:w="672" w:type="pct"/>
            <w:noWrap/>
            <w:vAlign w:val="center"/>
          </w:tcPr>
          <w:p w:rsidR="00BC7D1A" w:rsidRPr="00257162" w:rsidRDefault="00BC7D1A" w:rsidP="00960C8E">
            <w:pPr>
              <w:keepNext/>
              <w:keepLines/>
              <w:jc w:val="both"/>
              <w:rPr>
                <w:bCs w:val="0"/>
                <w:i/>
              </w:rPr>
            </w:pPr>
            <w:r w:rsidRPr="00A003A5">
              <w:rPr>
                <w:bCs w:val="0"/>
                <w:sz w:val="22"/>
                <w:szCs w:val="22"/>
              </w:rPr>
              <w:t>59</w:t>
            </w:r>
            <w:r>
              <w:rPr>
                <w:bCs w:val="0"/>
                <w:sz w:val="22"/>
                <w:szCs w:val="22"/>
              </w:rPr>
              <w:t>.</w:t>
            </w:r>
            <w:r w:rsidRPr="00A003A5">
              <w:rPr>
                <w:bCs w:val="0"/>
                <w:sz w:val="22"/>
                <w:szCs w:val="22"/>
              </w:rPr>
              <w:t>5</w:t>
            </w:r>
            <w:r>
              <w:rPr>
                <w:bCs w:val="0"/>
                <w:i/>
                <w:sz w:val="22"/>
                <w:szCs w:val="22"/>
              </w:rPr>
              <w:t>a</w:t>
            </w:r>
          </w:p>
        </w:tc>
        <w:tc>
          <w:tcPr>
            <w:tcW w:w="539" w:type="pct"/>
            <w:gridSpan w:val="2"/>
            <w:noWrap/>
            <w:vAlign w:val="center"/>
          </w:tcPr>
          <w:p w:rsidR="00BC7D1A" w:rsidRPr="00A003A5" w:rsidRDefault="00BC7D1A" w:rsidP="00960C8E">
            <w:pPr>
              <w:keepNext/>
              <w:keepLines/>
              <w:jc w:val="both"/>
              <w:rPr>
                <w:bCs w:val="0"/>
              </w:rPr>
            </w:pPr>
          </w:p>
        </w:tc>
        <w:tc>
          <w:tcPr>
            <w:tcW w:w="846" w:type="pct"/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3</w:t>
            </w:r>
            <w:r>
              <w:rPr>
                <w:bCs w:val="0"/>
                <w:sz w:val="22"/>
                <w:szCs w:val="22"/>
              </w:rPr>
              <w:t>.</w:t>
            </w:r>
            <w:r w:rsidRPr="00323311">
              <w:rPr>
                <w:bCs w:val="0"/>
                <w:sz w:val="22"/>
                <w:szCs w:val="22"/>
              </w:rPr>
              <w:t>31</w:t>
            </w:r>
            <w:r w:rsidRPr="003438C9">
              <w:rPr>
                <w:bCs w:val="0"/>
                <w:i/>
                <w:sz w:val="22"/>
                <w:szCs w:val="22"/>
              </w:rPr>
              <w:t>b</w:t>
            </w:r>
          </w:p>
        </w:tc>
        <w:tc>
          <w:tcPr>
            <w:tcW w:w="615" w:type="pct"/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323311">
              <w:rPr>
                <w:bCs w:val="0"/>
                <w:sz w:val="22"/>
                <w:szCs w:val="22"/>
              </w:rPr>
              <w:t>4</w:t>
            </w:r>
            <w:r>
              <w:rPr>
                <w:bCs w:val="0"/>
                <w:sz w:val="22"/>
                <w:szCs w:val="22"/>
              </w:rPr>
              <w:t>.</w:t>
            </w:r>
            <w:r w:rsidRPr="00323311">
              <w:rPr>
                <w:bCs w:val="0"/>
                <w:sz w:val="22"/>
                <w:szCs w:val="22"/>
              </w:rPr>
              <w:t>68</w:t>
            </w:r>
            <w:r>
              <w:rPr>
                <w:bCs w:val="0"/>
                <w:i/>
                <w:sz w:val="22"/>
                <w:szCs w:val="22"/>
              </w:rPr>
              <w:t>a</w:t>
            </w:r>
          </w:p>
        </w:tc>
        <w:tc>
          <w:tcPr>
            <w:tcW w:w="576" w:type="pct"/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</w:p>
        </w:tc>
      </w:tr>
      <w:tr w:rsidR="00BC7D1A" w:rsidRPr="00323311" w:rsidTr="00005FE3">
        <w:trPr>
          <w:trHeight w:val="231"/>
        </w:trPr>
        <w:tc>
          <w:tcPr>
            <w:tcW w:w="1342" w:type="pct"/>
            <w:noWrap/>
            <w:vAlign w:val="bottom"/>
          </w:tcPr>
          <w:p w:rsidR="00BC7D1A" w:rsidRPr="00775406" w:rsidRDefault="00BC7D1A" w:rsidP="00960C8E">
            <w:pPr>
              <w:keepNext/>
              <w:keepLines/>
              <w:jc w:val="both"/>
              <w:rPr>
                <w:sz w:val="20"/>
                <w:szCs w:val="20"/>
              </w:rPr>
            </w:pPr>
            <w:r w:rsidRPr="00775406">
              <w:rPr>
                <w:sz w:val="20"/>
                <w:szCs w:val="20"/>
              </w:rPr>
              <w:t>CV%</w:t>
            </w:r>
          </w:p>
        </w:tc>
        <w:tc>
          <w:tcPr>
            <w:tcW w:w="1621" w:type="pct"/>
            <w:gridSpan w:val="4"/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8.8</w:t>
            </w:r>
          </w:p>
        </w:tc>
        <w:tc>
          <w:tcPr>
            <w:tcW w:w="2037" w:type="pct"/>
            <w:gridSpan w:val="3"/>
            <w:noWrap/>
            <w:vAlign w:val="center"/>
          </w:tcPr>
          <w:p w:rsidR="00BC7D1A" w:rsidRPr="00323311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62.3</w:t>
            </w:r>
          </w:p>
        </w:tc>
      </w:tr>
    </w:tbl>
    <w:p w:rsidR="00BC7D1A" w:rsidRPr="00DE1E04" w:rsidRDefault="00BC7D1A" w:rsidP="00960C8E">
      <w:pPr>
        <w:jc w:val="both"/>
        <w:rPr>
          <w:lang w:val="en-US"/>
        </w:rPr>
      </w:pPr>
      <w:r w:rsidRPr="00DE1E04">
        <w:rPr>
          <w:lang w:val="en-US"/>
        </w:rPr>
        <w:t>* Averages followed by the same letter by column do not differ statically by the Tukey te</w:t>
      </w:r>
      <w:r>
        <w:rPr>
          <w:lang w:val="en-US"/>
        </w:rPr>
        <w:t xml:space="preserve">st for </w:t>
      </w:r>
      <w:r w:rsidRPr="00DE1E04">
        <w:rPr>
          <w:lang w:val="en-US"/>
        </w:rPr>
        <w:t>(</w:t>
      </w:r>
      <w:r w:rsidRPr="003F2D66">
        <w:t>α</w:t>
      </w:r>
      <w:r w:rsidRPr="00DE1E04">
        <w:rPr>
          <w:lang w:val="en-US"/>
        </w:rPr>
        <w:t>=0.05). **</w:t>
      </w:r>
      <w:r>
        <w:rPr>
          <w:lang w:val="en-US"/>
        </w:rPr>
        <w:t xml:space="preserve"> </w:t>
      </w:r>
      <w:r w:rsidRPr="00DE1E04">
        <w:rPr>
          <w:lang w:val="en-US"/>
        </w:rPr>
        <w:t>Idem by line for the parameter age of used branch.</w:t>
      </w:r>
    </w:p>
    <w:p w:rsidR="00BC7D1A" w:rsidRDefault="00BC7D1A" w:rsidP="00960C8E">
      <w:pPr>
        <w:jc w:val="both"/>
        <w:rPr>
          <w:b/>
          <w:lang w:val="en-US"/>
        </w:rPr>
      </w:pPr>
    </w:p>
    <w:p w:rsidR="00BC7D1A" w:rsidRPr="00DE1E04" w:rsidRDefault="00BC7D1A" w:rsidP="00960C8E">
      <w:pPr>
        <w:keepNext/>
        <w:keepLines/>
        <w:jc w:val="both"/>
        <w:rPr>
          <w:lang w:val="en-US"/>
        </w:rPr>
      </w:pPr>
      <w:r w:rsidRPr="00DE1E04">
        <w:rPr>
          <w:b/>
          <w:szCs w:val="22"/>
          <w:lang w:val="en-US"/>
        </w:rPr>
        <w:t>Table 3:</w:t>
      </w:r>
      <w:r w:rsidRPr="00DE1E04">
        <w:rPr>
          <w:szCs w:val="22"/>
          <w:lang w:val="en-US"/>
        </w:rPr>
        <w:t xml:space="preserve"> Correlation analysis between evaluated parameters in cuttings mature </w:t>
      </w:r>
      <w:r>
        <w:rPr>
          <w:szCs w:val="22"/>
          <w:lang w:val="en-US"/>
        </w:rPr>
        <w:t xml:space="preserve">stems </w:t>
      </w:r>
      <w:r w:rsidRPr="00DE1E04">
        <w:rPr>
          <w:szCs w:val="22"/>
          <w:lang w:val="en-US"/>
        </w:rPr>
        <w:t>.</w:t>
      </w:r>
    </w:p>
    <w:tbl>
      <w:tblPr>
        <w:tblW w:w="9015" w:type="dxa"/>
        <w:tblInd w:w="55" w:type="dxa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940"/>
        <w:gridCol w:w="1135"/>
        <w:gridCol w:w="1260"/>
        <w:gridCol w:w="1620"/>
        <w:gridCol w:w="900"/>
        <w:gridCol w:w="2160"/>
      </w:tblGrid>
      <w:tr w:rsidR="00BC7D1A" w:rsidRPr="00AD759B" w:rsidTr="006D4B89">
        <w:trPr>
          <w:trHeight w:val="255"/>
        </w:trPr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DE1E04" w:rsidRDefault="00BC7D1A" w:rsidP="00960C8E">
            <w:pPr>
              <w:keepNext/>
              <w:keepLines/>
              <w:jc w:val="both"/>
              <w:rPr>
                <w:bCs w:val="0"/>
                <w:lang w:val="en-US"/>
              </w:rPr>
            </w:pPr>
          </w:p>
        </w:tc>
        <w:tc>
          <w:tcPr>
            <w:tcW w:w="1135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  <w:lang w:val="en-US"/>
              </w:rPr>
            </w:pPr>
            <w:r w:rsidRPr="00B608B1">
              <w:rPr>
                <w:bCs w:val="0"/>
                <w:sz w:val="22"/>
                <w:szCs w:val="22"/>
                <w:lang w:val="en-US"/>
              </w:rPr>
              <w:t>Theoretic N level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B608B1">
              <w:rPr>
                <w:bCs w:val="0"/>
                <w:sz w:val="22"/>
                <w:szCs w:val="22"/>
              </w:rPr>
              <w:t>Proportion of sucessfull cuttings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  <w:lang w:val="en-US"/>
              </w:rPr>
            </w:pPr>
            <w:r w:rsidRPr="00B608B1">
              <w:rPr>
                <w:sz w:val="22"/>
                <w:szCs w:val="22"/>
                <w:lang w:val="en-US"/>
              </w:rPr>
              <w:t>Proportion of rotten cutting stalks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B608B1">
              <w:rPr>
                <w:bCs w:val="0"/>
                <w:sz w:val="22"/>
                <w:szCs w:val="22"/>
              </w:rPr>
              <w:t>Vigor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B608B1">
              <w:rPr>
                <w:bCs w:val="0"/>
                <w:sz w:val="22"/>
                <w:szCs w:val="22"/>
              </w:rPr>
              <w:t>Root length</w:t>
            </w:r>
          </w:p>
        </w:tc>
      </w:tr>
      <w:tr w:rsidR="00BC7D1A" w:rsidRPr="00AD759B" w:rsidTr="006D4B89">
        <w:trPr>
          <w:trHeight w:val="255"/>
        </w:trPr>
        <w:tc>
          <w:tcPr>
            <w:tcW w:w="1940" w:type="dxa"/>
            <w:tcBorders>
              <w:top w:val="single" w:sz="4" w:space="0" w:color="auto"/>
            </w:tcBorders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B608B1">
              <w:rPr>
                <w:bCs w:val="0"/>
                <w:sz w:val="22"/>
                <w:szCs w:val="22"/>
                <w:lang w:val="en-US"/>
              </w:rPr>
              <w:t>Theoretic N level</w:t>
            </w:r>
          </w:p>
        </w:tc>
        <w:tc>
          <w:tcPr>
            <w:tcW w:w="1135" w:type="dxa"/>
            <w:tcBorders>
              <w:top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  <w:tc>
          <w:tcPr>
            <w:tcW w:w="900" w:type="dxa"/>
            <w:tcBorders>
              <w:top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</w:tr>
      <w:tr w:rsidR="00BC7D1A" w:rsidRPr="00AD759B" w:rsidTr="006D4B89">
        <w:trPr>
          <w:trHeight w:val="255"/>
        </w:trPr>
        <w:tc>
          <w:tcPr>
            <w:tcW w:w="1940" w:type="dxa"/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B608B1">
              <w:rPr>
                <w:bCs w:val="0"/>
                <w:sz w:val="22"/>
                <w:szCs w:val="22"/>
              </w:rPr>
              <w:t>Proportion of sucessfull cuttings</w:t>
            </w:r>
          </w:p>
        </w:tc>
        <w:tc>
          <w:tcPr>
            <w:tcW w:w="1135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0.06</w:t>
            </w:r>
            <w:r w:rsidRPr="00320A0C">
              <w:rPr>
                <w:szCs w:val="22"/>
                <w:vertAlign w:val="superscript"/>
              </w:rPr>
              <w:t>ns</w:t>
            </w:r>
          </w:p>
        </w:tc>
        <w:tc>
          <w:tcPr>
            <w:tcW w:w="126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1</w:t>
            </w:r>
          </w:p>
        </w:tc>
        <w:tc>
          <w:tcPr>
            <w:tcW w:w="162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  <w:tc>
          <w:tcPr>
            <w:tcW w:w="90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  <w:tc>
          <w:tcPr>
            <w:tcW w:w="216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</w:tr>
      <w:tr w:rsidR="00BC7D1A" w:rsidRPr="00AD759B" w:rsidTr="006D4B89">
        <w:trPr>
          <w:trHeight w:val="255"/>
        </w:trPr>
        <w:tc>
          <w:tcPr>
            <w:tcW w:w="1940" w:type="dxa"/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  <w:lang w:val="en-US"/>
              </w:rPr>
            </w:pPr>
            <w:r w:rsidRPr="00B608B1">
              <w:rPr>
                <w:sz w:val="22"/>
                <w:szCs w:val="22"/>
                <w:lang w:val="en-US"/>
              </w:rPr>
              <w:t>Proportion of rotten cutting stalks</w:t>
            </w:r>
          </w:p>
        </w:tc>
        <w:tc>
          <w:tcPr>
            <w:tcW w:w="1135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0.14</w:t>
            </w:r>
            <w:r w:rsidRPr="00320A0C">
              <w:rPr>
                <w:szCs w:val="22"/>
                <w:vertAlign w:val="superscript"/>
              </w:rPr>
              <w:t>ns</w:t>
            </w:r>
          </w:p>
        </w:tc>
        <w:tc>
          <w:tcPr>
            <w:tcW w:w="126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-0.58*</w:t>
            </w:r>
          </w:p>
        </w:tc>
        <w:tc>
          <w:tcPr>
            <w:tcW w:w="162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1</w:t>
            </w:r>
          </w:p>
        </w:tc>
        <w:tc>
          <w:tcPr>
            <w:tcW w:w="90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  <w:tc>
          <w:tcPr>
            <w:tcW w:w="216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</w:tr>
      <w:tr w:rsidR="00BC7D1A" w:rsidRPr="00AD759B" w:rsidTr="006D4B89">
        <w:trPr>
          <w:trHeight w:val="255"/>
        </w:trPr>
        <w:tc>
          <w:tcPr>
            <w:tcW w:w="1940" w:type="dxa"/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B608B1">
              <w:rPr>
                <w:bCs w:val="0"/>
                <w:sz w:val="22"/>
                <w:szCs w:val="22"/>
              </w:rPr>
              <w:t>Vigor</w:t>
            </w:r>
          </w:p>
        </w:tc>
        <w:tc>
          <w:tcPr>
            <w:tcW w:w="1135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0.08</w:t>
            </w:r>
            <w:r w:rsidRPr="00320A0C">
              <w:rPr>
                <w:szCs w:val="22"/>
                <w:vertAlign w:val="superscript"/>
              </w:rPr>
              <w:t>ns</w:t>
            </w:r>
          </w:p>
        </w:tc>
        <w:tc>
          <w:tcPr>
            <w:tcW w:w="126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0.5</w:t>
            </w:r>
            <w:r>
              <w:rPr>
                <w:bCs w:val="0"/>
                <w:sz w:val="22"/>
                <w:szCs w:val="22"/>
              </w:rPr>
              <w:t>5</w:t>
            </w:r>
            <w:r w:rsidRPr="00AD759B">
              <w:rPr>
                <w:bCs w:val="0"/>
                <w:sz w:val="22"/>
                <w:szCs w:val="22"/>
              </w:rPr>
              <w:t>*</w:t>
            </w:r>
          </w:p>
        </w:tc>
        <w:tc>
          <w:tcPr>
            <w:tcW w:w="162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-0.56</w:t>
            </w:r>
            <w:r w:rsidRPr="00AD759B">
              <w:rPr>
                <w:bCs w:val="0"/>
                <w:sz w:val="22"/>
                <w:szCs w:val="22"/>
              </w:rPr>
              <w:t>*</w:t>
            </w:r>
          </w:p>
        </w:tc>
        <w:tc>
          <w:tcPr>
            <w:tcW w:w="90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1</w:t>
            </w:r>
          </w:p>
        </w:tc>
        <w:tc>
          <w:tcPr>
            <w:tcW w:w="2160" w:type="dxa"/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---</w:t>
            </w:r>
          </w:p>
        </w:tc>
      </w:tr>
      <w:tr w:rsidR="00BC7D1A" w:rsidRPr="00AD759B" w:rsidTr="006D4B89">
        <w:trPr>
          <w:trHeight w:val="255"/>
        </w:trPr>
        <w:tc>
          <w:tcPr>
            <w:tcW w:w="1940" w:type="dxa"/>
            <w:tcBorders>
              <w:bottom w:val="single" w:sz="4" w:space="0" w:color="auto"/>
            </w:tcBorders>
            <w:noWrap/>
            <w:vAlign w:val="bottom"/>
          </w:tcPr>
          <w:p w:rsidR="00BC7D1A" w:rsidRPr="00B608B1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B608B1">
              <w:rPr>
                <w:bCs w:val="0"/>
                <w:sz w:val="22"/>
                <w:szCs w:val="22"/>
              </w:rPr>
              <w:t>Root length</w:t>
            </w:r>
          </w:p>
        </w:tc>
        <w:tc>
          <w:tcPr>
            <w:tcW w:w="1135" w:type="dxa"/>
            <w:tcBorders>
              <w:bottom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-0.44</w:t>
            </w:r>
            <w:r w:rsidRPr="00AD759B">
              <w:rPr>
                <w:bCs w:val="0"/>
                <w:sz w:val="22"/>
                <w:szCs w:val="22"/>
              </w:rPr>
              <w:t>*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-0.22</w:t>
            </w:r>
            <w:r w:rsidRPr="00320A0C">
              <w:rPr>
                <w:szCs w:val="22"/>
                <w:vertAlign w:val="superscript"/>
              </w:rPr>
              <w:t>ns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-0.02</w:t>
            </w:r>
            <w:r w:rsidRPr="00320A0C">
              <w:rPr>
                <w:szCs w:val="22"/>
                <w:vertAlign w:val="superscript"/>
              </w:rPr>
              <w:t>ns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>
              <w:rPr>
                <w:bCs w:val="0"/>
                <w:sz w:val="22"/>
                <w:szCs w:val="22"/>
              </w:rPr>
              <w:t>-0.13</w:t>
            </w:r>
            <w:r w:rsidRPr="00320A0C">
              <w:rPr>
                <w:szCs w:val="22"/>
                <w:vertAlign w:val="superscript"/>
              </w:rPr>
              <w:t>ns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noWrap/>
            <w:vAlign w:val="bottom"/>
          </w:tcPr>
          <w:p w:rsidR="00BC7D1A" w:rsidRPr="00AD759B" w:rsidRDefault="00BC7D1A" w:rsidP="00960C8E">
            <w:pPr>
              <w:keepNext/>
              <w:keepLines/>
              <w:jc w:val="both"/>
              <w:rPr>
                <w:bCs w:val="0"/>
              </w:rPr>
            </w:pPr>
            <w:r w:rsidRPr="00AD759B">
              <w:rPr>
                <w:bCs w:val="0"/>
                <w:sz w:val="22"/>
                <w:szCs w:val="22"/>
              </w:rPr>
              <w:t>1</w:t>
            </w:r>
          </w:p>
        </w:tc>
      </w:tr>
    </w:tbl>
    <w:p w:rsidR="00BC7D1A" w:rsidRPr="00DE1E04" w:rsidRDefault="00BC7D1A" w:rsidP="00960C8E">
      <w:pPr>
        <w:keepNext/>
        <w:keepLines/>
        <w:ind w:left="1080" w:hanging="1080"/>
        <w:jc w:val="both"/>
        <w:rPr>
          <w:sz w:val="22"/>
          <w:szCs w:val="22"/>
          <w:lang w:val="en-US"/>
        </w:rPr>
      </w:pPr>
      <w:r w:rsidRPr="00DE1E04">
        <w:rPr>
          <w:szCs w:val="22"/>
          <w:lang w:val="en-US"/>
        </w:rPr>
        <w:t>*Values wit</w:t>
      </w:r>
      <w:r>
        <w:rPr>
          <w:szCs w:val="22"/>
          <w:lang w:val="en-US"/>
        </w:rPr>
        <w:t xml:space="preserve">h </w:t>
      </w:r>
      <w:r w:rsidRPr="00DE1E04">
        <w:rPr>
          <w:szCs w:val="22"/>
          <w:lang w:val="en-US"/>
        </w:rPr>
        <w:t xml:space="preserve">statistical </w:t>
      </w:r>
      <w:r>
        <w:rPr>
          <w:szCs w:val="22"/>
          <w:lang w:val="en-US"/>
        </w:rPr>
        <w:t>difference</w:t>
      </w:r>
      <w:r w:rsidRPr="00DE1E04">
        <w:rPr>
          <w:sz w:val="22"/>
          <w:szCs w:val="22"/>
          <w:lang w:val="en-US"/>
        </w:rPr>
        <w:t>.</w:t>
      </w:r>
    </w:p>
    <w:p w:rsidR="00BC7D1A" w:rsidRPr="00DE1E04" w:rsidRDefault="00BC7D1A" w:rsidP="00960C8E">
      <w:pPr>
        <w:keepNext/>
        <w:keepLines/>
        <w:jc w:val="both"/>
        <w:rPr>
          <w:szCs w:val="22"/>
          <w:lang w:val="en-US"/>
        </w:rPr>
      </w:pPr>
      <w:r w:rsidRPr="00DE1E04">
        <w:rPr>
          <w:szCs w:val="22"/>
          <w:vertAlign w:val="superscript"/>
          <w:lang w:val="en-US"/>
        </w:rPr>
        <w:t>ns</w:t>
      </w:r>
      <w:r w:rsidRPr="00DE1E04">
        <w:rPr>
          <w:szCs w:val="22"/>
          <w:lang w:val="en-US"/>
        </w:rPr>
        <w:t>Values wit</w:t>
      </w:r>
      <w:r>
        <w:rPr>
          <w:szCs w:val="22"/>
          <w:lang w:val="en-US"/>
        </w:rPr>
        <w:t>h</w:t>
      </w:r>
      <w:r w:rsidRPr="00DE1E04">
        <w:rPr>
          <w:szCs w:val="22"/>
          <w:lang w:val="en-US"/>
        </w:rPr>
        <w:t xml:space="preserve">out statistical </w:t>
      </w:r>
      <w:r>
        <w:rPr>
          <w:szCs w:val="22"/>
          <w:lang w:val="en-US"/>
        </w:rPr>
        <w:t>difference</w:t>
      </w:r>
      <w:r w:rsidRPr="00DE1E04">
        <w:rPr>
          <w:szCs w:val="22"/>
          <w:lang w:val="en-US"/>
        </w:rPr>
        <w:t xml:space="preserve"> </w:t>
      </w:r>
      <w:r w:rsidRPr="00CB6902">
        <w:rPr>
          <w:szCs w:val="22"/>
        </w:rPr>
        <w:t>α</w:t>
      </w:r>
      <w:r w:rsidRPr="00DE1E04">
        <w:rPr>
          <w:szCs w:val="22"/>
          <w:lang w:val="en-US"/>
        </w:rPr>
        <w:t>=0.05.</w:t>
      </w:r>
    </w:p>
    <w:p w:rsidR="00BC7D1A" w:rsidRPr="00DE1E04" w:rsidRDefault="00BC7D1A" w:rsidP="00960C8E">
      <w:pPr>
        <w:jc w:val="both"/>
        <w:rPr>
          <w:b/>
          <w:lang w:val="en-US"/>
        </w:rPr>
      </w:pPr>
    </w:p>
    <w:p w:rsidR="00BC7D1A" w:rsidRPr="00DE1E04" w:rsidRDefault="00BC7D1A" w:rsidP="00960C8E">
      <w:pPr>
        <w:jc w:val="both"/>
        <w:rPr>
          <w:lang w:val="en-US"/>
        </w:rPr>
      </w:pPr>
      <w:r w:rsidRPr="005373C7">
        <w:rPr>
          <w:b/>
          <w:lang w:val="en-US"/>
        </w:rPr>
        <w:t>Table 4.</w:t>
      </w:r>
      <w:r w:rsidRPr="005373C7">
        <w:rPr>
          <w:lang w:val="en-US"/>
        </w:rPr>
        <w:t xml:space="preserve"> </w:t>
      </w:r>
      <w:r w:rsidRPr="00DE1E04">
        <w:rPr>
          <w:lang w:val="en-US"/>
        </w:rPr>
        <w:t>An</w:t>
      </w:r>
      <w:r>
        <w:rPr>
          <w:lang w:val="en-US"/>
        </w:rPr>
        <w:t>a</w:t>
      </w:r>
      <w:r w:rsidRPr="00DE1E04">
        <w:rPr>
          <w:lang w:val="en-US"/>
        </w:rPr>
        <w:t>lysis of variance for the parameters</w:t>
      </w:r>
      <w:r>
        <w:rPr>
          <w:lang w:val="en-US"/>
        </w:rPr>
        <w:t>:</w:t>
      </w:r>
      <w:r w:rsidRPr="00DE1E04">
        <w:rPr>
          <w:lang w:val="en-US"/>
        </w:rPr>
        <w:t xml:space="preserve"> </w:t>
      </w:r>
      <w:r w:rsidRPr="00953B78">
        <w:rPr>
          <w:lang w:val="en-US"/>
        </w:rPr>
        <w:t xml:space="preserve">shoot height, length of </w:t>
      </w:r>
      <w:r>
        <w:rPr>
          <w:lang w:val="en-US"/>
        </w:rPr>
        <w:t xml:space="preserve">the biggest </w:t>
      </w:r>
      <w:r w:rsidRPr="00953B78">
        <w:rPr>
          <w:lang w:val="en-US"/>
        </w:rPr>
        <w:t>roots and number of roots</w:t>
      </w:r>
      <w:r>
        <w:rPr>
          <w:lang w:val="en-US"/>
        </w:rPr>
        <w:t xml:space="preserve"> and proportion of successful cuttings </w:t>
      </w:r>
      <w:r w:rsidRPr="00DE1E04">
        <w:rPr>
          <w:lang w:val="en-US"/>
        </w:rPr>
        <w:t>in</w:t>
      </w:r>
      <w:r>
        <w:rPr>
          <w:lang w:val="en-US"/>
        </w:rPr>
        <w:t xml:space="preserve"> function of the application of Salicylic acid</w:t>
      </w:r>
      <w:r w:rsidRPr="00DE1E04">
        <w:rPr>
          <w:lang w:val="en-US"/>
        </w:rPr>
        <w:t>.</w:t>
      </w:r>
    </w:p>
    <w:tbl>
      <w:tblPr>
        <w:tblW w:w="6746" w:type="dxa"/>
        <w:tblInd w:w="55" w:type="dxa"/>
        <w:tblCellMar>
          <w:left w:w="70" w:type="dxa"/>
          <w:right w:w="70" w:type="dxa"/>
        </w:tblCellMar>
        <w:tblLook w:val="00A0"/>
      </w:tblPr>
      <w:tblGrid>
        <w:gridCol w:w="2686"/>
        <w:gridCol w:w="960"/>
        <w:gridCol w:w="1000"/>
        <w:gridCol w:w="1120"/>
        <w:gridCol w:w="980"/>
      </w:tblGrid>
      <w:tr w:rsidR="00BC7D1A" w:rsidRPr="00A1558E" w:rsidTr="00010AAE">
        <w:trPr>
          <w:trHeight w:val="300"/>
        </w:trPr>
        <w:tc>
          <w:tcPr>
            <w:tcW w:w="2686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Parâmetro</w:t>
            </w:r>
          </w:p>
        </w:tc>
        <w:tc>
          <w:tcPr>
            <w:tcW w:w="96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GL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QM</w:t>
            </w:r>
          </w:p>
        </w:tc>
        <w:tc>
          <w:tcPr>
            <w:tcW w:w="112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F</w:t>
            </w:r>
          </w:p>
        </w:tc>
        <w:tc>
          <w:tcPr>
            <w:tcW w:w="980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p</w:t>
            </w:r>
          </w:p>
        </w:tc>
      </w:tr>
      <w:tr w:rsidR="00BC7D1A" w:rsidRPr="00A1558E" w:rsidTr="00010AAE">
        <w:trPr>
          <w:trHeight w:val="300"/>
        </w:trPr>
        <w:tc>
          <w:tcPr>
            <w:tcW w:w="2686" w:type="dxa"/>
            <w:tcBorders>
              <w:top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>
              <w:t>Comprimento</w:t>
            </w:r>
            <w:r w:rsidRPr="00A1558E">
              <w:t xml:space="preserve"> da parte aérea</w:t>
            </w:r>
          </w:p>
        </w:tc>
        <w:tc>
          <w:tcPr>
            <w:tcW w:w="960" w:type="dxa"/>
            <w:tcBorders>
              <w:top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133.202</w:t>
            </w:r>
          </w:p>
        </w:tc>
        <w:tc>
          <w:tcPr>
            <w:tcW w:w="1120" w:type="dxa"/>
            <w:tcBorders>
              <w:top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  <w:vertAlign w:val="superscript"/>
              </w:rPr>
            </w:pPr>
            <w:r w:rsidRPr="00A1558E">
              <w:rPr>
                <w:color w:val="000000"/>
              </w:rPr>
              <w:t>0.468</w:t>
            </w:r>
          </w:p>
        </w:tc>
        <w:tc>
          <w:tcPr>
            <w:tcW w:w="980" w:type="dxa"/>
            <w:tcBorders>
              <w:top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  <w:vertAlign w:val="superscript"/>
              </w:rPr>
            </w:pPr>
            <w:r w:rsidRPr="00A1558E">
              <w:rPr>
                <w:color w:val="000000"/>
              </w:rPr>
              <w:t>0.709</w:t>
            </w:r>
            <w:r w:rsidRPr="00A1558E">
              <w:rPr>
                <w:color w:val="000000"/>
                <w:vertAlign w:val="superscript"/>
              </w:rPr>
              <w:t>ns</w:t>
            </w:r>
          </w:p>
        </w:tc>
      </w:tr>
      <w:tr w:rsidR="00BC7D1A" w:rsidRPr="00A1558E" w:rsidTr="00010AAE">
        <w:trPr>
          <w:trHeight w:val="300"/>
        </w:trPr>
        <w:tc>
          <w:tcPr>
            <w:tcW w:w="2686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>
              <w:t>Comprimento</w:t>
            </w:r>
            <w:r w:rsidRPr="00A1558E">
              <w:t xml:space="preserve"> de raízes</w:t>
            </w:r>
          </w:p>
        </w:tc>
        <w:tc>
          <w:tcPr>
            <w:tcW w:w="960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3</w:t>
            </w:r>
          </w:p>
        </w:tc>
        <w:tc>
          <w:tcPr>
            <w:tcW w:w="1000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76.376</w:t>
            </w:r>
          </w:p>
        </w:tc>
        <w:tc>
          <w:tcPr>
            <w:tcW w:w="1120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  <w:vertAlign w:val="superscript"/>
              </w:rPr>
            </w:pPr>
            <w:r w:rsidRPr="00A1558E">
              <w:rPr>
                <w:color w:val="000000"/>
              </w:rPr>
              <w:t>0.406</w:t>
            </w:r>
          </w:p>
        </w:tc>
        <w:tc>
          <w:tcPr>
            <w:tcW w:w="980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  <w:vertAlign w:val="superscript"/>
              </w:rPr>
            </w:pPr>
            <w:r w:rsidRPr="00A1558E">
              <w:rPr>
                <w:color w:val="000000"/>
              </w:rPr>
              <w:t>0.750</w:t>
            </w:r>
            <w:r w:rsidRPr="00A1558E">
              <w:rPr>
                <w:color w:val="000000"/>
                <w:vertAlign w:val="superscript"/>
              </w:rPr>
              <w:t>ns</w:t>
            </w:r>
          </w:p>
        </w:tc>
      </w:tr>
      <w:tr w:rsidR="00BC7D1A" w:rsidRPr="00A1558E" w:rsidTr="00010AAE">
        <w:trPr>
          <w:trHeight w:val="300"/>
        </w:trPr>
        <w:tc>
          <w:tcPr>
            <w:tcW w:w="2686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>
              <w:t>N</w:t>
            </w:r>
            <w:r w:rsidRPr="00A1558E">
              <w:t>úmero d</w:t>
            </w:r>
            <w:r>
              <w:t>e raízes</w:t>
            </w:r>
          </w:p>
        </w:tc>
        <w:tc>
          <w:tcPr>
            <w:tcW w:w="960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3</w:t>
            </w:r>
          </w:p>
        </w:tc>
        <w:tc>
          <w:tcPr>
            <w:tcW w:w="1000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1.801</w:t>
            </w:r>
          </w:p>
        </w:tc>
        <w:tc>
          <w:tcPr>
            <w:tcW w:w="1120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  <w:vertAlign w:val="superscript"/>
              </w:rPr>
            </w:pPr>
            <w:r w:rsidRPr="00A1558E">
              <w:rPr>
                <w:color w:val="000000"/>
              </w:rPr>
              <w:t>0.973</w:t>
            </w:r>
          </w:p>
        </w:tc>
        <w:tc>
          <w:tcPr>
            <w:tcW w:w="980" w:type="dxa"/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  <w:vertAlign w:val="superscript"/>
              </w:rPr>
            </w:pPr>
            <w:r w:rsidRPr="00A1558E">
              <w:rPr>
                <w:color w:val="000000"/>
              </w:rPr>
              <w:t>0.429</w:t>
            </w:r>
            <w:r w:rsidRPr="00A1558E">
              <w:rPr>
                <w:color w:val="000000"/>
                <w:vertAlign w:val="superscript"/>
              </w:rPr>
              <w:t>ns</w:t>
            </w:r>
          </w:p>
        </w:tc>
      </w:tr>
      <w:tr w:rsidR="00BC7D1A" w:rsidRPr="00A1558E" w:rsidTr="00010AAE">
        <w:trPr>
          <w:trHeight w:val="300"/>
        </w:trPr>
        <w:tc>
          <w:tcPr>
            <w:tcW w:w="2686" w:type="dxa"/>
            <w:tcBorders>
              <w:bottom w:val="single" w:sz="4" w:space="0" w:color="auto"/>
            </w:tcBorders>
            <w:noWrap/>
            <w:vAlign w:val="bottom"/>
          </w:tcPr>
          <w:p w:rsidR="00BC7D1A" w:rsidRDefault="00BC7D1A" w:rsidP="00960C8E">
            <w:pPr>
              <w:jc w:val="both"/>
            </w:pPr>
            <w:r>
              <w:t>Proporção de brotamento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000" w:type="dxa"/>
            <w:tcBorders>
              <w:bottom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0.035</w:t>
            </w:r>
          </w:p>
        </w:tc>
        <w:tc>
          <w:tcPr>
            <w:tcW w:w="1120" w:type="dxa"/>
            <w:tcBorders>
              <w:bottom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3.846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noWrap/>
            <w:vAlign w:val="bottom"/>
          </w:tcPr>
          <w:p w:rsidR="00BC7D1A" w:rsidRPr="00A1558E" w:rsidRDefault="00BC7D1A" w:rsidP="00960C8E">
            <w:pPr>
              <w:jc w:val="both"/>
              <w:rPr>
                <w:color w:val="000000"/>
              </w:rPr>
            </w:pPr>
            <w:r w:rsidRPr="00A1558E">
              <w:rPr>
                <w:color w:val="000000"/>
              </w:rPr>
              <w:t>0.029*</w:t>
            </w:r>
          </w:p>
        </w:tc>
      </w:tr>
    </w:tbl>
    <w:p w:rsidR="00BC7D1A" w:rsidRPr="00DE1E04" w:rsidRDefault="00BC7D1A" w:rsidP="00960C8E">
      <w:pPr>
        <w:keepNext/>
        <w:keepLines/>
        <w:ind w:left="1080" w:hanging="1080"/>
        <w:jc w:val="both"/>
        <w:rPr>
          <w:sz w:val="22"/>
          <w:szCs w:val="22"/>
          <w:lang w:val="en-US"/>
        </w:rPr>
      </w:pPr>
      <w:r w:rsidRPr="00DE1E04">
        <w:rPr>
          <w:szCs w:val="22"/>
          <w:lang w:val="en-US"/>
        </w:rPr>
        <w:t>*Values wit</w:t>
      </w:r>
      <w:r>
        <w:rPr>
          <w:szCs w:val="22"/>
          <w:lang w:val="en-US"/>
        </w:rPr>
        <w:t xml:space="preserve">h </w:t>
      </w:r>
      <w:r w:rsidRPr="00DE1E04">
        <w:rPr>
          <w:szCs w:val="22"/>
          <w:lang w:val="en-US"/>
        </w:rPr>
        <w:t xml:space="preserve">statistical </w:t>
      </w:r>
      <w:r>
        <w:rPr>
          <w:szCs w:val="22"/>
          <w:lang w:val="en-US"/>
        </w:rPr>
        <w:t>difference</w:t>
      </w:r>
      <w:r w:rsidRPr="00DE1E04">
        <w:rPr>
          <w:sz w:val="22"/>
          <w:szCs w:val="22"/>
          <w:lang w:val="en-US"/>
        </w:rPr>
        <w:t>.</w:t>
      </w:r>
    </w:p>
    <w:p w:rsidR="00BC7D1A" w:rsidRPr="00DE1E04" w:rsidRDefault="00BC7D1A" w:rsidP="00960C8E">
      <w:pPr>
        <w:keepNext/>
        <w:keepLines/>
        <w:jc w:val="both"/>
        <w:rPr>
          <w:szCs w:val="22"/>
          <w:lang w:val="en-US"/>
        </w:rPr>
      </w:pPr>
      <w:r w:rsidRPr="00DE1E04">
        <w:rPr>
          <w:szCs w:val="22"/>
          <w:vertAlign w:val="superscript"/>
          <w:lang w:val="en-US"/>
        </w:rPr>
        <w:t>ns</w:t>
      </w:r>
      <w:r w:rsidRPr="00DE1E04">
        <w:rPr>
          <w:szCs w:val="22"/>
          <w:lang w:val="en-US"/>
        </w:rPr>
        <w:t>Values wit</w:t>
      </w:r>
      <w:r>
        <w:rPr>
          <w:szCs w:val="22"/>
          <w:lang w:val="en-US"/>
        </w:rPr>
        <w:t>h</w:t>
      </w:r>
      <w:r w:rsidRPr="00DE1E04">
        <w:rPr>
          <w:szCs w:val="22"/>
          <w:lang w:val="en-US"/>
        </w:rPr>
        <w:t xml:space="preserve">out statistical </w:t>
      </w:r>
      <w:r>
        <w:rPr>
          <w:szCs w:val="22"/>
          <w:lang w:val="en-US"/>
        </w:rPr>
        <w:t>difference</w:t>
      </w:r>
      <w:r w:rsidRPr="00DE1E04">
        <w:rPr>
          <w:szCs w:val="22"/>
          <w:lang w:val="en-US"/>
        </w:rPr>
        <w:t xml:space="preserve"> </w:t>
      </w:r>
      <w:r w:rsidRPr="00CB6902">
        <w:rPr>
          <w:szCs w:val="22"/>
        </w:rPr>
        <w:t>α</w:t>
      </w:r>
      <w:r w:rsidRPr="00DE1E04">
        <w:rPr>
          <w:szCs w:val="22"/>
          <w:lang w:val="en-US"/>
        </w:rPr>
        <w:t>=0.05.</w:t>
      </w:r>
    </w:p>
    <w:p w:rsidR="00BC7D1A" w:rsidRPr="00A1558E" w:rsidRDefault="00BC7D1A" w:rsidP="00960C8E">
      <w:r w:rsidRPr="00C716C1">
        <w:rPr>
          <w:szCs w:val="22"/>
          <w:lang w:val="en-US"/>
        </w:rPr>
        <w:br w:type="page"/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273pt;height:233.25pt;visibility:visible">
            <v:imagedata r:id="rId8" o:title=""/>
          </v:shape>
        </w:pict>
      </w:r>
    </w:p>
    <w:p w:rsidR="00BC7D1A" w:rsidRPr="00C716C1" w:rsidRDefault="00BC7D1A" w:rsidP="00960C8E">
      <w:pPr>
        <w:ind w:right="-2"/>
        <w:jc w:val="both"/>
        <w:rPr>
          <w:lang w:val="en-US"/>
        </w:rPr>
      </w:pPr>
      <w:r w:rsidRPr="005373C7">
        <w:rPr>
          <w:b/>
          <w:lang w:val="en-US"/>
        </w:rPr>
        <w:t>Figure 1.</w:t>
      </w:r>
      <w:r w:rsidRPr="005373C7">
        <w:rPr>
          <w:lang w:val="en-US"/>
        </w:rPr>
        <w:t xml:space="preserve"> </w:t>
      </w:r>
      <w:r w:rsidRPr="00C716C1">
        <w:rPr>
          <w:lang w:val="en-US"/>
        </w:rPr>
        <w:t>Frequencies of proportion of successful cuttings in stem sta</w:t>
      </w:r>
      <w:r>
        <w:rPr>
          <w:lang w:val="en-US"/>
        </w:rPr>
        <w:t>l</w:t>
      </w:r>
      <w:r w:rsidRPr="00C716C1">
        <w:rPr>
          <w:lang w:val="en-US"/>
        </w:rPr>
        <w:t xml:space="preserve">ks cutting of </w:t>
      </w:r>
      <w:r w:rsidRPr="00C716C1">
        <w:rPr>
          <w:i/>
          <w:lang w:val="en-US"/>
        </w:rPr>
        <w:t>D. nobile</w:t>
      </w:r>
      <w:r w:rsidRPr="00C716C1">
        <w:rPr>
          <w:lang w:val="en-US"/>
        </w:rPr>
        <w:t xml:space="preserve"> in f</w:t>
      </w:r>
      <w:r>
        <w:rPr>
          <w:lang w:val="en-US"/>
        </w:rPr>
        <w:t xml:space="preserve">unction of the concentration of </w:t>
      </w:r>
      <w:r w:rsidRPr="00C716C1">
        <w:rPr>
          <w:lang w:val="en-US"/>
        </w:rPr>
        <w:t>Salic</w:t>
      </w:r>
      <w:r>
        <w:rPr>
          <w:lang w:val="en-US"/>
        </w:rPr>
        <w:t xml:space="preserve">ylic acid </w:t>
      </w:r>
      <w:r w:rsidRPr="00C716C1">
        <w:rPr>
          <w:lang w:val="en-US"/>
        </w:rPr>
        <w:t>(</w:t>
      </w:r>
      <w:r w:rsidRPr="00C716C1">
        <w:rPr>
          <w:i/>
          <w:lang w:val="en-US"/>
        </w:rPr>
        <w:t>p&lt;</w:t>
      </w:r>
      <w:r w:rsidRPr="00C716C1">
        <w:rPr>
          <w:lang w:val="en-US"/>
        </w:rPr>
        <w:t>0,5), *Y = 25,0161 + 65.1709X -53.7073X</w:t>
      </w:r>
      <w:r w:rsidRPr="00C716C1">
        <w:rPr>
          <w:vertAlign w:val="superscript"/>
          <w:lang w:val="en-US"/>
        </w:rPr>
        <w:t>2</w:t>
      </w:r>
      <w:r w:rsidRPr="00C716C1">
        <w:rPr>
          <w:lang w:val="en-US"/>
        </w:rPr>
        <w:t>, R</w:t>
      </w:r>
      <w:r w:rsidRPr="00C716C1">
        <w:rPr>
          <w:vertAlign w:val="superscript"/>
          <w:lang w:val="en-US"/>
        </w:rPr>
        <w:t xml:space="preserve">2 </w:t>
      </w:r>
      <w:r w:rsidRPr="00C716C1">
        <w:rPr>
          <w:lang w:val="en-US"/>
        </w:rPr>
        <w:t>0.4008.</w:t>
      </w:r>
    </w:p>
    <w:sectPr w:rsidR="00BC7D1A" w:rsidRPr="00C716C1" w:rsidSect="00960C8E"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D1A" w:rsidRDefault="00BC7D1A" w:rsidP="00322E28">
      <w:r>
        <w:separator/>
      </w:r>
    </w:p>
  </w:endnote>
  <w:endnote w:type="continuationSeparator" w:id="0">
    <w:p w:rsidR="00BC7D1A" w:rsidRDefault="00BC7D1A" w:rsidP="00322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1A" w:rsidRDefault="00BC7D1A">
    <w:pPr>
      <w:pStyle w:val="Footer"/>
      <w:jc w:val="right"/>
    </w:pPr>
    <w:fldSimple w:instr="PAGE   \* MERGEFORMAT">
      <w:r>
        <w:rPr>
          <w:noProof/>
        </w:rPr>
        <w:t>2</w:t>
      </w:r>
    </w:fldSimple>
  </w:p>
  <w:p w:rsidR="00BC7D1A" w:rsidRDefault="00BC7D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D1A" w:rsidRDefault="00BC7D1A" w:rsidP="00322E28">
      <w:r>
        <w:separator/>
      </w:r>
    </w:p>
  </w:footnote>
  <w:footnote w:type="continuationSeparator" w:id="0">
    <w:p w:rsidR="00BC7D1A" w:rsidRDefault="00BC7D1A" w:rsidP="00322E28">
      <w:r>
        <w:continuationSeparator/>
      </w:r>
    </w:p>
  </w:footnote>
  <w:footnote w:id="1">
    <w:p w:rsidR="00BC7D1A" w:rsidRDefault="00BC7D1A" w:rsidP="0067053B">
      <w:pPr>
        <w:pStyle w:val="FootnoteText"/>
      </w:pPr>
      <w:r w:rsidRPr="0059621E">
        <w:rPr>
          <w:rStyle w:val="FootnoteReference"/>
          <w:rFonts w:ascii="Times New Roman" w:hAnsi="Times New Roman"/>
        </w:rPr>
        <w:footnoteRef/>
      </w:r>
      <w:r w:rsidRPr="006C4C53">
        <w:rPr>
          <w:rFonts w:ascii="Times New Roman" w:hAnsi="Times New Roman"/>
          <w:sz w:val="18"/>
          <w:lang w:val="en-US"/>
        </w:rPr>
        <w:t>Manzate 800 is a product from DuPont, containg Mancozeb.</w:t>
      </w:r>
    </w:p>
  </w:footnote>
  <w:footnote w:id="2">
    <w:p w:rsidR="00BC7D1A" w:rsidRDefault="00BC7D1A" w:rsidP="001C1A84">
      <w:pPr>
        <w:pStyle w:val="FootnoteText"/>
      </w:pPr>
      <w:r w:rsidRPr="00857E2E">
        <w:rPr>
          <w:rStyle w:val="FootnoteReference"/>
          <w:rFonts w:ascii="Times New Roman" w:hAnsi="Times New Roman"/>
        </w:rPr>
        <w:footnoteRef/>
      </w:r>
      <w:r w:rsidRPr="006C4C53">
        <w:rPr>
          <w:rFonts w:ascii="Times New Roman" w:hAnsi="Times New Roman"/>
          <w:sz w:val="18"/>
          <w:szCs w:val="18"/>
          <w:lang w:val="en-US"/>
        </w:rPr>
        <w:t xml:space="preserve">YaraLiva™Calcinit™ is a produt from Yara, containing </w:t>
      </w:r>
      <w:r w:rsidRPr="006C4C53">
        <w:rPr>
          <w:rFonts w:ascii="Times New Roman" w:hAnsi="Times New Roman"/>
          <w:bCs/>
          <w:sz w:val="18"/>
          <w:szCs w:val="18"/>
          <w:lang w:val="en-US"/>
        </w:rPr>
        <w:t>15.5% of Nitrogen (N) –been 14.4% N-N</w:t>
      </w:r>
      <w:r>
        <w:rPr>
          <w:rFonts w:ascii="Times New Roman" w:hAnsi="Times New Roman"/>
          <w:bCs/>
          <w:sz w:val="18"/>
          <w:szCs w:val="18"/>
          <w:lang w:val="en-US"/>
        </w:rPr>
        <w:t>i</w:t>
      </w:r>
      <w:r w:rsidRPr="006C4C53">
        <w:rPr>
          <w:rFonts w:ascii="Times New Roman" w:hAnsi="Times New Roman"/>
          <w:bCs/>
          <w:sz w:val="18"/>
          <w:szCs w:val="18"/>
          <w:lang w:val="en-US"/>
        </w:rPr>
        <w:t>tric</w:t>
      </w:r>
      <w:r>
        <w:rPr>
          <w:rFonts w:ascii="Times New Roman" w:hAnsi="Times New Roman"/>
          <w:bCs/>
          <w:sz w:val="18"/>
          <w:szCs w:val="18"/>
          <w:lang w:val="en-US"/>
        </w:rPr>
        <w:t xml:space="preserve"> and </w:t>
      </w:r>
      <w:r w:rsidRPr="006C4C53">
        <w:rPr>
          <w:rFonts w:ascii="Times New Roman" w:hAnsi="Times New Roman"/>
          <w:bCs/>
          <w:sz w:val="18"/>
          <w:szCs w:val="18"/>
          <w:lang w:val="en-US"/>
        </w:rPr>
        <w:t>1</w:t>
      </w:r>
      <w:r>
        <w:rPr>
          <w:rFonts w:ascii="Times New Roman" w:hAnsi="Times New Roman"/>
          <w:bCs/>
          <w:sz w:val="18"/>
          <w:szCs w:val="18"/>
          <w:lang w:val="en-US"/>
        </w:rPr>
        <w:t xml:space="preserve">.1% N-Amoniacal forms and </w:t>
      </w:r>
      <w:r w:rsidRPr="006C4C53">
        <w:rPr>
          <w:rFonts w:ascii="Times New Roman" w:hAnsi="Times New Roman"/>
          <w:bCs/>
          <w:sz w:val="18"/>
          <w:szCs w:val="18"/>
          <w:lang w:val="en-US"/>
        </w:rPr>
        <w:t xml:space="preserve">19% </w:t>
      </w:r>
      <w:r>
        <w:rPr>
          <w:rFonts w:ascii="Times New Roman" w:hAnsi="Times New Roman"/>
          <w:bCs/>
          <w:sz w:val="18"/>
          <w:szCs w:val="18"/>
          <w:lang w:val="en-US"/>
        </w:rPr>
        <w:t xml:space="preserve">of </w:t>
      </w:r>
      <w:r w:rsidRPr="006C4C53">
        <w:rPr>
          <w:rFonts w:ascii="Times New Roman" w:hAnsi="Times New Roman"/>
          <w:bCs/>
          <w:sz w:val="18"/>
          <w:szCs w:val="18"/>
          <w:lang w:val="en-US"/>
        </w:rPr>
        <w:t>hidrosso</w:t>
      </w:r>
      <w:r>
        <w:rPr>
          <w:rFonts w:ascii="Times New Roman" w:hAnsi="Times New Roman"/>
          <w:bCs/>
          <w:sz w:val="18"/>
          <w:szCs w:val="18"/>
          <w:lang w:val="en-US"/>
        </w:rPr>
        <w:t>luble</w:t>
      </w:r>
      <w:r w:rsidRPr="006C4C53">
        <w:rPr>
          <w:rFonts w:ascii="Times New Roman" w:hAnsi="Times New Roman"/>
          <w:bCs/>
          <w:sz w:val="18"/>
          <w:szCs w:val="18"/>
          <w:lang w:val="en-US"/>
        </w:rPr>
        <w:t xml:space="preserve"> C</w:t>
      </w:r>
      <w:r>
        <w:rPr>
          <w:rFonts w:ascii="Times New Roman" w:hAnsi="Times New Roman"/>
          <w:bCs/>
          <w:sz w:val="18"/>
          <w:szCs w:val="18"/>
          <w:lang w:val="en-US"/>
        </w:rPr>
        <w:t xml:space="preserve">alcium </w:t>
      </w:r>
      <w:r w:rsidRPr="006C4C53">
        <w:rPr>
          <w:rFonts w:ascii="Times New Roman" w:hAnsi="Times New Roman"/>
          <w:bCs/>
          <w:sz w:val="18"/>
          <w:szCs w:val="18"/>
          <w:lang w:val="en-US"/>
        </w:rPr>
        <w:t>(Ca).</w:t>
      </w:r>
    </w:p>
  </w:footnote>
  <w:footnote w:id="3">
    <w:p w:rsidR="00BC7D1A" w:rsidRDefault="00BC7D1A" w:rsidP="000370A8">
      <w:pPr>
        <w:pStyle w:val="FootnoteText"/>
      </w:pPr>
      <w:r w:rsidRPr="00857E2E">
        <w:rPr>
          <w:rStyle w:val="FootnoteReference"/>
          <w:rFonts w:ascii="Times New Roman" w:hAnsi="Times New Roman"/>
        </w:rPr>
        <w:footnoteRef/>
      </w:r>
      <w:r w:rsidRPr="006C4C53">
        <w:rPr>
          <w:rFonts w:ascii="Times New Roman" w:hAnsi="Times New Roman"/>
          <w:sz w:val="18"/>
          <w:szCs w:val="18"/>
          <w:lang w:val="en-US"/>
        </w:rPr>
        <w:t>Product from Buschle&amp;Lepper S.A. contain</w:t>
      </w:r>
      <w:r>
        <w:rPr>
          <w:rFonts w:ascii="Times New Roman" w:hAnsi="Times New Roman"/>
          <w:sz w:val="18"/>
          <w:szCs w:val="18"/>
          <w:lang w:val="en-US"/>
        </w:rPr>
        <w:t xml:space="preserve">ing </w:t>
      </w:r>
      <w:r w:rsidRPr="006C4C53">
        <w:rPr>
          <w:rFonts w:ascii="Times New Roman" w:hAnsi="Times New Roman"/>
          <w:sz w:val="18"/>
          <w:szCs w:val="18"/>
          <w:lang w:val="en-US"/>
        </w:rPr>
        <w:t xml:space="preserve">45% </w:t>
      </w:r>
      <w:r>
        <w:rPr>
          <w:rFonts w:ascii="Times New Roman" w:hAnsi="Times New Roman"/>
          <w:sz w:val="18"/>
          <w:szCs w:val="18"/>
          <w:lang w:val="en-US"/>
        </w:rPr>
        <w:t xml:space="preserve">of </w:t>
      </w:r>
      <w:r w:rsidRPr="006C4C53">
        <w:rPr>
          <w:rFonts w:ascii="Times New Roman" w:hAnsi="Times New Roman"/>
          <w:sz w:val="18"/>
          <w:szCs w:val="18"/>
          <w:lang w:val="en-US"/>
        </w:rPr>
        <w:t>Nitrog</w:t>
      </w:r>
      <w:r>
        <w:rPr>
          <w:rFonts w:ascii="Times New Roman" w:hAnsi="Times New Roman"/>
          <w:sz w:val="18"/>
          <w:szCs w:val="18"/>
          <w:lang w:val="en-US"/>
        </w:rPr>
        <w:t>en</w:t>
      </w:r>
      <w:r w:rsidRPr="006C4C53">
        <w:rPr>
          <w:rFonts w:ascii="Times New Roman" w:hAnsi="Times New Roman"/>
          <w:sz w:val="18"/>
          <w:szCs w:val="18"/>
          <w:lang w:val="en-US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7D1A" w:rsidRDefault="00BC7D1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71110"/>
    <w:multiLevelType w:val="hybridMultilevel"/>
    <w:tmpl w:val="B878535A"/>
    <w:lvl w:ilvl="0" w:tplc="6FE63F02">
      <w:start w:val="1"/>
      <w:numFmt w:val="decimal"/>
      <w:lvlText w:val="%1-"/>
      <w:lvlJc w:val="left"/>
      <w:pPr>
        <w:ind w:left="9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">
    <w:nsid w:val="10606A75"/>
    <w:multiLevelType w:val="singleLevel"/>
    <w:tmpl w:val="BC801B68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cs="Times New Roman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stylePaneFormatFilter w:val="3F0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7BF6"/>
    <w:rsid w:val="000052C7"/>
    <w:rsid w:val="00005928"/>
    <w:rsid w:val="00005FE3"/>
    <w:rsid w:val="0000603D"/>
    <w:rsid w:val="00010AAE"/>
    <w:rsid w:val="00021C59"/>
    <w:rsid w:val="0002542B"/>
    <w:rsid w:val="00030675"/>
    <w:rsid w:val="000309EC"/>
    <w:rsid w:val="000356E7"/>
    <w:rsid w:val="000370A8"/>
    <w:rsid w:val="00037E2C"/>
    <w:rsid w:val="00054AC1"/>
    <w:rsid w:val="00063F5D"/>
    <w:rsid w:val="00070009"/>
    <w:rsid w:val="00070B87"/>
    <w:rsid w:val="00073AB7"/>
    <w:rsid w:val="00074DFD"/>
    <w:rsid w:val="00075102"/>
    <w:rsid w:val="00076441"/>
    <w:rsid w:val="00076504"/>
    <w:rsid w:val="0008064B"/>
    <w:rsid w:val="00081B2F"/>
    <w:rsid w:val="00082803"/>
    <w:rsid w:val="00082AF7"/>
    <w:rsid w:val="00082F95"/>
    <w:rsid w:val="00083712"/>
    <w:rsid w:val="000842D8"/>
    <w:rsid w:val="00092D2E"/>
    <w:rsid w:val="000930D4"/>
    <w:rsid w:val="00093971"/>
    <w:rsid w:val="000942B2"/>
    <w:rsid w:val="000958EA"/>
    <w:rsid w:val="000A213E"/>
    <w:rsid w:val="000A4152"/>
    <w:rsid w:val="000B6B5F"/>
    <w:rsid w:val="000C3135"/>
    <w:rsid w:val="000C37A0"/>
    <w:rsid w:val="000D2160"/>
    <w:rsid w:val="000E2931"/>
    <w:rsid w:val="000F3085"/>
    <w:rsid w:val="000F450C"/>
    <w:rsid w:val="00110C4C"/>
    <w:rsid w:val="001110E3"/>
    <w:rsid w:val="0011125A"/>
    <w:rsid w:val="00116E2D"/>
    <w:rsid w:val="00122BF0"/>
    <w:rsid w:val="00122F30"/>
    <w:rsid w:val="00126471"/>
    <w:rsid w:val="00135F5D"/>
    <w:rsid w:val="00142A71"/>
    <w:rsid w:val="00144110"/>
    <w:rsid w:val="0015079E"/>
    <w:rsid w:val="00151FAE"/>
    <w:rsid w:val="00157C51"/>
    <w:rsid w:val="0016277D"/>
    <w:rsid w:val="00164CF3"/>
    <w:rsid w:val="001715A6"/>
    <w:rsid w:val="0017515D"/>
    <w:rsid w:val="00177B61"/>
    <w:rsid w:val="00181A82"/>
    <w:rsid w:val="00186BDD"/>
    <w:rsid w:val="00186C27"/>
    <w:rsid w:val="00195F8B"/>
    <w:rsid w:val="001B0181"/>
    <w:rsid w:val="001B4158"/>
    <w:rsid w:val="001B4160"/>
    <w:rsid w:val="001B5DB5"/>
    <w:rsid w:val="001C1A84"/>
    <w:rsid w:val="001C2A5A"/>
    <w:rsid w:val="001C5084"/>
    <w:rsid w:val="001C6A25"/>
    <w:rsid w:val="001C6E60"/>
    <w:rsid w:val="001C7277"/>
    <w:rsid w:val="001D0ABC"/>
    <w:rsid w:val="001D4472"/>
    <w:rsid w:val="001D568F"/>
    <w:rsid w:val="001D76CE"/>
    <w:rsid w:val="001E54EE"/>
    <w:rsid w:val="001E6EEF"/>
    <w:rsid w:val="001F062D"/>
    <w:rsid w:val="001F25BD"/>
    <w:rsid w:val="001F3201"/>
    <w:rsid w:val="001F64D6"/>
    <w:rsid w:val="00200A85"/>
    <w:rsid w:val="00202A98"/>
    <w:rsid w:val="00203EEC"/>
    <w:rsid w:val="002060F6"/>
    <w:rsid w:val="002064C5"/>
    <w:rsid w:val="00207989"/>
    <w:rsid w:val="00211479"/>
    <w:rsid w:val="00212F70"/>
    <w:rsid w:val="00213DD5"/>
    <w:rsid w:val="002268BE"/>
    <w:rsid w:val="00233366"/>
    <w:rsid w:val="002368EE"/>
    <w:rsid w:val="00240E2D"/>
    <w:rsid w:val="002411F5"/>
    <w:rsid w:val="002412B4"/>
    <w:rsid w:val="002415C1"/>
    <w:rsid w:val="0025339B"/>
    <w:rsid w:val="00253C00"/>
    <w:rsid w:val="00256243"/>
    <w:rsid w:val="00257162"/>
    <w:rsid w:val="00261920"/>
    <w:rsid w:val="00262947"/>
    <w:rsid w:val="00270D67"/>
    <w:rsid w:val="002717DB"/>
    <w:rsid w:val="002728F0"/>
    <w:rsid w:val="002806AE"/>
    <w:rsid w:val="002812DD"/>
    <w:rsid w:val="00283BEA"/>
    <w:rsid w:val="00285954"/>
    <w:rsid w:val="00286A62"/>
    <w:rsid w:val="0028749B"/>
    <w:rsid w:val="002878B5"/>
    <w:rsid w:val="002901C5"/>
    <w:rsid w:val="00291218"/>
    <w:rsid w:val="002A4694"/>
    <w:rsid w:val="002A5A53"/>
    <w:rsid w:val="002A7A45"/>
    <w:rsid w:val="002B5ABB"/>
    <w:rsid w:val="002B7F36"/>
    <w:rsid w:val="002C0A38"/>
    <w:rsid w:val="002C0B51"/>
    <w:rsid w:val="002C6649"/>
    <w:rsid w:val="002D4D75"/>
    <w:rsid w:val="002D648B"/>
    <w:rsid w:val="002D7326"/>
    <w:rsid w:val="002F3D3D"/>
    <w:rsid w:val="002F3D6F"/>
    <w:rsid w:val="002F537D"/>
    <w:rsid w:val="002F653D"/>
    <w:rsid w:val="00307DF8"/>
    <w:rsid w:val="0031186F"/>
    <w:rsid w:val="00312206"/>
    <w:rsid w:val="0031331D"/>
    <w:rsid w:val="00315864"/>
    <w:rsid w:val="00320A0C"/>
    <w:rsid w:val="00322E28"/>
    <w:rsid w:val="00323311"/>
    <w:rsid w:val="003243D1"/>
    <w:rsid w:val="00330641"/>
    <w:rsid w:val="00333EE2"/>
    <w:rsid w:val="003342F4"/>
    <w:rsid w:val="00336E39"/>
    <w:rsid w:val="0034133C"/>
    <w:rsid w:val="003438C9"/>
    <w:rsid w:val="00346591"/>
    <w:rsid w:val="00347199"/>
    <w:rsid w:val="00351B59"/>
    <w:rsid w:val="00352B2D"/>
    <w:rsid w:val="00354E76"/>
    <w:rsid w:val="00361509"/>
    <w:rsid w:val="00361948"/>
    <w:rsid w:val="003629C9"/>
    <w:rsid w:val="00371022"/>
    <w:rsid w:val="003725D0"/>
    <w:rsid w:val="003731EA"/>
    <w:rsid w:val="0037479F"/>
    <w:rsid w:val="00376C95"/>
    <w:rsid w:val="00380783"/>
    <w:rsid w:val="00385535"/>
    <w:rsid w:val="0039116E"/>
    <w:rsid w:val="003917E5"/>
    <w:rsid w:val="00393C8B"/>
    <w:rsid w:val="00394886"/>
    <w:rsid w:val="00397F90"/>
    <w:rsid w:val="003A3E0B"/>
    <w:rsid w:val="003A612F"/>
    <w:rsid w:val="003B5873"/>
    <w:rsid w:val="003B75F1"/>
    <w:rsid w:val="003C0D31"/>
    <w:rsid w:val="003C1D05"/>
    <w:rsid w:val="003C74C2"/>
    <w:rsid w:val="003E1FC3"/>
    <w:rsid w:val="003E3233"/>
    <w:rsid w:val="003E4F5B"/>
    <w:rsid w:val="003F03AB"/>
    <w:rsid w:val="003F0A93"/>
    <w:rsid w:val="003F2D66"/>
    <w:rsid w:val="004027E5"/>
    <w:rsid w:val="00406EF0"/>
    <w:rsid w:val="004114D1"/>
    <w:rsid w:val="00412576"/>
    <w:rsid w:val="00416325"/>
    <w:rsid w:val="00416779"/>
    <w:rsid w:val="00417F66"/>
    <w:rsid w:val="00421730"/>
    <w:rsid w:val="00426FAA"/>
    <w:rsid w:val="0043756E"/>
    <w:rsid w:val="004375CD"/>
    <w:rsid w:val="00437E89"/>
    <w:rsid w:val="00443E20"/>
    <w:rsid w:val="00444E42"/>
    <w:rsid w:val="00444E96"/>
    <w:rsid w:val="00450E01"/>
    <w:rsid w:val="0045703D"/>
    <w:rsid w:val="00464995"/>
    <w:rsid w:val="004662FF"/>
    <w:rsid w:val="004666BF"/>
    <w:rsid w:val="00470DDB"/>
    <w:rsid w:val="0047191C"/>
    <w:rsid w:val="00471C8E"/>
    <w:rsid w:val="004816F3"/>
    <w:rsid w:val="004825B4"/>
    <w:rsid w:val="0048273F"/>
    <w:rsid w:val="00490286"/>
    <w:rsid w:val="00492019"/>
    <w:rsid w:val="00493900"/>
    <w:rsid w:val="00495926"/>
    <w:rsid w:val="00497474"/>
    <w:rsid w:val="004A0E2F"/>
    <w:rsid w:val="004A0EF3"/>
    <w:rsid w:val="004A2FE3"/>
    <w:rsid w:val="004A3CE8"/>
    <w:rsid w:val="004A7391"/>
    <w:rsid w:val="004B06A9"/>
    <w:rsid w:val="004B12E4"/>
    <w:rsid w:val="004B4906"/>
    <w:rsid w:val="004B509F"/>
    <w:rsid w:val="004C1CDC"/>
    <w:rsid w:val="004C27E2"/>
    <w:rsid w:val="004C6EB7"/>
    <w:rsid w:val="004D0404"/>
    <w:rsid w:val="004D7F6E"/>
    <w:rsid w:val="004F00B2"/>
    <w:rsid w:val="004F2A10"/>
    <w:rsid w:val="004F2C11"/>
    <w:rsid w:val="005032A7"/>
    <w:rsid w:val="00512AB1"/>
    <w:rsid w:val="005159C1"/>
    <w:rsid w:val="00515C24"/>
    <w:rsid w:val="00517D04"/>
    <w:rsid w:val="00520996"/>
    <w:rsid w:val="00520EF8"/>
    <w:rsid w:val="00520F17"/>
    <w:rsid w:val="00523373"/>
    <w:rsid w:val="00526474"/>
    <w:rsid w:val="0053101E"/>
    <w:rsid w:val="00536136"/>
    <w:rsid w:val="005373C7"/>
    <w:rsid w:val="00540DE7"/>
    <w:rsid w:val="005555A2"/>
    <w:rsid w:val="00561693"/>
    <w:rsid w:val="00565906"/>
    <w:rsid w:val="00565AA6"/>
    <w:rsid w:val="00581391"/>
    <w:rsid w:val="00581C29"/>
    <w:rsid w:val="0058365F"/>
    <w:rsid w:val="00586A36"/>
    <w:rsid w:val="00592D8A"/>
    <w:rsid w:val="005945D7"/>
    <w:rsid w:val="00594D72"/>
    <w:rsid w:val="00595BA4"/>
    <w:rsid w:val="0059621E"/>
    <w:rsid w:val="00596D68"/>
    <w:rsid w:val="00597698"/>
    <w:rsid w:val="005A1517"/>
    <w:rsid w:val="005A154B"/>
    <w:rsid w:val="005A18F6"/>
    <w:rsid w:val="005A2BC0"/>
    <w:rsid w:val="005A3B8C"/>
    <w:rsid w:val="005A48C5"/>
    <w:rsid w:val="005A62C0"/>
    <w:rsid w:val="005A6457"/>
    <w:rsid w:val="005B1045"/>
    <w:rsid w:val="005B655E"/>
    <w:rsid w:val="005C0940"/>
    <w:rsid w:val="005C10B5"/>
    <w:rsid w:val="005C3473"/>
    <w:rsid w:val="005C6E22"/>
    <w:rsid w:val="005D0CF3"/>
    <w:rsid w:val="005D1AB8"/>
    <w:rsid w:val="005D582C"/>
    <w:rsid w:val="005E3371"/>
    <w:rsid w:val="005F2D89"/>
    <w:rsid w:val="005F62DA"/>
    <w:rsid w:val="00601ABF"/>
    <w:rsid w:val="00604C64"/>
    <w:rsid w:val="006078E2"/>
    <w:rsid w:val="00611FEB"/>
    <w:rsid w:val="00613E66"/>
    <w:rsid w:val="00622770"/>
    <w:rsid w:val="00630514"/>
    <w:rsid w:val="00631049"/>
    <w:rsid w:val="00632181"/>
    <w:rsid w:val="00634DCF"/>
    <w:rsid w:val="00636A6A"/>
    <w:rsid w:val="006441AD"/>
    <w:rsid w:val="0064486B"/>
    <w:rsid w:val="00645985"/>
    <w:rsid w:val="00647EB8"/>
    <w:rsid w:val="006514F1"/>
    <w:rsid w:val="00651B9B"/>
    <w:rsid w:val="00652A2C"/>
    <w:rsid w:val="00665486"/>
    <w:rsid w:val="0067053B"/>
    <w:rsid w:val="00673958"/>
    <w:rsid w:val="00675246"/>
    <w:rsid w:val="00675B1F"/>
    <w:rsid w:val="00683A24"/>
    <w:rsid w:val="006846A9"/>
    <w:rsid w:val="00686BD7"/>
    <w:rsid w:val="00687C2B"/>
    <w:rsid w:val="0069077B"/>
    <w:rsid w:val="00690A97"/>
    <w:rsid w:val="0069195B"/>
    <w:rsid w:val="00692567"/>
    <w:rsid w:val="00693FCA"/>
    <w:rsid w:val="006A2C45"/>
    <w:rsid w:val="006A356F"/>
    <w:rsid w:val="006A3A60"/>
    <w:rsid w:val="006A3E71"/>
    <w:rsid w:val="006A58FD"/>
    <w:rsid w:val="006B0332"/>
    <w:rsid w:val="006B0F7C"/>
    <w:rsid w:val="006B1BBE"/>
    <w:rsid w:val="006B65F3"/>
    <w:rsid w:val="006C4C53"/>
    <w:rsid w:val="006C6593"/>
    <w:rsid w:val="006C6BBE"/>
    <w:rsid w:val="006C7A24"/>
    <w:rsid w:val="006D0431"/>
    <w:rsid w:val="006D31D0"/>
    <w:rsid w:val="006D34BC"/>
    <w:rsid w:val="006D4B89"/>
    <w:rsid w:val="006D5CF0"/>
    <w:rsid w:val="006D66FD"/>
    <w:rsid w:val="006D7473"/>
    <w:rsid w:val="006E39B4"/>
    <w:rsid w:val="006F17E3"/>
    <w:rsid w:val="006F4EF5"/>
    <w:rsid w:val="007047C5"/>
    <w:rsid w:val="00710CFB"/>
    <w:rsid w:val="0071521B"/>
    <w:rsid w:val="007163D8"/>
    <w:rsid w:val="00716937"/>
    <w:rsid w:val="00716A32"/>
    <w:rsid w:val="0072249C"/>
    <w:rsid w:val="00722682"/>
    <w:rsid w:val="00723AB1"/>
    <w:rsid w:val="00725FD0"/>
    <w:rsid w:val="007276F6"/>
    <w:rsid w:val="007311CA"/>
    <w:rsid w:val="0073141D"/>
    <w:rsid w:val="007314F7"/>
    <w:rsid w:val="00735280"/>
    <w:rsid w:val="00737F85"/>
    <w:rsid w:val="00740C9F"/>
    <w:rsid w:val="00741476"/>
    <w:rsid w:val="0074460F"/>
    <w:rsid w:val="007469B4"/>
    <w:rsid w:val="0075122D"/>
    <w:rsid w:val="007544EF"/>
    <w:rsid w:val="007549F2"/>
    <w:rsid w:val="0075632C"/>
    <w:rsid w:val="0076137B"/>
    <w:rsid w:val="0076799B"/>
    <w:rsid w:val="00771A2A"/>
    <w:rsid w:val="00771F5A"/>
    <w:rsid w:val="007750EB"/>
    <w:rsid w:val="00775406"/>
    <w:rsid w:val="0077689B"/>
    <w:rsid w:val="00780574"/>
    <w:rsid w:val="00782013"/>
    <w:rsid w:val="00783ECB"/>
    <w:rsid w:val="00784021"/>
    <w:rsid w:val="00786D7A"/>
    <w:rsid w:val="00787BB8"/>
    <w:rsid w:val="007A2E3E"/>
    <w:rsid w:val="007A33F4"/>
    <w:rsid w:val="007B00EC"/>
    <w:rsid w:val="007B55B0"/>
    <w:rsid w:val="007B7520"/>
    <w:rsid w:val="007C36B6"/>
    <w:rsid w:val="007C3929"/>
    <w:rsid w:val="007C3A11"/>
    <w:rsid w:val="007C5449"/>
    <w:rsid w:val="007C604A"/>
    <w:rsid w:val="007C7EC1"/>
    <w:rsid w:val="007D1B1D"/>
    <w:rsid w:val="007D1B79"/>
    <w:rsid w:val="007E170A"/>
    <w:rsid w:val="007E281C"/>
    <w:rsid w:val="007E6411"/>
    <w:rsid w:val="007F39E3"/>
    <w:rsid w:val="00800551"/>
    <w:rsid w:val="00804C7B"/>
    <w:rsid w:val="0080601B"/>
    <w:rsid w:val="00807057"/>
    <w:rsid w:val="00810CEE"/>
    <w:rsid w:val="008114A3"/>
    <w:rsid w:val="00817857"/>
    <w:rsid w:val="008211F3"/>
    <w:rsid w:val="00821C72"/>
    <w:rsid w:val="008323DE"/>
    <w:rsid w:val="00835193"/>
    <w:rsid w:val="008357AA"/>
    <w:rsid w:val="008357EA"/>
    <w:rsid w:val="00841244"/>
    <w:rsid w:val="0084300A"/>
    <w:rsid w:val="00843F2D"/>
    <w:rsid w:val="008448AA"/>
    <w:rsid w:val="00851228"/>
    <w:rsid w:val="00857217"/>
    <w:rsid w:val="00857E2E"/>
    <w:rsid w:val="00860CE3"/>
    <w:rsid w:val="00863DFF"/>
    <w:rsid w:val="00866BDC"/>
    <w:rsid w:val="00867281"/>
    <w:rsid w:val="008703DB"/>
    <w:rsid w:val="00872855"/>
    <w:rsid w:val="00876960"/>
    <w:rsid w:val="00881CDA"/>
    <w:rsid w:val="00881DA5"/>
    <w:rsid w:val="00881DEF"/>
    <w:rsid w:val="00883F79"/>
    <w:rsid w:val="0088762F"/>
    <w:rsid w:val="00890F23"/>
    <w:rsid w:val="00893697"/>
    <w:rsid w:val="00897593"/>
    <w:rsid w:val="008A4B2A"/>
    <w:rsid w:val="008B141E"/>
    <w:rsid w:val="008B42DF"/>
    <w:rsid w:val="008B58C8"/>
    <w:rsid w:val="008B6404"/>
    <w:rsid w:val="008C3A43"/>
    <w:rsid w:val="008C6818"/>
    <w:rsid w:val="008D598C"/>
    <w:rsid w:val="008E03BD"/>
    <w:rsid w:val="008E47F8"/>
    <w:rsid w:val="008E5AD3"/>
    <w:rsid w:val="008E6430"/>
    <w:rsid w:val="008E6BC0"/>
    <w:rsid w:val="008E7142"/>
    <w:rsid w:val="008F557F"/>
    <w:rsid w:val="008F7BA6"/>
    <w:rsid w:val="009032F1"/>
    <w:rsid w:val="00906764"/>
    <w:rsid w:val="00906D2E"/>
    <w:rsid w:val="00913CF8"/>
    <w:rsid w:val="009170E2"/>
    <w:rsid w:val="00920EE3"/>
    <w:rsid w:val="009219B5"/>
    <w:rsid w:val="00931965"/>
    <w:rsid w:val="009335DF"/>
    <w:rsid w:val="00935D86"/>
    <w:rsid w:val="00936896"/>
    <w:rsid w:val="0093727C"/>
    <w:rsid w:val="0094039B"/>
    <w:rsid w:val="00940796"/>
    <w:rsid w:val="009422A9"/>
    <w:rsid w:val="00942BEB"/>
    <w:rsid w:val="00942CEF"/>
    <w:rsid w:val="0094342A"/>
    <w:rsid w:val="00943771"/>
    <w:rsid w:val="00943793"/>
    <w:rsid w:val="00947610"/>
    <w:rsid w:val="00951623"/>
    <w:rsid w:val="00953B78"/>
    <w:rsid w:val="009547CA"/>
    <w:rsid w:val="00957EE5"/>
    <w:rsid w:val="00960C8E"/>
    <w:rsid w:val="009614AE"/>
    <w:rsid w:val="0096519C"/>
    <w:rsid w:val="00966C6D"/>
    <w:rsid w:val="00975DB0"/>
    <w:rsid w:val="0097601C"/>
    <w:rsid w:val="0097619D"/>
    <w:rsid w:val="00976918"/>
    <w:rsid w:val="00977F3F"/>
    <w:rsid w:val="009846FD"/>
    <w:rsid w:val="00986025"/>
    <w:rsid w:val="00992622"/>
    <w:rsid w:val="0099622D"/>
    <w:rsid w:val="009A1901"/>
    <w:rsid w:val="009A266B"/>
    <w:rsid w:val="009A42FA"/>
    <w:rsid w:val="009A51B8"/>
    <w:rsid w:val="009A54E1"/>
    <w:rsid w:val="009A6004"/>
    <w:rsid w:val="009A74D9"/>
    <w:rsid w:val="009A7A20"/>
    <w:rsid w:val="009B3E83"/>
    <w:rsid w:val="009B439B"/>
    <w:rsid w:val="009B6A48"/>
    <w:rsid w:val="009C105C"/>
    <w:rsid w:val="009C37E0"/>
    <w:rsid w:val="009C51A4"/>
    <w:rsid w:val="009C7C73"/>
    <w:rsid w:val="009D354A"/>
    <w:rsid w:val="009D4876"/>
    <w:rsid w:val="009D5AD0"/>
    <w:rsid w:val="009D6A4E"/>
    <w:rsid w:val="009F2F1D"/>
    <w:rsid w:val="009F733A"/>
    <w:rsid w:val="00A00192"/>
    <w:rsid w:val="00A003A5"/>
    <w:rsid w:val="00A05349"/>
    <w:rsid w:val="00A06DD5"/>
    <w:rsid w:val="00A107AB"/>
    <w:rsid w:val="00A116D4"/>
    <w:rsid w:val="00A1310D"/>
    <w:rsid w:val="00A15489"/>
    <w:rsid w:val="00A1558E"/>
    <w:rsid w:val="00A1681E"/>
    <w:rsid w:val="00A16F02"/>
    <w:rsid w:val="00A20060"/>
    <w:rsid w:val="00A232EE"/>
    <w:rsid w:val="00A23C99"/>
    <w:rsid w:val="00A25A6C"/>
    <w:rsid w:val="00A33F46"/>
    <w:rsid w:val="00A41D0A"/>
    <w:rsid w:val="00A45EA1"/>
    <w:rsid w:val="00A47998"/>
    <w:rsid w:val="00A50B99"/>
    <w:rsid w:val="00A50DEB"/>
    <w:rsid w:val="00A5151B"/>
    <w:rsid w:val="00A54B9E"/>
    <w:rsid w:val="00A65928"/>
    <w:rsid w:val="00A71680"/>
    <w:rsid w:val="00A719C1"/>
    <w:rsid w:val="00A811EB"/>
    <w:rsid w:val="00A841D1"/>
    <w:rsid w:val="00A8624F"/>
    <w:rsid w:val="00A919CA"/>
    <w:rsid w:val="00A927F9"/>
    <w:rsid w:val="00A92D5D"/>
    <w:rsid w:val="00A94EEB"/>
    <w:rsid w:val="00AA0985"/>
    <w:rsid w:val="00AA1288"/>
    <w:rsid w:val="00AA4F92"/>
    <w:rsid w:val="00AA5A38"/>
    <w:rsid w:val="00AA7FA1"/>
    <w:rsid w:val="00AB0455"/>
    <w:rsid w:val="00AB466C"/>
    <w:rsid w:val="00AB5E33"/>
    <w:rsid w:val="00AB6A1E"/>
    <w:rsid w:val="00AB79E3"/>
    <w:rsid w:val="00AC036F"/>
    <w:rsid w:val="00AC04CF"/>
    <w:rsid w:val="00AC4000"/>
    <w:rsid w:val="00AC64C9"/>
    <w:rsid w:val="00AD0639"/>
    <w:rsid w:val="00AD3220"/>
    <w:rsid w:val="00AD574D"/>
    <w:rsid w:val="00AD5F54"/>
    <w:rsid w:val="00AD759B"/>
    <w:rsid w:val="00AE7E63"/>
    <w:rsid w:val="00AE7F07"/>
    <w:rsid w:val="00AF030E"/>
    <w:rsid w:val="00AF2227"/>
    <w:rsid w:val="00AF599C"/>
    <w:rsid w:val="00AF6E2F"/>
    <w:rsid w:val="00B05AD3"/>
    <w:rsid w:val="00B05E18"/>
    <w:rsid w:val="00B0647A"/>
    <w:rsid w:val="00B07BF6"/>
    <w:rsid w:val="00B07BF9"/>
    <w:rsid w:val="00B11D88"/>
    <w:rsid w:val="00B12EDA"/>
    <w:rsid w:val="00B13775"/>
    <w:rsid w:val="00B158AA"/>
    <w:rsid w:val="00B2177E"/>
    <w:rsid w:val="00B2722A"/>
    <w:rsid w:val="00B31520"/>
    <w:rsid w:val="00B3207A"/>
    <w:rsid w:val="00B3379D"/>
    <w:rsid w:val="00B35516"/>
    <w:rsid w:val="00B37101"/>
    <w:rsid w:val="00B374F8"/>
    <w:rsid w:val="00B40B11"/>
    <w:rsid w:val="00B43958"/>
    <w:rsid w:val="00B43C3F"/>
    <w:rsid w:val="00B50CAB"/>
    <w:rsid w:val="00B52908"/>
    <w:rsid w:val="00B54861"/>
    <w:rsid w:val="00B56832"/>
    <w:rsid w:val="00B608B1"/>
    <w:rsid w:val="00B64A45"/>
    <w:rsid w:val="00B666AA"/>
    <w:rsid w:val="00B711D1"/>
    <w:rsid w:val="00B742D8"/>
    <w:rsid w:val="00B750F2"/>
    <w:rsid w:val="00B760DF"/>
    <w:rsid w:val="00B81EF0"/>
    <w:rsid w:val="00B84FFF"/>
    <w:rsid w:val="00B86285"/>
    <w:rsid w:val="00B87ED8"/>
    <w:rsid w:val="00B912A4"/>
    <w:rsid w:val="00BA68AB"/>
    <w:rsid w:val="00BA75E1"/>
    <w:rsid w:val="00BB2F1B"/>
    <w:rsid w:val="00BC7D1A"/>
    <w:rsid w:val="00BE19E8"/>
    <w:rsid w:val="00BE1AED"/>
    <w:rsid w:val="00BE509C"/>
    <w:rsid w:val="00BE5166"/>
    <w:rsid w:val="00BE7C11"/>
    <w:rsid w:val="00BF02E2"/>
    <w:rsid w:val="00BF0962"/>
    <w:rsid w:val="00BF0B57"/>
    <w:rsid w:val="00BF1E67"/>
    <w:rsid w:val="00BF4926"/>
    <w:rsid w:val="00C0288A"/>
    <w:rsid w:val="00C02F6A"/>
    <w:rsid w:val="00C06486"/>
    <w:rsid w:val="00C104DA"/>
    <w:rsid w:val="00C12AA2"/>
    <w:rsid w:val="00C203C7"/>
    <w:rsid w:val="00C22790"/>
    <w:rsid w:val="00C30054"/>
    <w:rsid w:val="00C313C6"/>
    <w:rsid w:val="00C316FC"/>
    <w:rsid w:val="00C35A84"/>
    <w:rsid w:val="00C36304"/>
    <w:rsid w:val="00C37108"/>
    <w:rsid w:val="00C406CD"/>
    <w:rsid w:val="00C43C07"/>
    <w:rsid w:val="00C463A3"/>
    <w:rsid w:val="00C504A6"/>
    <w:rsid w:val="00C50A22"/>
    <w:rsid w:val="00C60225"/>
    <w:rsid w:val="00C62FB8"/>
    <w:rsid w:val="00C64B00"/>
    <w:rsid w:val="00C7070A"/>
    <w:rsid w:val="00C716C1"/>
    <w:rsid w:val="00C73EB7"/>
    <w:rsid w:val="00C80344"/>
    <w:rsid w:val="00C81E52"/>
    <w:rsid w:val="00C82731"/>
    <w:rsid w:val="00C82868"/>
    <w:rsid w:val="00C84C6A"/>
    <w:rsid w:val="00C86546"/>
    <w:rsid w:val="00C92C6A"/>
    <w:rsid w:val="00CB210B"/>
    <w:rsid w:val="00CB6902"/>
    <w:rsid w:val="00CC0423"/>
    <w:rsid w:val="00CC04C6"/>
    <w:rsid w:val="00CD4B3B"/>
    <w:rsid w:val="00CD4ECC"/>
    <w:rsid w:val="00CE2586"/>
    <w:rsid w:val="00CE42DC"/>
    <w:rsid w:val="00CE4A41"/>
    <w:rsid w:val="00CF0260"/>
    <w:rsid w:val="00D01B12"/>
    <w:rsid w:val="00D07F97"/>
    <w:rsid w:val="00D17F0C"/>
    <w:rsid w:val="00D244E1"/>
    <w:rsid w:val="00D2532C"/>
    <w:rsid w:val="00D32299"/>
    <w:rsid w:val="00D34D9B"/>
    <w:rsid w:val="00D3662F"/>
    <w:rsid w:val="00D47ACB"/>
    <w:rsid w:val="00D47EE1"/>
    <w:rsid w:val="00D511F9"/>
    <w:rsid w:val="00D565C1"/>
    <w:rsid w:val="00D566D0"/>
    <w:rsid w:val="00D57FB4"/>
    <w:rsid w:val="00D61DB8"/>
    <w:rsid w:val="00D622BC"/>
    <w:rsid w:val="00D64241"/>
    <w:rsid w:val="00D6653D"/>
    <w:rsid w:val="00D725AF"/>
    <w:rsid w:val="00D72652"/>
    <w:rsid w:val="00D751A1"/>
    <w:rsid w:val="00D855F5"/>
    <w:rsid w:val="00D90A38"/>
    <w:rsid w:val="00D92780"/>
    <w:rsid w:val="00D93E50"/>
    <w:rsid w:val="00D96AA5"/>
    <w:rsid w:val="00DA4B07"/>
    <w:rsid w:val="00DA53E6"/>
    <w:rsid w:val="00DA5C5A"/>
    <w:rsid w:val="00DB1916"/>
    <w:rsid w:val="00DB5059"/>
    <w:rsid w:val="00DB601A"/>
    <w:rsid w:val="00DB7394"/>
    <w:rsid w:val="00DC2461"/>
    <w:rsid w:val="00DC44F3"/>
    <w:rsid w:val="00DC6A53"/>
    <w:rsid w:val="00DC7731"/>
    <w:rsid w:val="00DD016B"/>
    <w:rsid w:val="00DE1E04"/>
    <w:rsid w:val="00DF0F99"/>
    <w:rsid w:val="00DF1753"/>
    <w:rsid w:val="00DF29D6"/>
    <w:rsid w:val="00DF3249"/>
    <w:rsid w:val="00DF5A0F"/>
    <w:rsid w:val="00DF6AD8"/>
    <w:rsid w:val="00DF77AF"/>
    <w:rsid w:val="00E00231"/>
    <w:rsid w:val="00E04359"/>
    <w:rsid w:val="00E07E98"/>
    <w:rsid w:val="00E10ADF"/>
    <w:rsid w:val="00E13633"/>
    <w:rsid w:val="00E1381A"/>
    <w:rsid w:val="00E2485A"/>
    <w:rsid w:val="00E36DA3"/>
    <w:rsid w:val="00E41921"/>
    <w:rsid w:val="00E5027F"/>
    <w:rsid w:val="00E50F19"/>
    <w:rsid w:val="00E51987"/>
    <w:rsid w:val="00E539D7"/>
    <w:rsid w:val="00E57F0F"/>
    <w:rsid w:val="00E61A4B"/>
    <w:rsid w:val="00E635A3"/>
    <w:rsid w:val="00E635D8"/>
    <w:rsid w:val="00E66103"/>
    <w:rsid w:val="00E66740"/>
    <w:rsid w:val="00E8025F"/>
    <w:rsid w:val="00E8393C"/>
    <w:rsid w:val="00E9259F"/>
    <w:rsid w:val="00E92C04"/>
    <w:rsid w:val="00E95AF4"/>
    <w:rsid w:val="00EA7DC5"/>
    <w:rsid w:val="00EB27BF"/>
    <w:rsid w:val="00EB303C"/>
    <w:rsid w:val="00EB5EE7"/>
    <w:rsid w:val="00EB6E5B"/>
    <w:rsid w:val="00EC2A46"/>
    <w:rsid w:val="00EC779E"/>
    <w:rsid w:val="00ED14E9"/>
    <w:rsid w:val="00ED1EB5"/>
    <w:rsid w:val="00ED6094"/>
    <w:rsid w:val="00EE0F2A"/>
    <w:rsid w:val="00EE3241"/>
    <w:rsid w:val="00EF050F"/>
    <w:rsid w:val="00EF63FB"/>
    <w:rsid w:val="00EF7854"/>
    <w:rsid w:val="00F00F6F"/>
    <w:rsid w:val="00F022EF"/>
    <w:rsid w:val="00F04404"/>
    <w:rsid w:val="00F07DE6"/>
    <w:rsid w:val="00F127B1"/>
    <w:rsid w:val="00F17323"/>
    <w:rsid w:val="00F205FF"/>
    <w:rsid w:val="00F20F59"/>
    <w:rsid w:val="00F215C2"/>
    <w:rsid w:val="00F24B26"/>
    <w:rsid w:val="00F25741"/>
    <w:rsid w:val="00F30477"/>
    <w:rsid w:val="00F3164C"/>
    <w:rsid w:val="00F334B4"/>
    <w:rsid w:val="00F40B3F"/>
    <w:rsid w:val="00F500A5"/>
    <w:rsid w:val="00F52FC8"/>
    <w:rsid w:val="00F5593D"/>
    <w:rsid w:val="00F56E37"/>
    <w:rsid w:val="00F578E6"/>
    <w:rsid w:val="00F63C83"/>
    <w:rsid w:val="00F644F7"/>
    <w:rsid w:val="00F659A2"/>
    <w:rsid w:val="00F6713C"/>
    <w:rsid w:val="00F75666"/>
    <w:rsid w:val="00F77227"/>
    <w:rsid w:val="00F81C26"/>
    <w:rsid w:val="00F8445D"/>
    <w:rsid w:val="00F84643"/>
    <w:rsid w:val="00F969FF"/>
    <w:rsid w:val="00F96AC8"/>
    <w:rsid w:val="00F9767D"/>
    <w:rsid w:val="00FA2E5A"/>
    <w:rsid w:val="00FA4A0F"/>
    <w:rsid w:val="00FA61AC"/>
    <w:rsid w:val="00FA7966"/>
    <w:rsid w:val="00FB14A0"/>
    <w:rsid w:val="00FB2BF9"/>
    <w:rsid w:val="00FB7429"/>
    <w:rsid w:val="00FC1ECF"/>
    <w:rsid w:val="00FC2805"/>
    <w:rsid w:val="00FC71C3"/>
    <w:rsid w:val="00FD36A6"/>
    <w:rsid w:val="00FD440F"/>
    <w:rsid w:val="00FE20E0"/>
    <w:rsid w:val="00FE5B5F"/>
    <w:rsid w:val="00FE780B"/>
    <w:rsid w:val="00FF61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:contact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73F"/>
    <w:rPr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32A7"/>
    <w:pPr>
      <w:keepNext/>
      <w:keepLines/>
      <w:spacing w:before="200"/>
      <w:outlineLvl w:val="2"/>
    </w:pPr>
    <w:rPr>
      <w:rFonts w:ascii="Cambria" w:hAnsi="Cambria"/>
      <w:b/>
      <w:bCs w:val="0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032A7"/>
    <w:rPr>
      <w:rFonts w:ascii="Cambria" w:hAnsi="Cambria" w:cs="Times New Roman"/>
      <w:b/>
      <w:color w:val="4F81BD"/>
      <w:sz w:val="24"/>
      <w:szCs w:val="24"/>
    </w:rPr>
  </w:style>
  <w:style w:type="table" w:styleId="TableGrid">
    <w:name w:val="Table Grid"/>
    <w:basedOn w:val="TableNormal"/>
    <w:uiPriority w:val="99"/>
    <w:rsid w:val="0032331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3917E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917E5"/>
    <w:rPr>
      <w:rFonts w:ascii="Tahoma" w:hAnsi="Tahoma" w:cs="Times New Roman"/>
      <w:sz w:val="16"/>
    </w:rPr>
  </w:style>
  <w:style w:type="character" w:customStyle="1" w:styleId="Refernciadenotaderodap">
    <w:name w:val="Referência de nota de rodapé"/>
    <w:uiPriority w:val="99"/>
    <w:rsid w:val="00322E2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22E28"/>
    <w:pPr>
      <w:widowControl w:val="0"/>
    </w:pPr>
    <w:rPr>
      <w:rFonts w:ascii="Courier New" w:hAnsi="Courier New"/>
      <w:bCs w:val="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322E28"/>
    <w:rPr>
      <w:rFonts w:ascii="Courier New" w:hAnsi="Courier New" w:cs="Times New Roman"/>
      <w:snapToGrid w:val="0"/>
      <w:sz w:val="24"/>
    </w:rPr>
  </w:style>
  <w:style w:type="character" w:styleId="FootnoteReference">
    <w:name w:val="footnote reference"/>
    <w:basedOn w:val="DefaultParagraphFont"/>
    <w:uiPriority w:val="99"/>
    <w:rsid w:val="00322E28"/>
    <w:rPr>
      <w:rFonts w:cs="Times New Roman"/>
      <w:vertAlign w:val="superscript"/>
    </w:rPr>
  </w:style>
  <w:style w:type="paragraph" w:styleId="BodyTextIndent">
    <w:name w:val="Body Text Indent"/>
    <w:basedOn w:val="Normal"/>
    <w:link w:val="BodyTextIndentChar"/>
    <w:uiPriority w:val="99"/>
    <w:rsid w:val="00142A71"/>
    <w:pPr>
      <w:ind w:right="17" w:firstLine="709"/>
      <w:jc w:val="both"/>
    </w:pPr>
    <w:rPr>
      <w:bCs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42A71"/>
    <w:rPr>
      <w:rFonts w:cs="Times New Roman"/>
      <w:sz w:val="24"/>
    </w:rPr>
  </w:style>
  <w:style w:type="character" w:customStyle="1" w:styleId="gsa">
    <w:name w:val="gs_a"/>
    <w:basedOn w:val="DefaultParagraphFont"/>
    <w:uiPriority w:val="99"/>
    <w:rsid w:val="005B655E"/>
    <w:rPr>
      <w:rFonts w:cs="Times New Roman"/>
    </w:rPr>
  </w:style>
  <w:style w:type="character" w:customStyle="1" w:styleId="Forte1">
    <w:name w:val="Forte1"/>
    <w:aliases w:val="STRONG"/>
    <w:uiPriority w:val="99"/>
    <w:rsid w:val="007A33F4"/>
    <w:rPr>
      <w:b/>
    </w:rPr>
  </w:style>
  <w:style w:type="paragraph" w:styleId="NormalWeb">
    <w:name w:val="Normal (Web)"/>
    <w:basedOn w:val="Normal"/>
    <w:uiPriority w:val="99"/>
    <w:rsid w:val="007A33F4"/>
    <w:pPr>
      <w:spacing w:before="100" w:beforeAutospacing="1" w:after="100" w:afterAutospacing="1"/>
    </w:pPr>
    <w:rPr>
      <w:bCs w:val="0"/>
    </w:rPr>
  </w:style>
  <w:style w:type="character" w:styleId="Hyperlink">
    <w:name w:val="Hyperlink"/>
    <w:basedOn w:val="DefaultParagraphFont"/>
    <w:uiPriority w:val="99"/>
    <w:rsid w:val="007A33F4"/>
    <w:rPr>
      <w:rFonts w:cs="Times New Roman"/>
      <w:color w:val="0000FF"/>
      <w:u w:val="single"/>
    </w:rPr>
  </w:style>
  <w:style w:type="character" w:customStyle="1" w:styleId="schriftd">
    <w:name w:val="schriftd"/>
    <w:basedOn w:val="DefaultParagraphFont"/>
    <w:uiPriority w:val="99"/>
    <w:rsid w:val="007A33F4"/>
    <w:rPr>
      <w:rFonts w:cs="Times New Roman"/>
    </w:rPr>
  </w:style>
  <w:style w:type="character" w:styleId="Emphasis">
    <w:name w:val="Emphasis"/>
    <w:basedOn w:val="DefaultParagraphFont"/>
    <w:uiPriority w:val="99"/>
    <w:qFormat/>
    <w:rsid w:val="007A33F4"/>
    <w:rPr>
      <w:rFonts w:cs="Times New Roman"/>
      <w:i/>
    </w:rPr>
  </w:style>
  <w:style w:type="character" w:styleId="FollowedHyperlink">
    <w:name w:val="FollowedHyperlink"/>
    <w:basedOn w:val="DefaultParagraphFont"/>
    <w:uiPriority w:val="99"/>
    <w:rsid w:val="007A33F4"/>
    <w:rPr>
      <w:rFonts w:cs="Times New Roman"/>
      <w:color w:val="800080"/>
      <w:u w:val="single"/>
    </w:rPr>
  </w:style>
  <w:style w:type="character" w:customStyle="1" w:styleId="longtext">
    <w:name w:val="long_text"/>
    <w:basedOn w:val="DefaultParagraphFont"/>
    <w:uiPriority w:val="99"/>
    <w:rsid w:val="00240E2D"/>
    <w:rPr>
      <w:rFonts w:cs="Times New Roman"/>
    </w:rPr>
  </w:style>
  <w:style w:type="character" w:customStyle="1" w:styleId="author">
    <w:name w:val="author"/>
    <w:basedOn w:val="DefaultParagraphFont"/>
    <w:uiPriority w:val="99"/>
    <w:rsid w:val="00CC04C6"/>
    <w:rPr>
      <w:rFonts w:cs="Times New Roman"/>
    </w:rPr>
  </w:style>
  <w:style w:type="character" w:customStyle="1" w:styleId="degree">
    <w:name w:val="degree"/>
    <w:basedOn w:val="DefaultParagraphFont"/>
    <w:uiPriority w:val="99"/>
    <w:rsid w:val="00CC04C6"/>
    <w:rPr>
      <w:rFonts w:cs="Times New Roman"/>
    </w:rPr>
  </w:style>
  <w:style w:type="character" w:customStyle="1" w:styleId="grantor">
    <w:name w:val="grantor"/>
    <w:basedOn w:val="DefaultParagraphFont"/>
    <w:uiPriority w:val="99"/>
    <w:rsid w:val="00CC04C6"/>
    <w:rPr>
      <w:rFonts w:cs="Times New Roman"/>
    </w:rPr>
  </w:style>
  <w:style w:type="character" w:customStyle="1" w:styleId="citation-link">
    <w:name w:val="citation-link"/>
    <w:basedOn w:val="DefaultParagraphFont"/>
    <w:uiPriority w:val="99"/>
    <w:rsid w:val="00CC04C6"/>
    <w:rPr>
      <w:rFonts w:cs="Times New Roman"/>
    </w:rPr>
  </w:style>
  <w:style w:type="character" w:styleId="Strong">
    <w:name w:val="Strong"/>
    <w:basedOn w:val="DefaultParagraphFont"/>
    <w:uiPriority w:val="99"/>
    <w:qFormat/>
    <w:rsid w:val="00B711D1"/>
    <w:rPr>
      <w:rFonts w:cs="Times New Roman"/>
      <w:b/>
    </w:rPr>
  </w:style>
  <w:style w:type="character" w:styleId="CommentReference">
    <w:name w:val="annotation reference"/>
    <w:basedOn w:val="DefaultParagraphFont"/>
    <w:uiPriority w:val="99"/>
    <w:rsid w:val="00AB466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AB46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AB466C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AB466C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AB466C"/>
    <w:rPr>
      <w:b/>
    </w:rPr>
  </w:style>
  <w:style w:type="character" w:styleId="LineNumber">
    <w:name w:val="line number"/>
    <w:basedOn w:val="DefaultParagraphFont"/>
    <w:uiPriority w:val="99"/>
    <w:rsid w:val="00BF0962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F29D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DF29D6"/>
    <w:rPr>
      <w:rFonts w:cs="Times New Roman"/>
      <w:bCs/>
      <w:sz w:val="24"/>
      <w:szCs w:val="24"/>
    </w:rPr>
  </w:style>
  <w:style w:type="paragraph" w:styleId="Footer">
    <w:name w:val="footer"/>
    <w:basedOn w:val="Normal"/>
    <w:link w:val="FooterChar"/>
    <w:uiPriority w:val="99"/>
    <w:rsid w:val="00DF29D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F29D6"/>
    <w:rPr>
      <w:rFonts w:cs="Times New Roman"/>
      <w:bCs/>
      <w:sz w:val="24"/>
      <w:szCs w:val="24"/>
    </w:rPr>
  </w:style>
  <w:style w:type="paragraph" w:styleId="ListParagraph">
    <w:name w:val="List Paragraph"/>
    <w:basedOn w:val="Normal"/>
    <w:uiPriority w:val="99"/>
    <w:qFormat/>
    <w:rsid w:val="00D244E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uiPriority w:val="99"/>
    <w:rsid w:val="006D5CF0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983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giorgini@cca.ufsc.b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359</TotalTime>
  <Pages>15</Pages>
  <Words>3709</Words>
  <Characters>20033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Tabela</dc:title>
  <dc:subject/>
  <dc:creator>Jeferson</dc:creator>
  <cp:keywords/>
  <dc:description/>
  <cp:lastModifiedBy>usuario</cp:lastModifiedBy>
  <cp:revision>7</cp:revision>
  <cp:lastPrinted>2012-11-12T13:44:00Z</cp:lastPrinted>
  <dcterms:created xsi:type="dcterms:W3CDTF">2013-04-23T17:51:00Z</dcterms:created>
  <dcterms:modified xsi:type="dcterms:W3CDTF">2013-04-23T23:49:00Z</dcterms:modified>
</cp:coreProperties>
</file>