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65C" w:rsidRDefault="00E2265C" w:rsidP="00C826F7">
      <w:pPr>
        <w:spacing w:line="240" w:lineRule="auto"/>
        <w:rPr>
          <w:rFonts w:asciiTheme="majorBidi" w:hAnsiTheme="majorBidi" w:cstheme="majorBidi"/>
        </w:rPr>
      </w:pPr>
      <w:r>
        <w:rPr>
          <w:rStyle w:val="A1"/>
        </w:rPr>
        <w:t>Encapsulated somatic embryos</w:t>
      </w:r>
      <w:r w:rsidR="00C826F7">
        <w:rPr>
          <w:rStyle w:val="A1"/>
        </w:rPr>
        <w:t xml:space="preserve"> and shoot tips </w:t>
      </w:r>
      <w:r>
        <w:rPr>
          <w:rStyle w:val="A1"/>
        </w:rPr>
        <w:t xml:space="preserve">of </w:t>
      </w:r>
      <w:r w:rsidR="00C826F7">
        <w:rPr>
          <w:rStyle w:val="A1"/>
        </w:rPr>
        <w:t>rapeseed</w:t>
      </w:r>
      <w:r>
        <w:rPr>
          <w:rStyle w:val="A1"/>
        </w:rPr>
        <w:t xml:space="preserve"> (</w:t>
      </w:r>
      <w:r w:rsidR="00C826F7">
        <w:rPr>
          <w:rStyle w:val="A1"/>
          <w:i/>
          <w:iCs/>
        </w:rPr>
        <w:t xml:space="preserve">Brassica </w:t>
      </w:r>
      <w:proofErr w:type="spellStart"/>
      <w:r w:rsidR="00C826F7">
        <w:rPr>
          <w:rStyle w:val="A1"/>
          <w:i/>
          <w:iCs/>
        </w:rPr>
        <w:t>napus</w:t>
      </w:r>
      <w:proofErr w:type="spellEnd"/>
      <w:r w:rsidR="00AC4C8B">
        <w:rPr>
          <w:rStyle w:val="A1"/>
        </w:rPr>
        <w:t xml:space="preserve"> </w:t>
      </w:r>
      <w:r>
        <w:rPr>
          <w:rStyle w:val="A1"/>
        </w:rPr>
        <w:t>L.): An efficient way for stor</w:t>
      </w:r>
      <w:r>
        <w:rPr>
          <w:rStyle w:val="A1"/>
        </w:rPr>
        <w:softHyphen/>
        <w:t>age, transport and multiplication of plant material</w:t>
      </w:r>
    </w:p>
    <w:p w:rsidR="00E65DA3" w:rsidRDefault="00E65DA3" w:rsidP="00FA4E84">
      <w:pPr>
        <w:spacing w:line="240" w:lineRule="auto"/>
        <w:rPr>
          <w:rFonts w:asciiTheme="majorBidi" w:hAnsiTheme="majorBidi" w:cstheme="majorBidi"/>
          <w:sz w:val="24"/>
          <w:szCs w:val="24"/>
          <w:lang w:bidi="ar-SA"/>
        </w:rPr>
      </w:pPr>
    </w:p>
    <w:p w:rsidR="00DB4827" w:rsidRDefault="00810E7B" w:rsidP="009917C8">
      <w:pPr>
        <w:spacing w:line="240" w:lineRule="auto"/>
        <w:rPr>
          <w:rFonts w:asciiTheme="majorBidi" w:hAnsiTheme="majorBidi" w:cstheme="majorBidi"/>
          <w:vertAlign w:val="superscript"/>
        </w:rPr>
      </w:pPr>
      <w:r w:rsidRPr="00FA4E84">
        <w:rPr>
          <w:rFonts w:asciiTheme="majorBidi" w:hAnsiTheme="majorBidi" w:cstheme="majorBidi"/>
          <w:sz w:val="24"/>
          <w:szCs w:val="24"/>
          <w:lang w:bidi="ar-SA"/>
        </w:rPr>
        <w:t>Mohammad Zeynali</w:t>
      </w:r>
      <w:r w:rsidR="009917C8">
        <w:rPr>
          <w:rFonts w:asciiTheme="majorBidi" w:hAnsiTheme="majorBidi" w:cstheme="majorBidi"/>
          <w:sz w:val="24"/>
          <w:szCs w:val="24"/>
          <w:vertAlign w:val="superscript"/>
          <w:lang w:bidi="ar-SA"/>
        </w:rPr>
        <w:t>1*</w:t>
      </w:r>
      <w:r w:rsidRPr="00FA4E84">
        <w:rPr>
          <w:rFonts w:asciiTheme="majorBidi" w:hAnsiTheme="majorBidi" w:cstheme="majorBidi"/>
          <w:sz w:val="24"/>
          <w:szCs w:val="24"/>
          <w:lang w:bidi="ar-SA"/>
        </w:rPr>
        <w:t xml:space="preserve">, </w:t>
      </w:r>
      <w:proofErr w:type="spellStart"/>
      <w:r w:rsidRPr="00FA4E84">
        <w:rPr>
          <w:rFonts w:asciiTheme="majorBidi" w:hAnsiTheme="majorBidi" w:cstheme="majorBidi"/>
          <w:sz w:val="24"/>
          <w:szCs w:val="24"/>
          <w:lang w:bidi="ar-SA"/>
        </w:rPr>
        <w:t>Bahram</w:t>
      </w:r>
      <w:proofErr w:type="spellEnd"/>
      <w:r w:rsidR="00525DDE">
        <w:rPr>
          <w:rFonts w:asciiTheme="majorBidi" w:hAnsiTheme="majorBidi" w:cstheme="majorBidi"/>
          <w:sz w:val="24"/>
          <w:szCs w:val="24"/>
          <w:lang w:bidi="ar-SA"/>
        </w:rPr>
        <w:t xml:space="preserve"> </w:t>
      </w:r>
      <w:proofErr w:type="spellStart"/>
      <w:r w:rsidRPr="00FA4E84">
        <w:rPr>
          <w:rFonts w:asciiTheme="majorBidi" w:hAnsiTheme="majorBidi" w:cstheme="majorBidi"/>
          <w:sz w:val="24"/>
          <w:szCs w:val="24"/>
          <w:lang w:bidi="ar-SA"/>
        </w:rPr>
        <w:t>Maleki</w:t>
      </w:r>
      <w:proofErr w:type="spellEnd"/>
      <w:r w:rsidRPr="00FA4E84">
        <w:rPr>
          <w:rFonts w:asciiTheme="majorBidi" w:hAnsiTheme="majorBidi" w:cstheme="majorBidi"/>
          <w:sz w:val="24"/>
          <w:szCs w:val="24"/>
          <w:lang w:bidi="ar-SA"/>
        </w:rPr>
        <w:t xml:space="preserve"> Zanjani</w:t>
      </w:r>
      <w:r w:rsidRPr="00FA4E84">
        <w:rPr>
          <w:rFonts w:asciiTheme="majorBidi" w:hAnsiTheme="majorBidi" w:cstheme="majorBidi"/>
          <w:sz w:val="24"/>
          <w:szCs w:val="24"/>
          <w:vertAlign w:val="superscript"/>
          <w:lang w:bidi="ar-SA"/>
        </w:rPr>
        <w:t>1</w:t>
      </w:r>
      <w:r w:rsidRPr="00FA4E84">
        <w:rPr>
          <w:rFonts w:asciiTheme="majorBidi" w:hAnsiTheme="majorBidi" w:cstheme="majorBidi"/>
          <w:sz w:val="24"/>
          <w:szCs w:val="24"/>
          <w:lang w:bidi="ar-SA"/>
        </w:rPr>
        <w:t>,</w:t>
      </w:r>
      <w:r w:rsidR="00525DDE">
        <w:rPr>
          <w:rFonts w:asciiTheme="majorBidi" w:hAnsiTheme="majorBidi" w:cstheme="majorBidi"/>
          <w:sz w:val="24"/>
          <w:szCs w:val="24"/>
          <w:lang w:bidi="ar-SA"/>
        </w:rPr>
        <w:t xml:space="preserve"> </w:t>
      </w:r>
      <w:proofErr w:type="spellStart"/>
      <w:r w:rsidR="00525DDE">
        <w:rPr>
          <w:rFonts w:asciiTheme="majorBidi" w:hAnsiTheme="majorBidi" w:cstheme="majorBidi"/>
          <w:sz w:val="24"/>
          <w:szCs w:val="24"/>
          <w:lang w:bidi="ar-SA"/>
        </w:rPr>
        <w:t>Jala</w:t>
      </w:r>
      <w:proofErr w:type="spellEnd"/>
      <w:r w:rsidR="00525DDE">
        <w:rPr>
          <w:rFonts w:asciiTheme="majorBidi" w:hAnsiTheme="majorBidi" w:cstheme="majorBidi"/>
          <w:sz w:val="24"/>
          <w:szCs w:val="24"/>
          <w:lang w:bidi="ar-SA"/>
        </w:rPr>
        <w:t xml:space="preserve"> Saba</w:t>
      </w:r>
      <w:r w:rsidR="00525DDE" w:rsidRPr="00525DDE">
        <w:rPr>
          <w:rFonts w:asciiTheme="majorBidi" w:hAnsiTheme="majorBidi" w:cstheme="majorBidi"/>
          <w:sz w:val="24"/>
          <w:szCs w:val="24"/>
          <w:vertAlign w:val="superscript"/>
          <w:lang w:bidi="ar-SA"/>
        </w:rPr>
        <w:t>1</w:t>
      </w:r>
      <w:r w:rsidR="00525DDE">
        <w:rPr>
          <w:rFonts w:asciiTheme="majorBidi" w:hAnsiTheme="majorBidi" w:cstheme="majorBidi"/>
          <w:sz w:val="24"/>
          <w:szCs w:val="24"/>
          <w:lang w:bidi="ar-SA"/>
        </w:rPr>
        <w:t xml:space="preserve">, </w:t>
      </w:r>
      <w:r w:rsidRPr="00FA4E84">
        <w:rPr>
          <w:rFonts w:asciiTheme="majorBidi" w:hAnsiTheme="majorBidi" w:cstheme="majorBidi"/>
          <w:sz w:val="24"/>
          <w:szCs w:val="24"/>
          <w:lang w:bidi="ar-SA"/>
        </w:rPr>
        <w:t>Mostafa Ghaderian</w:t>
      </w:r>
      <w:r w:rsidR="00525DDE">
        <w:rPr>
          <w:rFonts w:asciiTheme="majorBidi" w:hAnsiTheme="majorBidi" w:cstheme="majorBidi"/>
          <w:sz w:val="24"/>
          <w:szCs w:val="24"/>
          <w:vertAlign w:val="superscript"/>
          <w:lang w:bidi="ar-SA"/>
        </w:rPr>
        <w:t>2</w:t>
      </w:r>
      <w:r w:rsidRPr="00FA4E84">
        <w:rPr>
          <w:rFonts w:asciiTheme="majorBidi" w:hAnsiTheme="majorBidi" w:cstheme="majorBidi"/>
          <w:sz w:val="24"/>
          <w:szCs w:val="24"/>
          <w:lang w:bidi="ar-SA"/>
        </w:rPr>
        <w:t>, Mohsen Niazkhani</w:t>
      </w:r>
      <w:r w:rsidRPr="00FA4E84">
        <w:rPr>
          <w:rFonts w:asciiTheme="majorBidi" w:hAnsiTheme="majorBidi" w:cstheme="majorBidi"/>
          <w:sz w:val="24"/>
          <w:szCs w:val="24"/>
          <w:vertAlign w:val="superscript"/>
          <w:lang w:bidi="ar-SA"/>
        </w:rPr>
        <w:t>1</w:t>
      </w:r>
      <w:r w:rsidRPr="00FA4E84">
        <w:rPr>
          <w:rFonts w:asciiTheme="majorBidi" w:hAnsiTheme="majorBidi" w:cstheme="majorBidi"/>
          <w:sz w:val="24"/>
          <w:szCs w:val="24"/>
          <w:lang w:bidi="ar-SA"/>
        </w:rPr>
        <w:t xml:space="preserve">, </w:t>
      </w:r>
      <w:r w:rsidR="00F55A5B" w:rsidRPr="00892912">
        <w:rPr>
          <w:rFonts w:asciiTheme="majorBidi" w:hAnsiTheme="majorBidi" w:cstheme="majorBidi"/>
          <w:sz w:val="24"/>
          <w:szCs w:val="24"/>
        </w:rPr>
        <w:t>Soheila Ahmadpour</w:t>
      </w:r>
      <w:r w:rsidR="00F55A5B" w:rsidRPr="00892912">
        <w:rPr>
          <w:rFonts w:asciiTheme="majorBidi" w:hAnsiTheme="majorBidi" w:cstheme="majorBidi"/>
          <w:sz w:val="24"/>
          <w:szCs w:val="24"/>
          <w:vertAlign w:val="superscript"/>
        </w:rPr>
        <w:t>1</w:t>
      </w:r>
    </w:p>
    <w:p w:rsidR="00E65DA3" w:rsidRPr="00FA4E84" w:rsidRDefault="00E65DA3" w:rsidP="00FA4E84">
      <w:pPr>
        <w:spacing w:line="240" w:lineRule="auto"/>
        <w:rPr>
          <w:rFonts w:asciiTheme="majorBidi" w:hAnsiTheme="majorBidi" w:cstheme="majorBidi"/>
          <w:vertAlign w:val="superscript"/>
        </w:rPr>
      </w:pPr>
    </w:p>
    <w:p w:rsidR="00E65DA3" w:rsidRDefault="00E65DA3" w:rsidP="00FA4E84">
      <w:pPr>
        <w:spacing w:line="240" w:lineRule="auto"/>
        <w:rPr>
          <w:rFonts w:asciiTheme="majorBidi" w:hAnsiTheme="majorBidi" w:cstheme="majorBidi"/>
          <w:sz w:val="24"/>
          <w:szCs w:val="24"/>
          <w:lang w:bidi="ar-SA"/>
        </w:rPr>
      </w:pPr>
      <w:r w:rsidRPr="00E65DA3">
        <w:rPr>
          <w:rFonts w:asciiTheme="majorBidi" w:hAnsiTheme="majorBidi" w:cstheme="majorBidi"/>
          <w:sz w:val="24"/>
          <w:szCs w:val="24"/>
          <w:vertAlign w:val="superscript"/>
          <w:lang w:bidi="ar-SA"/>
        </w:rPr>
        <w:t>1</w:t>
      </w:r>
      <w:r w:rsidRPr="00FA4E84">
        <w:rPr>
          <w:rFonts w:asciiTheme="majorBidi" w:hAnsiTheme="majorBidi" w:cstheme="majorBidi"/>
          <w:sz w:val="24"/>
          <w:szCs w:val="24"/>
          <w:lang w:bidi="ar-SA"/>
        </w:rPr>
        <w:t xml:space="preserve">Department of Genetic and plant breeding, </w:t>
      </w:r>
      <w:proofErr w:type="spellStart"/>
      <w:r w:rsidRPr="00FA4E84">
        <w:rPr>
          <w:rFonts w:asciiTheme="majorBidi" w:hAnsiTheme="majorBidi" w:cstheme="majorBidi"/>
          <w:sz w:val="24"/>
          <w:szCs w:val="24"/>
          <w:lang w:bidi="ar-SA"/>
        </w:rPr>
        <w:t>Zanjan</w:t>
      </w:r>
      <w:proofErr w:type="spellEnd"/>
      <w:r w:rsidRPr="00FA4E84">
        <w:rPr>
          <w:rFonts w:asciiTheme="majorBidi" w:hAnsiTheme="majorBidi" w:cstheme="majorBidi"/>
          <w:sz w:val="24"/>
          <w:szCs w:val="24"/>
          <w:lang w:bidi="ar-SA"/>
        </w:rPr>
        <w:t xml:space="preserve"> University, </w:t>
      </w:r>
      <w:proofErr w:type="spellStart"/>
      <w:r w:rsidRPr="00FA4E84">
        <w:rPr>
          <w:rFonts w:asciiTheme="majorBidi" w:hAnsiTheme="majorBidi" w:cstheme="majorBidi"/>
          <w:sz w:val="24"/>
          <w:szCs w:val="24"/>
          <w:lang w:bidi="ar-SA"/>
        </w:rPr>
        <w:t>Zanjan</w:t>
      </w:r>
      <w:proofErr w:type="spellEnd"/>
      <w:r w:rsidRPr="00FA4E84">
        <w:rPr>
          <w:rFonts w:asciiTheme="majorBidi" w:hAnsiTheme="majorBidi" w:cstheme="majorBidi"/>
          <w:sz w:val="24"/>
          <w:szCs w:val="24"/>
          <w:lang w:bidi="ar-SA"/>
        </w:rPr>
        <w:t>, Iran</w:t>
      </w:r>
    </w:p>
    <w:p w:rsidR="009917C8" w:rsidRDefault="009917C8" w:rsidP="009917C8">
      <w:pPr>
        <w:pStyle w:val="FootnoteText"/>
        <w:rPr>
          <w:rFonts w:asciiTheme="majorBidi" w:hAnsiTheme="majorBidi" w:cstheme="majorBidi"/>
          <w:sz w:val="24"/>
          <w:szCs w:val="24"/>
          <w:lang w:bidi="ar-SA"/>
        </w:rPr>
      </w:pPr>
      <w:r>
        <w:rPr>
          <w:rFonts w:asciiTheme="majorBidi" w:hAnsiTheme="majorBidi" w:cstheme="majorBidi"/>
          <w:sz w:val="24"/>
          <w:szCs w:val="24"/>
          <w:lang w:bidi="ar-SA"/>
        </w:rPr>
        <w:t>*</w:t>
      </w:r>
      <w:r w:rsidRPr="009917C8">
        <w:rPr>
          <w:rFonts w:asciiTheme="majorBidi" w:hAnsiTheme="majorBidi" w:cstheme="majorBidi"/>
          <w:sz w:val="22"/>
          <w:szCs w:val="22"/>
        </w:rPr>
        <w:t xml:space="preserve"> </w:t>
      </w:r>
      <w:r w:rsidRPr="00C965C9">
        <w:rPr>
          <w:rFonts w:asciiTheme="majorBidi" w:hAnsiTheme="majorBidi" w:cstheme="majorBidi"/>
          <w:sz w:val="22"/>
          <w:szCs w:val="22"/>
        </w:rPr>
        <w:t xml:space="preserve">E-mail: </w:t>
      </w:r>
      <w:hyperlink r:id="rId8" w:history="1">
        <w:r w:rsidRPr="00C965C9">
          <w:rPr>
            <w:rStyle w:val="Hyperlink"/>
            <w:rFonts w:asciiTheme="majorBidi" w:hAnsiTheme="majorBidi" w:cstheme="majorBidi"/>
            <w:sz w:val="22"/>
            <w:szCs w:val="22"/>
          </w:rPr>
          <w:t>mzeynali.kh@gmail.com</w:t>
        </w:r>
      </w:hyperlink>
      <w:r>
        <w:rPr>
          <w:rFonts w:asciiTheme="majorBidi" w:hAnsiTheme="majorBidi" w:cstheme="majorBidi"/>
          <w:sz w:val="24"/>
          <w:szCs w:val="24"/>
        </w:rPr>
        <w:t xml:space="preserve">  </w:t>
      </w:r>
      <w:r w:rsidRPr="007508CC">
        <w:rPr>
          <w:rFonts w:asciiTheme="majorBidi" w:hAnsiTheme="majorBidi" w:cstheme="majorBidi"/>
          <w:sz w:val="24"/>
          <w:szCs w:val="24"/>
        </w:rPr>
        <w:t>Tel: +98 914 963 3410</w:t>
      </w:r>
    </w:p>
    <w:p w:rsidR="00E65DA3" w:rsidRDefault="00525DDE" w:rsidP="009917C8">
      <w:pPr>
        <w:spacing w:line="240" w:lineRule="auto"/>
        <w:rPr>
          <w:rFonts w:asciiTheme="majorBidi" w:hAnsiTheme="majorBidi" w:cstheme="majorBidi"/>
          <w:sz w:val="24"/>
          <w:szCs w:val="24"/>
          <w:lang w:bidi="ar-SA"/>
        </w:rPr>
      </w:pPr>
      <w:r w:rsidRPr="00525DDE">
        <w:rPr>
          <w:rFonts w:asciiTheme="majorBidi" w:hAnsiTheme="majorBidi" w:cstheme="majorBidi"/>
          <w:sz w:val="24"/>
          <w:szCs w:val="24"/>
          <w:vertAlign w:val="superscript"/>
          <w:lang w:bidi="ar-SA"/>
        </w:rPr>
        <w:t>2</w:t>
      </w:r>
      <w:r w:rsidRPr="00525DDE">
        <w:rPr>
          <w:rFonts w:asciiTheme="majorBidi" w:hAnsiTheme="majorBidi" w:cstheme="majorBidi"/>
          <w:sz w:val="24"/>
          <w:szCs w:val="24"/>
          <w:lang w:bidi="ar-SA"/>
        </w:rPr>
        <w:t>Epigenetics lab, HIR Building, Institute of Biological Sciences,   Faculty of Science,   University of Malaya, 50603 Kuala Lumpur, Malaysia</w:t>
      </w:r>
    </w:p>
    <w:p w:rsidR="00E65DA3" w:rsidRPr="00FA4E84" w:rsidRDefault="00E65DA3" w:rsidP="00FA4E84">
      <w:pPr>
        <w:spacing w:line="240" w:lineRule="auto"/>
        <w:rPr>
          <w:rFonts w:asciiTheme="majorBidi" w:hAnsiTheme="majorBidi" w:cstheme="majorBidi"/>
          <w:sz w:val="24"/>
          <w:szCs w:val="24"/>
          <w:lang w:bidi="ar-SA"/>
        </w:rPr>
      </w:pPr>
    </w:p>
    <w:p w:rsidR="00B23997" w:rsidRPr="002B56BD" w:rsidRDefault="00B23997" w:rsidP="009C4AE1">
      <w:pPr>
        <w:rPr>
          <w:rFonts w:asciiTheme="majorBidi" w:hAnsiTheme="majorBidi" w:cstheme="majorBidi"/>
          <w:b/>
          <w:bCs/>
          <w:sz w:val="24"/>
          <w:szCs w:val="24"/>
        </w:rPr>
      </w:pPr>
      <w:r w:rsidRPr="002B56BD">
        <w:rPr>
          <w:rFonts w:asciiTheme="majorBidi" w:hAnsiTheme="majorBidi" w:cstheme="majorBidi"/>
          <w:b/>
          <w:bCs/>
          <w:sz w:val="24"/>
          <w:szCs w:val="24"/>
        </w:rPr>
        <w:t>Abstract</w:t>
      </w:r>
    </w:p>
    <w:p w:rsidR="00484D0C" w:rsidRDefault="00921397" w:rsidP="009C4AE1">
      <w:pPr>
        <w:ind w:firstLine="720"/>
        <w:rPr>
          <w:rFonts w:ascii="Times New Roman" w:eastAsia="Times New Roman" w:hAnsi="Times New Roman" w:cs="Times New Roman"/>
          <w:sz w:val="24"/>
          <w:szCs w:val="24"/>
        </w:rPr>
      </w:pPr>
      <w:r w:rsidRPr="002B56BD">
        <w:rPr>
          <w:rFonts w:asciiTheme="majorBidi" w:hAnsiTheme="majorBidi" w:cstheme="majorBidi"/>
          <w:sz w:val="24"/>
          <w:szCs w:val="24"/>
          <w:lang w:bidi="ar-SA"/>
        </w:rPr>
        <w:t>The present paper reports</w:t>
      </w:r>
      <w:r w:rsidR="00AC09CB" w:rsidRPr="002B56BD">
        <w:rPr>
          <w:rFonts w:asciiTheme="majorBidi" w:hAnsiTheme="majorBidi" w:cstheme="majorBidi"/>
          <w:sz w:val="24"/>
          <w:szCs w:val="24"/>
          <w:lang w:bidi="ar-SA"/>
        </w:rPr>
        <w:t xml:space="preserve"> the encapsulation of</w:t>
      </w:r>
      <w:r w:rsidR="009C4AE1">
        <w:rPr>
          <w:rFonts w:asciiTheme="majorBidi" w:hAnsiTheme="majorBidi" w:cstheme="majorBidi"/>
          <w:sz w:val="24"/>
          <w:szCs w:val="24"/>
          <w:lang w:bidi="ar-SA"/>
        </w:rPr>
        <w:t xml:space="preserve"> </w:t>
      </w:r>
      <w:r w:rsidR="00830441" w:rsidRPr="00E651B3">
        <w:rPr>
          <w:rFonts w:ascii="Times New Roman" w:eastAsia="Times New Roman" w:hAnsi="Times New Roman" w:cs="Times New Roman"/>
          <w:sz w:val="24"/>
          <w:szCs w:val="24"/>
        </w:rPr>
        <w:t>Somatic embryos</w:t>
      </w:r>
      <w:r w:rsidR="00830441">
        <w:rPr>
          <w:rFonts w:ascii="Times New Roman" w:eastAsia="Times New Roman" w:hAnsi="Times New Roman" w:cs="Times New Roman"/>
          <w:sz w:val="24"/>
          <w:szCs w:val="24"/>
        </w:rPr>
        <w:t xml:space="preserve"> and</w:t>
      </w:r>
      <w:r w:rsidR="00AC09CB" w:rsidRPr="002B56BD">
        <w:rPr>
          <w:rFonts w:asciiTheme="majorBidi" w:hAnsiTheme="majorBidi" w:cstheme="majorBidi"/>
          <w:sz w:val="24"/>
          <w:szCs w:val="24"/>
          <w:lang w:bidi="ar-SA"/>
        </w:rPr>
        <w:t xml:space="preserve"> in vitro-derived shoot tips of rapeseed (</w:t>
      </w:r>
      <w:r w:rsidR="00AC09CB" w:rsidRPr="002B56BD">
        <w:rPr>
          <w:rFonts w:asciiTheme="majorBidi" w:hAnsiTheme="majorBidi" w:cstheme="majorBidi"/>
          <w:i/>
          <w:iCs/>
          <w:sz w:val="24"/>
          <w:szCs w:val="24"/>
          <w:lang w:bidi="ar-SA"/>
        </w:rPr>
        <w:t xml:space="preserve">Brassica </w:t>
      </w:r>
      <w:proofErr w:type="spellStart"/>
      <w:r w:rsidR="00AC09CB" w:rsidRPr="002B56BD">
        <w:rPr>
          <w:rFonts w:asciiTheme="majorBidi" w:hAnsiTheme="majorBidi" w:cstheme="majorBidi"/>
          <w:i/>
          <w:iCs/>
          <w:sz w:val="24"/>
          <w:szCs w:val="24"/>
          <w:lang w:bidi="ar-SA"/>
        </w:rPr>
        <w:t>napus</w:t>
      </w:r>
      <w:proofErr w:type="spellEnd"/>
      <w:r w:rsidR="00AC09CB" w:rsidRPr="002B56BD">
        <w:rPr>
          <w:rFonts w:asciiTheme="majorBidi" w:hAnsiTheme="majorBidi" w:cstheme="majorBidi"/>
          <w:sz w:val="24"/>
          <w:szCs w:val="24"/>
          <w:lang w:bidi="ar-SA"/>
        </w:rPr>
        <w:t xml:space="preserve"> L.) for </w:t>
      </w:r>
      <w:r w:rsidR="00830441" w:rsidRPr="00E651B3">
        <w:rPr>
          <w:rFonts w:ascii="Times New Roman" w:eastAsia="Times New Roman" w:hAnsi="Times New Roman" w:cs="Times New Roman"/>
          <w:sz w:val="24"/>
          <w:szCs w:val="24"/>
        </w:rPr>
        <w:t xml:space="preserve">evaluate </w:t>
      </w:r>
      <w:r w:rsidR="005930A7">
        <w:rPr>
          <w:rFonts w:ascii="Times New Roman" w:eastAsia="Times New Roman" w:hAnsi="Times New Roman" w:cs="Times New Roman"/>
          <w:sz w:val="24"/>
          <w:szCs w:val="24"/>
        </w:rPr>
        <w:t>somatic embryos</w:t>
      </w:r>
      <w:r w:rsidR="00830441" w:rsidRPr="00E651B3">
        <w:rPr>
          <w:rFonts w:ascii="Times New Roman" w:eastAsia="Times New Roman" w:hAnsi="Times New Roman" w:cs="Times New Roman"/>
          <w:sz w:val="24"/>
          <w:szCs w:val="24"/>
        </w:rPr>
        <w:t xml:space="preserve"> response to different storage periods</w:t>
      </w:r>
      <w:r w:rsidR="00580363">
        <w:rPr>
          <w:rFonts w:ascii="Times New Roman" w:eastAsia="Times New Roman" w:hAnsi="Times New Roman" w:cs="Times New Roman"/>
          <w:sz w:val="24"/>
          <w:szCs w:val="24"/>
        </w:rPr>
        <w:t xml:space="preserve"> </w:t>
      </w:r>
      <w:r w:rsidR="005930A7">
        <w:rPr>
          <w:rFonts w:asciiTheme="majorBidi" w:hAnsiTheme="majorBidi" w:cstheme="majorBidi"/>
          <w:sz w:val="24"/>
          <w:szCs w:val="24"/>
          <w:lang w:bidi="ar-SA"/>
        </w:rPr>
        <w:t xml:space="preserve">and </w:t>
      </w:r>
      <w:proofErr w:type="spellStart"/>
      <w:r w:rsidR="00AC09CB" w:rsidRPr="002B56BD">
        <w:rPr>
          <w:rFonts w:asciiTheme="majorBidi" w:hAnsiTheme="majorBidi" w:cstheme="majorBidi"/>
          <w:sz w:val="24"/>
          <w:szCs w:val="24"/>
          <w:lang w:bidi="ar-SA"/>
        </w:rPr>
        <w:t>germplasm</w:t>
      </w:r>
      <w:proofErr w:type="spellEnd"/>
      <w:r w:rsidR="00AC09CB" w:rsidRPr="002B56BD">
        <w:rPr>
          <w:rFonts w:asciiTheme="majorBidi" w:hAnsiTheme="majorBidi" w:cstheme="majorBidi"/>
          <w:sz w:val="24"/>
          <w:szCs w:val="24"/>
          <w:lang w:bidi="ar-SA"/>
        </w:rPr>
        <w:t xml:space="preserve"> exchange purposes</w:t>
      </w:r>
      <w:r w:rsidR="00B04159" w:rsidRPr="002B56BD">
        <w:rPr>
          <w:rFonts w:asciiTheme="majorBidi" w:hAnsiTheme="majorBidi" w:cstheme="majorBidi"/>
          <w:sz w:val="24"/>
          <w:szCs w:val="24"/>
          <w:lang w:bidi="ar-SA"/>
        </w:rPr>
        <w:t>.</w:t>
      </w:r>
      <w:r w:rsidR="00F5013A" w:rsidRPr="002B56BD">
        <w:rPr>
          <w:rFonts w:asciiTheme="majorBidi" w:hAnsiTheme="majorBidi" w:cstheme="majorBidi"/>
          <w:sz w:val="24"/>
          <w:szCs w:val="24"/>
          <w:lang w:bidi="ar-SA"/>
        </w:rPr>
        <w:t xml:space="preserve"> In this experiment, the effe</w:t>
      </w:r>
      <w:r w:rsidR="00CB247B" w:rsidRPr="002B56BD">
        <w:rPr>
          <w:rFonts w:asciiTheme="majorBidi" w:hAnsiTheme="majorBidi" w:cstheme="majorBidi"/>
          <w:sz w:val="24"/>
          <w:szCs w:val="24"/>
          <w:lang w:bidi="ar-SA"/>
        </w:rPr>
        <w:t xml:space="preserve">cts of several </w:t>
      </w:r>
      <w:r w:rsidR="00E80B7B">
        <w:rPr>
          <w:rFonts w:asciiTheme="majorBidi" w:hAnsiTheme="majorBidi" w:cstheme="majorBidi"/>
          <w:sz w:val="24"/>
          <w:szCs w:val="24"/>
          <w:lang w:bidi="ar-SA"/>
        </w:rPr>
        <w:t>concentrations will be studied for:</w:t>
      </w:r>
      <w:r w:rsidR="00580363">
        <w:rPr>
          <w:rFonts w:asciiTheme="majorBidi" w:hAnsiTheme="majorBidi" w:cstheme="majorBidi"/>
          <w:sz w:val="24"/>
          <w:szCs w:val="24"/>
          <w:lang w:bidi="ar-SA"/>
        </w:rPr>
        <w:t xml:space="preserve"> </w:t>
      </w:r>
      <w:r w:rsidR="00385ED8" w:rsidRPr="002B56BD">
        <w:rPr>
          <w:rFonts w:asciiTheme="majorBidi" w:hAnsiTheme="majorBidi" w:cstheme="majorBidi"/>
          <w:sz w:val="24"/>
          <w:szCs w:val="24"/>
          <w:lang w:bidi="ar-SA"/>
        </w:rPr>
        <w:t>a) sodium alginate as gellin</w:t>
      </w:r>
      <w:r w:rsidR="00CB247B" w:rsidRPr="002B56BD">
        <w:rPr>
          <w:rFonts w:asciiTheme="majorBidi" w:hAnsiTheme="majorBidi" w:cstheme="majorBidi"/>
          <w:sz w:val="24"/>
          <w:szCs w:val="24"/>
          <w:lang w:bidi="ar-SA"/>
        </w:rPr>
        <w:t xml:space="preserve">g agent; </w:t>
      </w:r>
      <w:r w:rsidR="00385ED8" w:rsidRPr="002B56BD">
        <w:rPr>
          <w:rFonts w:asciiTheme="majorBidi" w:hAnsiTheme="majorBidi" w:cstheme="majorBidi"/>
          <w:sz w:val="24"/>
          <w:szCs w:val="24"/>
          <w:lang w:bidi="ar-SA"/>
        </w:rPr>
        <w:t xml:space="preserve">b) calcium </w:t>
      </w:r>
      <w:r w:rsidR="004F6C08" w:rsidRPr="002B56BD">
        <w:rPr>
          <w:rFonts w:asciiTheme="majorBidi" w:hAnsiTheme="majorBidi" w:cstheme="majorBidi"/>
          <w:sz w:val="24"/>
          <w:szCs w:val="24"/>
          <w:lang w:bidi="ar-SA"/>
        </w:rPr>
        <w:t>ch</w:t>
      </w:r>
      <w:r w:rsidR="00385ED8" w:rsidRPr="002B56BD">
        <w:rPr>
          <w:rFonts w:asciiTheme="majorBidi" w:hAnsiTheme="majorBidi" w:cstheme="majorBidi"/>
          <w:sz w:val="24"/>
          <w:szCs w:val="24"/>
          <w:lang w:bidi="ar-SA"/>
        </w:rPr>
        <w:t xml:space="preserve">loride </w:t>
      </w:r>
      <w:r w:rsidR="004F6C08" w:rsidRPr="002B56BD">
        <w:rPr>
          <w:rFonts w:asciiTheme="majorBidi" w:hAnsiTheme="majorBidi" w:cstheme="majorBidi"/>
          <w:sz w:val="24"/>
          <w:szCs w:val="24"/>
          <w:lang w:bidi="ar-SA"/>
        </w:rPr>
        <w:t xml:space="preserve">as </w:t>
      </w:r>
      <w:proofErr w:type="spellStart"/>
      <w:r w:rsidR="00C1667E" w:rsidRPr="002B56BD">
        <w:rPr>
          <w:rFonts w:asciiTheme="majorBidi" w:hAnsiTheme="majorBidi" w:cstheme="majorBidi"/>
          <w:sz w:val="24"/>
          <w:szCs w:val="24"/>
          <w:lang w:bidi="ar-SA"/>
        </w:rPr>
        <w:t>complexing</w:t>
      </w:r>
      <w:proofErr w:type="spellEnd"/>
      <w:r w:rsidR="00C1667E" w:rsidRPr="002B56BD">
        <w:rPr>
          <w:rFonts w:asciiTheme="majorBidi" w:hAnsiTheme="majorBidi" w:cstheme="majorBidi"/>
          <w:sz w:val="24"/>
          <w:szCs w:val="24"/>
          <w:lang w:bidi="ar-SA"/>
        </w:rPr>
        <w:t xml:space="preserve"> agent; c) </w:t>
      </w:r>
      <w:r w:rsidR="003751BE" w:rsidRPr="002B56BD">
        <w:rPr>
          <w:rFonts w:asciiTheme="majorBidi" w:hAnsiTheme="majorBidi" w:cstheme="majorBidi"/>
          <w:sz w:val="24"/>
          <w:szCs w:val="24"/>
          <w:lang w:bidi="ar-SA"/>
        </w:rPr>
        <w:t>preparation of</w:t>
      </w:r>
      <w:r w:rsidR="00623190" w:rsidRPr="002B56BD">
        <w:rPr>
          <w:rFonts w:asciiTheme="majorBidi" w:hAnsiTheme="majorBidi" w:cstheme="majorBidi"/>
          <w:sz w:val="24"/>
          <w:szCs w:val="24"/>
          <w:lang w:bidi="ar-SA"/>
        </w:rPr>
        <w:t xml:space="preserve"> sodium alginate and </w:t>
      </w:r>
      <w:r w:rsidR="00AB6A9E" w:rsidRPr="002B56BD">
        <w:rPr>
          <w:rFonts w:asciiTheme="majorBidi" w:hAnsiTheme="majorBidi" w:cstheme="majorBidi"/>
          <w:sz w:val="24"/>
          <w:szCs w:val="24"/>
          <w:lang w:bidi="ar-SA"/>
        </w:rPr>
        <w:t>d</w:t>
      </w:r>
      <w:r w:rsidR="008F4959" w:rsidRPr="002B56BD">
        <w:rPr>
          <w:rFonts w:asciiTheme="majorBidi" w:hAnsiTheme="majorBidi" w:cstheme="majorBidi"/>
          <w:sz w:val="24"/>
          <w:szCs w:val="24"/>
          <w:lang w:bidi="ar-SA"/>
        </w:rPr>
        <w:t>) IAA</w:t>
      </w:r>
      <w:r w:rsidR="002D414C" w:rsidRPr="002B56BD">
        <w:rPr>
          <w:rFonts w:asciiTheme="majorBidi" w:hAnsiTheme="majorBidi" w:cstheme="majorBidi"/>
          <w:sz w:val="24"/>
          <w:szCs w:val="24"/>
          <w:lang w:bidi="ar-SA"/>
        </w:rPr>
        <w:t xml:space="preserve"> concentration for enhance root formation in </w:t>
      </w:r>
      <w:r w:rsidR="00AB6A9E" w:rsidRPr="002B56BD">
        <w:rPr>
          <w:rFonts w:asciiTheme="majorBidi" w:hAnsiTheme="majorBidi" w:cstheme="majorBidi"/>
          <w:sz w:val="24"/>
          <w:szCs w:val="24"/>
          <w:lang w:bidi="ar-SA"/>
        </w:rPr>
        <w:t>re</w:t>
      </w:r>
      <w:r w:rsidR="00E80B7B">
        <w:rPr>
          <w:rFonts w:asciiTheme="majorBidi" w:hAnsiTheme="majorBidi" w:cstheme="majorBidi"/>
          <w:sz w:val="24"/>
          <w:szCs w:val="24"/>
          <w:lang w:bidi="ar-SA"/>
        </w:rPr>
        <w:t>-</w:t>
      </w:r>
      <w:r w:rsidR="00AB6A9E" w:rsidRPr="002B56BD">
        <w:rPr>
          <w:rFonts w:asciiTheme="majorBidi" w:hAnsiTheme="majorBidi" w:cstheme="majorBidi"/>
          <w:sz w:val="24"/>
          <w:szCs w:val="24"/>
          <w:lang w:bidi="ar-SA"/>
        </w:rPr>
        <w:t>growth</w:t>
      </w:r>
      <w:r w:rsidR="00580363">
        <w:rPr>
          <w:rFonts w:asciiTheme="majorBidi" w:hAnsiTheme="majorBidi" w:cstheme="majorBidi"/>
          <w:sz w:val="24"/>
          <w:szCs w:val="24"/>
          <w:lang w:bidi="ar-SA"/>
        </w:rPr>
        <w:t xml:space="preserve"> </w:t>
      </w:r>
      <w:r w:rsidR="002D414C" w:rsidRPr="002B56BD">
        <w:rPr>
          <w:rFonts w:asciiTheme="majorBidi" w:hAnsiTheme="majorBidi" w:cstheme="majorBidi"/>
          <w:sz w:val="24"/>
          <w:szCs w:val="24"/>
          <w:lang w:bidi="ar-SA"/>
        </w:rPr>
        <w:t xml:space="preserve">shoot </w:t>
      </w:r>
      <w:r w:rsidR="00873B01" w:rsidRPr="002B56BD">
        <w:rPr>
          <w:rFonts w:asciiTheme="majorBidi" w:hAnsiTheme="majorBidi" w:cstheme="majorBidi"/>
          <w:sz w:val="24"/>
          <w:szCs w:val="24"/>
          <w:lang w:bidi="ar-SA"/>
        </w:rPr>
        <w:t xml:space="preserve">tips after </w:t>
      </w:r>
      <w:r w:rsidR="002D414C" w:rsidRPr="002B56BD">
        <w:rPr>
          <w:rFonts w:asciiTheme="majorBidi" w:hAnsiTheme="majorBidi" w:cstheme="majorBidi"/>
          <w:sz w:val="24"/>
          <w:szCs w:val="24"/>
          <w:lang w:bidi="ar-SA"/>
        </w:rPr>
        <w:t>recovery</w:t>
      </w:r>
      <w:r w:rsidR="00873B01" w:rsidRPr="002B56BD">
        <w:rPr>
          <w:rFonts w:asciiTheme="majorBidi" w:hAnsiTheme="majorBidi" w:cstheme="majorBidi"/>
          <w:sz w:val="24"/>
          <w:szCs w:val="24"/>
          <w:lang w:bidi="ar-SA"/>
        </w:rPr>
        <w:t>.</w:t>
      </w:r>
      <w:r w:rsidR="005930A7">
        <w:rPr>
          <w:rFonts w:asciiTheme="majorBidi" w:hAnsiTheme="majorBidi" w:cstheme="majorBidi"/>
          <w:sz w:val="24"/>
          <w:szCs w:val="24"/>
          <w:lang w:bidi="ar-SA"/>
        </w:rPr>
        <w:t xml:space="preserve"> At other experiment, </w:t>
      </w:r>
      <w:r w:rsidR="005930A7" w:rsidRPr="00E651B3">
        <w:rPr>
          <w:rFonts w:ascii="Times New Roman" w:eastAsia="Times New Roman" w:hAnsi="Times New Roman" w:cs="Times New Roman"/>
          <w:sz w:val="24"/>
          <w:szCs w:val="24"/>
        </w:rPr>
        <w:t>encapsulated somatic embryos (ESEs)</w:t>
      </w:r>
      <w:r w:rsidR="00AC4C8B">
        <w:rPr>
          <w:rFonts w:asciiTheme="majorBidi" w:hAnsiTheme="majorBidi" w:cstheme="majorBidi"/>
          <w:sz w:val="24"/>
          <w:szCs w:val="24"/>
          <w:lang w:bidi="ar-SA"/>
        </w:rPr>
        <w:t xml:space="preserve"> </w:t>
      </w:r>
      <w:r w:rsidR="005930A7" w:rsidRPr="004D424D">
        <w:rPr>
          <w:rFonts w:asciiTheme="majorBidi" w:hAnsiTheme="majorBidi" w:cstheme="majorBidi"/>
          <w:sz w:val="24"/>
          <w:szCs w:val="24"/>
          <w:lang w:bidi="ar-SA"/>
        </w:rPr>
        <w:t>were encapsulated in 2% sodium alginate</w:t>
      </w:r>
      <w:r w:rsidR="005930A7">
        <w:rPr>
          <w:rFonts w:ascii="Times New Roman" w:eastAsia="Times New Roman" w:hAnsi="Times New Roman" w:cs="Times New Roman"/>
          <w:sz w:val="24"/>
          <w:szCs w:val="24"/>
        </w:rPr>
        <w:t>,</w:t>
      </w:r>
      <w:r w:rsidR="005930A7" w:rsidRPr="00E651B3">
        <w:rPr>
          <w:rFonts w:ascii="Times New Roman" w:eastAsia="Times New Roman" w:hAnsi="Times New Roman" w:cs="Times New Roman"/>
          <w:sz w:val="24"/>
          <w:szCs w:val="24"/>
        </w:rPr>
        <w:t xml:space="preserve"> stored for several periods (10, 20, 30 and 40 days) at 4°C.</w:t>
      </w:r>
      <w:r w:rsidR="00AE2935" w:rsidRPr="002B56BD">
        <w:rPr>
          <w:rFonts w:asciiTheme="majorBidi" w:hAnsiTheme="majorBidi" w:cstheme="majorBidi"/>
          <w:sz w:val="24"/>
          <w:szCs w:val="24"/>
          <w:lang w:bidi="ar-SA"/>
        </w:rPr>
        <w:t xml:space="preserve"> Results </w:t>
      </w:r>
      <w:r w:rsidR="008F4959" w:rsidRPr="002B56BD">
        <w:rPr>
          <w:rFonts w:asciiTheme="majorBidi" w:hAnsiTheme="majorBidi" w:cstheme="majorBidi"/>
          <w:sz w:val="24"/>
          <w:szCs w:val="24"/>
          <w:lang w:bidi="ar-SA"/>
        </w:rPr>
        <w:t>showed</w:t>
      </w:r>
      <w:r w:rsidR="00E545B2" w:rsidRPr="002B56BD">
        <w:rPr>
          <w:rFonts w:asciiTheme="majorBidi" w:hAnsiTheme="majorBidi" w:cstheme="majorBidi"/>
          <w:sz w:val="24"/>
          <w:szCs w:val="24"/>
          <w:lang w:bidi="ar-SA"/>
        </w:rPr>
        <w:t xml:space="preserve"> that, </w:t>
      </w:r>
      <w:r w:rsidR="006A0544" w:rsidRPr="002B56BD">
        <w:rPr>
          <w:rFonts w:asciiTheme="majorBidi" w:hAnsiTheme="majorBidi" w:cstheme="majorBidi"/>
          <w:sz w:val="24"/>
          <w:szCs w:val="24"/>
          <w:lang w:bidi="ar-SA"/>
        </w:rPr>
        <w:t xml:space="preserve">a gelling matrix of </w:t>
      </w:r>
      <w:r w:rsidR="00E545B2" w:rsidRPr="002B56BD">
        <w:rPr>
          <w:rFonts w:asciiTheme="majorBidi" w:hAnsiTheme="majorBidi" w:cstheme="majorBidi"/>
          <w:sz w:val="24"/>
          <w:szCs w:val="24"/>
          <w:lang w:bidi="ar-SA"/>
        </w:rPr>
        <w:t>4</w:t>
      </w:r>
      <w:r w:rsidR="006A0544" w:rsidRPr="002B56BD">
        <w:rPr>
          <w:rFonts w:asciiTheme="majorBidi" w:hAnsiTheme="majorBidi" w:cstheme="majorBidi"/>
          <w:sz w:val="24"/>
          <w:szCs w:val="24"/>
          <w:lang w:bidi="ar-SA"/>
        </w:rPr>
        <w:t xml:space="preserve">% sodium alginate and </w:t>
      </w:r>
      <w:r w:rsidR="00E545B2" w:rsidRPr="002B56BD">
        <w:rPr>
          <w:rFonts w:asciiTheme="majorBidi" w:hAnsiTheme="majorBidi" w:cstheme="majorBidi"/>
          <w:sz w:val="24"/>
          <w:szCs w:val="24"/>
          <w:lang w:bidi="ar-SA"/>
        </w:rPr>
        <w:t>1.4%</w:t>
      </w:r>
      <w:r w:rsidR="006A0544" w:rsidRPr="002B56BD">
        <w:rPr>
          <w:rFonts w:asciiTheme="majorBidi" w:hAnsiTheme="majorBidi" w:cstheme="majorBidi"/>
          <w:sz w:val="24"/>
          <w:szCs w:val="24"/>
          <w:lang w:bidi="ar-SA"/>
        </w:rPr>
        <w:t xml:space="preserve"> calcium chloride w</w:t>
      </w:r>
      <w:r w:rsidR="00E84B6F" w:rsidRPr="002B56BD">
        <w:rPr>
          <w:rFonts w:asciiTheme="majorBidi" w:hAnsiTheme="majorBidi" w:cstheme="majorBidi"/>
          <w:sz w:val="24"/>
          <w:szCs w:val="24"/>
          <w:lang w:bidi="ar-SA"/>
        </w:rPr>
        <w:t>ere</w:t>
      </w:r>
      <w:r w:rsidR="006A0544" w:rsidRPr="002B56BD">
        <w:rPr>
          <w:rFonts w:asciiTheme="majorBidi" w:hAnsiTheme="majorBidi" w:cstheme="majorBidi"/>
          <w:sz w:val="24"/>
          <w:szCs w:val="24"/>
          <w:lang w:bidi="ar-SA"/>
        </w:rPr>
        <w:t xml:space="preserve"> found</w:t>
      </w:r>
      <w:r w:rsidR="00580363">
        <w:rPr>
          <w:rFonts w:asciiTheme="majorBidi" w:hAnsiTheme="majorBidi" w:cstheme="majorBidi"/>
          <w:sz w:val="24"/>
          <w:szCs w:val="24"/>
          <w:lang w:bidi="ar-SA"/>
        </w:rPr>
        <w:t xml:space="preserve"> </w:t>
      </w:r>
      <w:r w:rsidR="006A0544" w:rsidRPr="002B56BD">
        <w:rPr>
          <w:rFonts w:asciiTheme="majorBidi" w:hAnsiTheme="majorBidi" w:cstheme="majorBidi"/>
          <w:sz w:val="24"/>
          <w:szCs w:val="24"/>
          <w:lang w:bidi="ar-SA"/>
        </w:rPr>
        <w:t>most suitable for formation of ideal beads</w:t>
      </w:r>
      <w:r w:rsidR="005930A7">
        <w:rPr>
          <w:rFonts w:asciiTheme="majorBidi" w:hAnsiTheme="majorBidi" w:cstheme="majorBidi"/>
          <w:sz w:val="24"/>
          <w:szCs w:val="24"/>
          <w:lang w:bidi="ar-SA"/>
        </w:rPr>
        <w:t xml:space="preserve"> in shoot tips</w:t>
      </w:r>
      <w:r w:rsidR="00966956" w:rsidRPr="002B56BD">
        <w:rPr>
          <w:rFonts w:asciiTheme="majorBidi" w:hAnsiTheme="majorBidi" w:cstheme="majorBidi"/>
          <w:sz w:val="24"/>
          <w:szCs w:val="24"/>
          <w:lang w:bidi="ar-SA"/>
        </w:rPr>
        <w:t>. E</w:t>
      </w:r>
      <w:r w:rsidR="0068311C" w:rsidRPr="002B56BD">
        <w:rPr>
          <w:rFonts w:asciiTheme="majorBidi" w:hAnsiTheme="majorBidi" w:cstheme="majorBidi"/>
          <w:sz w:val="24"/>
          <w:szCs w:val="24"/>
          <w:lang w:bidi="ar-SA"/>
        </w:rPr>
        <w:t xml:space="preserve">ncapsulated </w:t>
      </w:r>
      <w:r w:rsidR="00215732" w:rsidRPr="002B56BD">
        <w:rPr>
          <w:rFonts w:asciiTheme="majorBidi" w:hAnsiTheme="majorBidi" w:cstheme="majorBidi"/>
          <w:sz w:val="24"/>
          <w:szCs w:val="24"/>
          <w:lang w:bidi="ar-SA"/>
        </w:rPr>
        <w:t xml:space="preserve">shoot tips exhibited the best shoot development on </w:t>
      </w:r>
      <w:proofErr w:type="spellStart"/>
      <w:r w:rsidR="00215732" w:rsidRPr="002B56BD">
        <w:rPr>
          <w:rFonts w:asciiTheme="majorBidi" w:hAnsiTheme="majorBidi" w:cstheme="majorBidi"/>
          <w:sz w:val="24"/>
          <w:szCs w:val="24"/>
          <w:lang w:bidi="ar-SA"/>
        </w:rPr>
        <w:t>Murashige</w:t>
      </w:r>
      <w:proofErr w:type="spellEnd"/>
      <w:r w:rsidR="00215732" w:rsidRPr="002B56BD">
        <w:rPr>
          <w:rFonts w:asciiTheme="majorBidi" w:hAnsiTheme="majorBidi" w:cstheme="majorBidi"/>
          <w:sz w:val="24"/>
          <w:szCs w:val="24"/>
          <w:lang w:bidi="ar-SA"/>
        </w:rPr>
        <w:t xml:space="preserve"> and </w:t>
      </w:r>
      <w:proofErr w:type="spellStart"/>
      <w:r w:rsidR="00215732" w:rsidRPr="002B56BD">
        <w:rPr>
          <w:rFonts w:asciiTheme="majorBidi" w:hAnsiTheme="majorBidi" w:cstheme="majorBidi"/>
          <w:sz w:val="24"/>
          <w:szCs w:val="24"/>
          <w:lang w:bidi="ar-SA"/>
        </w:rPr>
        <w:t>Skoog</w:t>
      </w:r>
      <w:proofErr w:type="spellEnd"/>
      <w:r w:rsidR="00215732" w:rsidRPr="002B56BD">
        <w:rPr>
          <w:rFonts w:asciiTheme="majorBidi" w:hAnsiTheme="majorBidi" w:cstheme="majorBidi"/>
          <w:sz w:val="24"/>
          <w:szCs w:val="24"/>
          <w:lang w:bidi="ar-SA"/>
        </w:rPr>
        <w:t xml:space="preserve"> (MS) medium supplemented with 2 mg l</w:t>
      </w:r>
      <w:r w:rsidR="00215732" w:rsidRPr="002B56BD">
        <w:rPr>
          <w:rFonts w:asciiTheme="majorBidi" w:hAnsiTheme="majorBidi" w:cstheme="majorBidi"/>
          <w:sz w:val="24"/>
          <w:szCs w:val="24"/>
          <w:vertAlign w:val="superscript"/>
          <w:lang w:bidi="ar-SA"/>
        </w:rPr>
        <w:t>-</w:t>
      </w:r>
      <w:r w:rsidR="0070422E" w:rsidRPr="002B56BD">
        <w:rPr>
          <w:rFonts w:asciiTheme="majorBidi" w:hAnsiTheme="majorBidi" w:cstheme="majorBidi"/>
          <w:sz w:val="24"/>
          <w:szCs w:val="24"/>
          <w:vertAlign w:val="superscript"/>
          <w:lang w:bidi="ar-SA"/>
        </w:rPr>
        <w:t>1</w:t>
      </w:r>
      <w:r w:rsidR="0068311C" w:rsidRPr="002B56BD">
        <w:rPr>
          <w:rFonts w:asciiTheme="majorBidi" w:hAnsiTheme="majorBidi" w:cstheme="majorBidi"/>
          <w:sz w:val="24"/>
          <w:szCs w:val="24"/>
          <w:lang w:bidi="ar-SA"/>
        </w:rPr>
        <w:t>BAP</w:t>
      </w:r>
      <w:r w:rsidR="00215732" w:rsidRPr="002B56BD">
        <w:rPr>
          <w:rFonts w:asciiTheme="majorBidi" w:hAnsiTheme="majorBidi" w:cstheme="majorBidi"/>
          <w:sz w:val="24"/>
          <w:szCs w:val="24"/>
          <w:lang w:bidi="ar-SA"/>
        </w:rPr>
        <w:t xml:space="preserve"> and </w:t>
      </w:r>
      <w:r w:rsidR="000F0ADF" w:rsidRPr="002B56BD">
        <w:rPr>
          <w:rFonts w:asciiTheme="majorBidi" w:hAnsiTheme="majorBidi" w:cstheme="majorBidi"/>
          <w:sz w:val="24"/>
          <w:szCs w:val="24"/>
          <w:lang w:bidi="ar-SA"/>
        </w:rPr>
        <w:t>2mg l</w:t>
      </w:r>
      <w:r w:rsidR="000F0ADF" w:rsidRPr="002B56BD">
        <w:rPr>
          <w:rFonts w:asciiTheme="majorBidi" w:hAnsiTheme="majorBidi" w:cstheme="majorBidi"/>
          <w:sz w:val="24"/>
          <w:szCs w:val="24"/>
          <w:vertAlign w:val="superscript"/>
          <w:lang w:bidi="ar-SA"/>
        </w:rPr>
        <w:t>-1</w:t>
      </w:r>
      <w:r w:rsidR="00215732" w:rsidRPr="002B56BD">
        <w:rPr>
          <w:rFonts w:asciiTheme="majorBidi" w:hAnsiTheme="majorBidi" w:cstheme="majorBidi"/>
          <w:sz w:val="24"/>
          <w:szCs w:val="24"/>
          <w:lang w:bidi="ar-SA"/>
        </w:rPr>
        <w:t>IAA</w:t>
      </w:r>
      <w:r w:rsidR="000D2BA9" w:rsidRPr="002B56BD">
        <w:rPr>
          <w:rFonts w:asciiTheme="majorBidi" w:hAnsiTheme="majorBidi" w:cstheme="majorBidi"/>
          <w:sz w:val="24"/>
          <w:szCs w:val="24"/>
          <w:lang w:bidi="ar-SA"/>
        </w:rPr>
        <w:t xml:space="preserve"> (</w:t>
      </w:r>
      <w:r w:rsidR="00244F07" w:rsidRPr="002B56BD">
        <w:rPr>
          <w:rFonts w:asciiTheme="majorBidi" w:hAnsiTheme="majorBidi" w:cstheme="majorBidi"/>
          <w:sz w:val="24"/>
          <w:szCs w:val="24"/>
        </w:rPr>
        <w:t xml:space="preserve">70.2 </w:t>
      </w:r>
      <w:r w:rsidR="000D2BA9" w:rsidRPr="002B56BD">
        <w:rPr>
          <w:rFonts w:asciiTheme="majorBidi" w:hAnsiTheme="majorBidi" w:cstheme="majorBidi"/>
          <w:sz w:val="24"/>
          <w:szCs w:val="24"/>
        </w:rPr>
        <w:t>%)</w:t>
      </w:r>
      <w:r w:rsidR="00215732" w:rsidRPr="002B56BD">
        <w:rPr>
          <w:rFonts w:asciiTheme="majorBidi" w:hAnsiTheme="majorBidi" w:cstheme="majorBidi"/>
          <w:sz w:val="24"/>
          <w:szCs w:val="24"/>
          <w:lang w:bidi="ar-SA"/>
        </w:rPr>
        <w:t xml:space="preserve"> followed by hormone-free MS basal </w:t>
      </w:r>
      <w:r w:rsidR="00221B20" w:rsidRPr="002B56BD">
        <w:rPr>
          <w:rFonts w:asciiTheme="majorBidi" w:hAnsiTheme="majorBidi" w:cstheme="majorBidi"/>
          <w:sz w:val="24"/>
          <w:szCs w:val="24"/>
          <w:lang w:bidi="ar-SA"/>
        </w:rPr>
        <w:t>medium (</w:t>
      </w:r>
      <w:r w:rsidR="00244F07" w:rsidRPr="002B56BD">
        <w:rPr>
          <w:rFonts w:asciiTheme="majorBidi" w:hAnsiTheme="majorBidi" w:cstheme="majorBidi"/>
          <w:sz w:val="24"/>
          <w:szCs w:val="24"/>
        </w:rPr>
        <w:t xml:space="preserve">63.19%) </w:t>
      </w:r>
      <w:r w:rsidR="000F0ADF" w:rsidRPr="002B56BD">
        <w:rPr>
          <w:rFonts w:asciiTheme="majorBidi" w:hAnsiTheme="majorBidi" w:cstheme="majorBidi"/>
          <w:sz w:val="24"/>
          <w:szCs w:val="24"/>
          <w:lang w:bidi="ar-SA"/>
        </w:rPr>
        <w:t>and distilled water</w:t>
      </w:r>
      <w:r w:rsidR="00244F07" w:rsidRPr="002B56BD">
        <w:rPr>
          <w:rFonts w:asciiTheme="majorBidi" w:hAnsiTheme="majorBidi" w:cstheme="majorBidi"/>
          <w:sz w:val="24"/>
          <w:szCs w:val="24"/>
          <w:lang w:bidi="ar-SA"/>
        </w:rPr>
        <w:t xml:space="preserve"> (</w:t>
      </w:r>
      <w:r w:rsidR="00244F07" w:rsidRPr="002B56BD">
        <w:rPr>
          <w:rFonts w:asciiTheme="majorBidi" w:hAnsiTheme="majorBidi" w:cstheme="majorBidi"/>
          <w:sz w:val="24"/>
          <w:szCs w:val="24"/>
        </w:rPr>
        <w:t>62.16%)</w:t>
      </w:r>
      <w:r w:rsidR="000F0ADF" w:rsidRPr="002B56BD">
        <w:rPr>
          <w:rFonts w:asciiTheme="majorBidi" w:hAnsiTheme="majorBidi" w:cstheme="majorBidi"/>
          <w:sz w:val="24"/>
          <w:szCs w:val="24"/>
          <w:lang w:bidi="ar-SA"/>
        </w:rPr>
        <w:t>.</w:t>
      </w:r>
      <w:r w:rsidR="00E02AB5" w:rsidRPr="002B56BD">
        <w:rPr>
          <w:rFonts w:asciiTheme="majorBidi" w:hAnsiTheme="majorBidi" w:cstheme="majorBidi"/>
          <w:sz w:val="24"/>
          <w:szCs w:val="24"/>
          <w:lang w:bidi="ar-SA"/>
        </w:rPr>
        <w:t>Furthermore</w:t>
      </w:r>
      <w:r w:rsidR="00E770A6" w:rsidRPr="002B56BD">
        <w:rPr>
          <w:rFonts w:asciiTheme="majorBidi" w:hAnsiTheme="majorBidi" w:cstheme="majorBidi"/>
          <w:sz w:val="24"/>
          <w:szCs w:val="24"/>
          <w:lang w:bidi="ar-SA"/>
        </w:rPr>
        <w:t xml:space="preserve">, </w:t>
      </w:r>
      <w:r w:rsidR="00E80B7B">
        <w:rPr>
          <w:rFonts w:asciiTheme="majorBidi" w:hAnsiTheme="majorBidi" w:cstheme="majorBidi"/>
          <w:sz w:val="24"/>
          <w:szCs w:val="24"/>
          <w:lang w:bidi="ar-SA"/>
        </w:rPr>
        <w:t xml:space="preserve">it </w:t>
      </w:r>
      <w:r w:rsidR="0068311C" w:rsidRPr="002B56BD">
        <w:rPr>
          <w:rFonts w:asciiTheme="majorBidi" w:hAnsiTheme="majorBidi" w:cstheme="majorBidi"/>
          <w:sz w:val="24"/>
          <w:szCs w:val="24"/>
          <w:lang w:bidi="ar-SA"/>
        </w:rPr>
        <w:t xml:space="preserve">illustrated </w:t>
      </w:r>
      <w:r w:rsidR="00E770A6" w:rsidRPr="002B56BD">
        <w:rPr>
          <w:rFonts w:asciiTheme="majorBidi" w:hAnsiTheme="majorBidi" w:cstheme="majorBidi"/>
          <w:sz w:val="24"/>
          <w:szCs w:val="24"/>
          <w:lang w:bidi="ar-SA"/>
        </w:rPr>
        <w:t>that</w:t>
      </w:r>
      <w:r w:rsidR="00AA58C1" w:rsidRPr="002B56BD">
        <w:rPr>
          <w:rFonts w:asciiTheme="majorBidi" w:hAnsiTheme="majorBidi" w:cstheme="majorBidi"/>
          <w:sz w:val="24"/>
          <w:szCs w:val="24"/>
          <w:lang w:bidi="ar-SA"/>
        </w:rPr>
        <w:t>2 mg l</w:t>
      </w:r>
      <w:r w:rsidR="00AA58C1" w:rsidRPr="002B56BD">
        <w:rPr>
          <w:rFonts w:asciiTheme="majorBidi" w:hAnsiTheme="majorBidi" w:cstheme="majorBidi"/>
          <w:sz w:val="24"/>
          <w:szCs w:val="24"/>
          <w:vertAlign w:val="superscript"/>
          <w:lang w:bidi="ar-SA"/>
        </w:rPr>
        <w:t>-1</w:t>
      </w:r>
      <w:r w:rsidR="00AA58C1" w:rsidRPr="002B56BD">
        <w:rPr>
          <w:rFonts w:asciiTheme="majorBidi" w:hAnsiTheme="majorBidi" w:cstheme="majorBidi"/>
          <w:sz w:val="24"/>
          <w:szCs w:val="24"/>
          <w:lang w:bidi="ar-SA"/>
        </w:rPr>
        <w:t xml:space="preserve"> IAA </w:t>
      </w:r>
      <w:r w:rsidR="005201A9" w:rsidRPr="002B56BD">
        <w:rPr>
          <w:rFonts w:asciiTheme="majorBidi" w:hAnsiTheme="majorBidi" w:cstheme="majorBidi"/>
          <w:sz w:val="24"/>
          <w:szCs w:val="24"/>
          <w:lang w:bidi="ar-SA"/>
        </w:rPr>
        <w:t xml:space="preserve">produced </w:t>
      </w:r>
      <w:r w:rsidR="00E80B7B">
        <w:rPr>
          <w:rFonts w:asciiTheme="majorBidi" w:hAnsiTheme="majorBidi" w:cstheme="majorBidi"/>
          <w:sz w:val="24"/>
          <w:szCs w:val="24"/>
          <w:lang w:bidi="ar-SA"/>
        </w:rPr>
        <w:t xml:space="preserve">a </w:t>
      </w:r>
      <w:r w:rsidR="005201A9" w:rsidRPr="002B56BD">
        <w:rPr>
          <w:rFonts w:asciiTheme="majorBidi" w:hAnsiTheme="majorBidi" w:cstheme="majorBidi"/>
          <w:sz w:val="24"/>
          <w:szCs w:val="24"/>
          <w:lang w:bidi="ar-SA"/>
        </w:rPr>
        <w:t xml:space="preserve">highest root in plantlets derived from </w:t>
      </w:r>
      <w:r w:rsidR="00011829" w:rsidRPr="002B56BD">
        <w:rPr>
          <w:rFonts w:asciiTheme="majorBidi" w:hAnsiTheme="majorBidi" w:cstheme="majorBidi"/>
          <w:sz w:val="24"/>
          <w:szCs w:val="24"/>
          <w:lang w:bidi="ar-SA"/>
        </w:rPr>
        <w:t>encapsulated shoot tips.</w:t>
      </w:r>
      <w:r w:rsidR="00143450">
        <w:rPr>
          <w:rFonts w:asciiTheme="majorBidi" w:hAnsiTheme="majorBidi" w:cstheme="majorBidi"/>
          <w:sz w:val="24"/>
          <w:szCs w:val="24"/>
          <w:lang w:bidi="ar-SA"/>
        </w:rPr>
        <w:t xml:space="preserve"> The second experiment results indicated that </w:t>
      </w:r>
      <w:r w:rsidR="00143450" w:rsidRPr="00E651B3">
        <w:rPr>
          <w:rFonts w:ascii="Times New Roman" w:eastAsia="Times New Roman" w:hAnsi="Times New Roman" w:cs="Times New Roman"/>
          <w:sz w:val="24"/>
          <w:szCs w:val="24"/>
        </w:rPr>
        <w:t>Maximum conversion frequency of 55.5% was obtained from encapsulated embryos cultured on MS medium without plant growth regulators stored for 10 days. The longer duration of cold storage, caused the less in plantlet recovery.  This work indicates that encapsulated somatic embryos of canola could be regenerated for a limited period time.</w:t>
      </w:r>
    </w:p>
    <w:p w:rsidR="00484D0C" w:rsidRDefault="00A3151C" w:rsidP="00580363">
      <w:pPr>
        <w:autoSpaceDE w:val="0"/>
        <w:autoSpaceDN w:val="0"/>
        <w:adjustRightInd w:val="0"/>
        <w:rPr>
          <w:rFonts w:asciiTheme="majorBidi" w:hAnsiTheme="majorBidi" w:cstheme="majorBidi"/>
          <w:sz w:val="24"/>
          <w:szCs w:val="24"/>
          <w:lang w:bidi="ar-SA"/>
        </w:rPr>
      </w:pPr>
      <w:r w:rsidRPr="002B56BD">
        <w:rPr>
          <w:rFonts w:asciiTheme="majorBidi" w:hAnsiTheme="majorBidi" w:cstheme="majorBidi"/>
          <w:b/>
          <w:bCs/>
          <w:sz w:val="24"/>
          <w:szCs w:val="24"/>
          <w:lang w:bidi="ar-SA"/>
        </w:rPr>
        <w:lastRenderedPageBreak/>
        <w:t>Key word</w:t>
      </w:r>
      <w:r w:rsidRPr="002B56BD">
        <w:rPr>
          <w:rFonts w:asciiTheme="majorBidi" w:hAnsiTheme="majorBidi" w:cstheme="majorBidi"/>
          <w:sz w:val="24"/>
          <w:szCs w:val="24"/>
          <w:lang w:bidi="ar-SA"/>
        </w:rPr>
        <w:t xml:space="preserve">: </w:t>
      </w:r>
      <w:r w:rsidR="00B76191" w:rsidRPr="004A6E25">
        <w:rPr>
          <w:rFonts w:asciiTheme="majorBidi" w:hAnsiTheme="majorBidi" w:cstheme="majorBidi"/>
          <w:sz w:val="24"/>
          <w:szCs w:val="24"/>
          <w:lang w:bidi="ar-SA"/>
        </w:rPr>
        <w:t>cold storage</w:t>
      </w:r>
      <w:r w:rsidR="00B76191">
        <w:rPr>
          <w:rFonts w:asciiTheme="majorBidi" w:hAnsiTheme="majorBidi" w:cstheme="majorBidi"/>
          <w:sz w:val="24"/>
          <w:szCs w:val="24"/>
          <w:lang w:bidi="ar-SA"/>
        </w:rPr>
        <w:t>;</w:t>
      </w:r>
      <w:r w:rsidR="00580363">
        <w:rPr>
          <w:rFonts w:asciiTheme="majorBidi" w:hAnsiTheme="majorBidi" w:cstheme="majorBidi"/>
          <w:sz w:val="24"/>
          <w:szCs w:val="24"/>
          <w:lang w:bidi="ar-SA"/>
        </w:rPr>
        <w:t xml:space="preserve"> </w:t>
      </w:r>
      <w:proofErr w:type="gramStart"/>
      <w:r w:rsidR="00580363">
        <w:rPr>
          <w:rFonts w:asciiTheme="majorBidi" w:hAnsiTheme="majorBidi" w:cstheme="majorBidi"/>
          <w:sz w:val="24"/>
          <w:szCs w:val="24"/>
          <w:lang w:bidi="ar-SA"/>
        </w:rPr>
        <w:t>E</w:t>
      </w:r>
      <w:r w:rsidR="004A6E25" w:rsidRPr="00E651B3">
        <w:rPr>
          <w:rFonts w:ascii="Times New Roman" w:eastAsia="Times New Roman" w:hAnsi="Times New Roman" w:cs="Times New Roman"/>
          <w:sz w:val="26"/>
          <w:szCs w:val="26"/>
        </w:rPr>
        <w:t>ncapsulated</w:t>
      </w:r>
      <w:proofErr w:type="gramEnd"/>
      <w:r w:rsidR="004A6E25" w:rsidRPr="00E651B3">
        <w:rPr>
          <w:rFonts w:ascii="Times New Roman" w:eastAsia="Times New Roman" w:hAnsi="Times New Roman" w:cs="Times New Roman"/>
          <w:sz w:val="26"/>
          <w:szCs w:val="26"/>
        </w:rPr>
        <w:t xml:space="preserve"> somatic embryos (</w:t>
      </w:r>
      <w:r w:rsidR="004A6E25">
        <w:rPr>
          <w:rFonts w:ascii="Times New Roman" w:eastAsia="Times New Roman" w:hAnsi="Times New Roman" w:cs="Times New Roman"/>
          <w:sz w:val="26"/>
          <w:szCs w:val="26"/>
        </w:rPr>
        <w:t>ESEs)</w:t>
      </w:r>
      <w:r w:rsidR="0078494E" w:rsidRPr="002B56BD">
        <w:rPr>
          <w:rFonts w:asciiTheme="majorBidi" w:hAnsiTheme="majorBidi" w:cstheme="majorBidi"/>
          <w:sz w:val="24"/>
          <w:szCs w:val="24"/>
          <w:lang w:bidi="ar-SA"/>
        </w:rPr>
        <w:t xml:space="preserve">; shoot tips encapsulation; sodium alginate </w:t>
      </w:r>
    </w:p>
    <w:p w:rsidR="00484D0C" w:rsidRDefault="00792731" w:rsidP="009C4AE1">
      <w:pPr>
        <w:rPr>
          <w:rFonts w:asciiTheme="majorBidi" w:hAnsiTheme="majorBidi" w:cstheme="majorBidi"/>
          <w:b/>
          <w:bCs/>
          <w:sz w:val="24"/>
          <w:szCs w:val="24"/>
        </w:rPr>
      </w:pPr>
      <w:r w:rsidRPr="00A45214">
        <w:rPr>
          <w:rFonts w:asciiTheme="majorBidi" w:hAnsiTheme="majorBidi" w:cstheme="majorBidi"/>
          <w:b/>
          <w:bCs/>
          <w:sz w:val="24"/>
          <w:szCs w:val="24"/>
        </w:rPr>
        <w:t>Introduction</w:t>
      </w:r>
    </w:p>
    <w:p w:rsidR="00484D0C" w:rsidRDefault="00684261" w:rsidP="008F36C5">
      <w:pPr>
        <w:ind w:firstLine="720"/>
        <w:rPr>
          <w:rFonts w:asciiTheme="majorBidi" w:hAnsiTheme="majorBidi" w:cstheme="majorBidi"/>
          <w:sz w:val="24"/>
          <w:szCs w:val="24"/>
        </w:rPr>
      </w:pPr>
      <w:r w:rsidRPr="003C5B68">
        <w:rPr>
          <w:rFonts w:asciiTheme="majorBidi" w:hAnsiTheme="majorBidi" w:cstheme="majorBidi"/>
          <w:sz w:val="24"/>
          <w:szCs w:val="24"/>
        </w:rPr>
        <w:t>Numerous</w:t>
      </w:r>
      <w:r w:rsidR="00CF7FC7" w:rsidRPr="003C5B68">
        <w:rPr>
          <w:rFonts w:asciiTheme="majorBidi" w:hAnsiTheme="majorBidi" w:cstheme="majorBidi"/>
          <w:sz w:val="24"/>
          <w:szCs w:val="24"/>
        </w:rPr>
        <w:t xml:space="preserve"> studies were undertaken in this practice-oriented field of plant biotechnology</w:t>
      </w:r>
      <w:r w:rsidR="00AC4C8B">
        <w:rPr>
          <w:rFonts w:asciiTheme="majorBidi" w:hAnsiTheme="majorBidi" w:cstheme="majorBidi"/>
          <w:sz w:val="24"/>
          <w:szCs w:val="24"/>
        </w:rPr>
        <w:t xml:space="preserve"> </w:t>
      </w:r>
      <w:r w:rsidR="00CF7FC7" w:rsidRPr="003C5B68">
        <w:rPr>
          <w:rFonts w:asciiTheme="majorBidi" w:hAnsiTheme="majorBidi" w:cstheme="majorBidi"/>
          <w:sz w:val="24"/>
          <w:szCs w:val="24"/>
        </w:rPr>
        <w:t>(</w:t>
      </w:r>
      <w:proofErr w:type="spellStart"/>
      <w:r w:rsidR="00FC4507" w:rsidRPr="003C5B68">
        <w:rPr>
          <w:rFonts w:asciiTheme="majorBidi" w:hAnsiTheme="majorBidi" w:cstheme="majorBidi"/>
          <w:sz w:val="24"/>
          <w:szCs w:val="24"/>
        </w:rPr>
        <w:t>Tsvetkov</w:t>
      </w:r>
      <w:proofErr w:type="spellEnd"/>
      <w:r w:rsidR="005F31B1" w:rsidRPr="003C5B68">
        <w:rPr>
          <w:rFonts w:asciiTheme="majorBidi" w:hAnsiTheme="majorBidi" w:cstheme="majorBidi"/>
          <w:sz w:val="24"/>
          <w:szCs w:val="24"/>
        </w:rPr>
        <w:t xml:space="preserve"> and</w:t>
      </w:r>
      <w:r w:rsidR="00580363">
        <w:rPr>
          <w:rFonts w:asciiTheme="majorBidi" w:hAnsiTheme="majorBidi" w:cstheme="majorBidi"/>
          <w:sz w:val="24"/>
          <w:szCs w:val="24"/>
        </w:rPr>
        <w:t xml:space="preserve"> </w:t>
      </w:r>
      <w:proofErr w:type="spellStart"/>
      <w:r w:rsidR="00FC4507" w:rsidRPr="003C5B68">
        <w:rPr>
          <w:rFonts w:asciiTheme="majorBidi" w:hAnsiTheme="majorBidi" w:cstheme="majorBidi"/>
          <w:sz w:val="24"/>
          <w:szCs w:val="24"/>
        </w:rPr>
        <w:t>Hausman</w:t>
      </w:r>
      <w:proofErr w:type="spellEnd"/>
      <w:r w:rsidR="00FC4507" w:rsidRPr="003C5B68">
        <w:rPr>
          <w:rFonts w:asciiTheme="majorBidi" w:hAnsiTheme="majorBidi" w:cstheme="majorBidi"/>
          <w:sz w:val="24"/>
          <w:szCs w:val="24"/>
        </w:rPr>
        <w:t xml:space="preserve"> 2005</w:t>
      </w:r>
      <w:proofErr w:type="gramStart"/>
      <w:r w:rsidR="00FC4507" w:rsidRPr="003C5B68">
        <w:rPr>
          <w:rFonts w:asciiTheme="majorBidi" w:hAnsiTheme="majorBidi" w:cstheme="majorBidi"/>
          <w:sz w:val="24"/>
          <w:szCs w:val="24"/>
        </w:rPr>
        <w:t>)</w:t>
      </w:r>
      <w:r w:rsidRPr="003C5B68">
        <w:rPr>
          <w:rFonts w:asciiTheme="majorBidi" w:hAnsiTheme="majorBidi" w:cstheme="majorBidi"/>
          <w:sz w:val="24"/>
          <w:szCs w:val="24"/>
        </w:rPr>
        <w:t>since</w:t>
      </w:r>
      <w:proofErr w:type="gramEnd"/>
      <w:r w:rsidR="00E80B7B" w:rsidRPr="003C5B68">
        <w:rPr>
          <w:rFonts w:asciiTheme="majorBidi" w:hAnsiTheme="majorBidi" w:cstheme="majorBidi"/>
          <w:sz w:val="24"/>
          <w:szCs w:val="24"/>
        </w:rPr>
        <w:t xml:space="preserve"> the concept of ‘‘artificial seeds’’ was formulated by </w:t>
      </w:r>
      <w:proofErr w:type="spellStart"/>
      <w:r w:rsidR="00E80B7B" w:rsidRPr="003C5B68">
        <w:rPr>
          <w:rFonts w:asciiTheme="majorBidi" w:hAnsiTheme="majorBidi" w:cstheme="majorBidi"/>
          <w:sz w:val="24"/>
          <w:szCs w:val="24"/>
        </w:rPr>
        <w:t>Murashige</w:t>
      </w:r>
      <w:proofErr w:type="spellEnd"/>
      <w:r w:rsidR="00E80B7B" w:rsidRPr="003C5B68">
        <w:rPr>
          <w:rFonts w:asciiTheme="majorBidi" w:hAnsiTheme="majorBidi" w:cstheme="majorBidi"/>
          <w:sz w:val="24"/>
          <w:szCs w:val="24"/>
        </w:rPr>
        <w:t xml:space="preserve"> (1997)</w:t>
      </w:r>
      <w:r w:rsidR="00FC4507" w:rsidRPr="003C5B68">
        <w:rPr>
          <w:rFonts w:asciiTheme="majorBidi" w:hAnsiTheme="majorBidi" w:cstheme="majorBidi"/>
          <w:sz w:val="24"/>
          <w:szCs w:val="24"/>
        </w:rPr>
        <w:t>.</w:t>
      </w:r>
      <w:r w:rsidR="004A6E25" w:rsidRPr="003C5B68">
        <w:rPr>
          <w:rFonts w:asciiTheme="majorBidi" w:hAnsiTheme="majorBidi" w:cstheme="majorBidi"/>
          <w:sz w:val="24"/>
          <w:szCs w:val="24"/>
        </w:rPr>
        <w:t xml:space="preserve">Encapsulation technology has been applied to crop species to produce artificial seeds from somatic embryos and buds (Bajaj 1995). </w:t>
      </w:r>
      <w:r w:rsidR="003D75F0" w:rsidRPr="003C5B68">
        <w:rPr>
          <w:rFonts w:asciiTheme="majorBidi" w:hAnsiTheme="majorBidi" w:cstheme="majorBidi"/>
          <w:sz w:val="24"/>
          <w:szCs w:val="24"/>
        </w:rPr>
        <w:t xml:space="preserve">Synthetic seed technologies are useful tools for the field delivery of in vitro derived plantlets. On the other hands, the artificial cover protects the </w:t>
      </w:r>
      <w:proofErr w:type="spellStart"/>
      <w:r w:rsidR="003D75F0" w:rsidRPr="003C5B68">
        <w:rPr>
          <w:rFonts w:asciiTheme="majorBidi" w:hAnsiTheme="majorBidi" w:cstheme="majorBidi"/>
          <w:sz w:val="24"/>
          <w:szCs w:val="24"/>
        </w:rPr>
        <w:t>embryoid</w:t>
      </w:r>
      <w:proofErr w:type="spellEnd"/>
      <w:r w:rsidR="003D75F0" w:rsidRPr="003C5B68">
        <w:rPr>
          <w:rFonts w:asciiTheme="majorBidi" w:hAnsiTheme="majorBidi" w:cstheme="majorBidi"/>
          <w:sz w:val="24"/>
          <w:szCs w:val="24"/>
        </w:rPr>
        <w:t xml:space="preserve"> or </w:t>
      </w:r>
      <w:proofErr w:type="spellStart"/>
      <w:r w:rsidR="003D75F0" w:rsidRPr="003C5B68">
        <w:rPr>
          <w:rFonts w:asciiTheme="majorBidi" w:hAnsiTheme="majorBidi" w:cstheme="majorBidi"/>
          <w:sz w:val="24"/>
          <w:szCs w:val="24"/>
        </w:rPr>
        <w:t>meristematic</w:t>
      </w:r>
      <w:proofErr w:type="spellEnd"/>
      <w:r w:rsidR="003D75F0" w:rsidRPr="003C5B68">
        <w:rPr>
          <w:rFonts w:asciiTheme="majorBidi" w:hAnsiTheme="majorBidi" w:cstheme="majorBidi"/>
          <w:sz w:val="24"/>
          <w:szCs w:val="24"/>
        </w:rPr>
        <w:t xml:space="preserve"> tissues against mechanical damage, drying or </w:t>
      </w:r>
      <w:r w:rsidRPr="003C5B68">
        <w:rPr>
          <w:rFonts w:asciiTheme="majorBidi" w:hAnsiTheme="majorBidi" w:cstheme="majorBidi"/>
          <w:sz w:val="24"/>
          <w:szCs w:val="24"/>
        </w:rPr>
        <w:t xml:space="preserve">dehydrating </w:t>
      </w:r>
      <w:r w:rsidR="003D75F0" w:rsidRPr="003C5B68">
        <w:rPr>
          <w:rFonts w:asciiTheme="majorBidi" w:hAnsiTheme="majorBidi" w:cstheme="majorBidi"/>
          <w:sz w:val="24"/>
          <w:szCs w:val="24"/>
        </w:rPr>
        <w:t>during storage and transportation. Capsules with sterile material can be exchanged easily between laboratories</w:t>
      </w:r>
      <w:r w:rsidR="003D75F0" w:rsidRPr="00A45214">
        <w:rPr>
          <w:rFonts w:asciiTheme="majorBidi" w:hAnsiTheme="majorBidi" w:cstheme="majorBidi"/>
          <w:sz w:val="24"/>
          <w:szCs w:val="24"/>
        </w:rPr>
        <w:t xml:space="preserve"> (</w:t>
      </w:r>
      <w:proofErr w:type="spellStart"/>
      <w:r w:rsidR="003D75F0" w:rsidRPr="00A45214">
        <w:rPr>
          <w:rFonts w:asciiTheme="majorBidi" w:hAnsiTheme="majorBidi" w:cstheme="majorBidi"/>
          <w:sz w:val="24"/>
          <w:szCs w:val="24"/>
        </w:rPr>
        <w:t>Zych</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2C7B62" w:rsidRPr="008F36C5">
        <w:rPr>
          <w:rFonts w:asciiTheme="majorBidi" w:hAnsiTheme="majorBidi" w:cstheme="majorBidi"/>
          <w:sz w:val="24"/>
          <w:szCs w:val="24"/>
        </w:rPr>
        <w:t>.</w:t>
      </w:r>
      <w:r w:rsidR="003D75F0" w:rsidRPr="003C5B68">
        <w:rPr>
          <w:rFonts w:asciiTheme="majorBidi" w:hAnsiTheme="majorBidi" w:cstheme="majorBidi"/>
          <w:sz w:val="24"/>
          <w:szCs w:val="24"/>
        </w:rPr>
        <w:t xml:space="preserve"> 2005). </w:t>
      </w:r>
      <w:r w:rsidR="00CF7FC7" w:rsidRPr="003C5B68">
        <w:rPr>
          <w:rFonts w:asciiTheme="majorBidi" w:hAnsiTheme="majorBidi" w:cstheme="majorBidi"/>
          <w:sz w:val="24"/>
          <w:szCs w:val="24"/>
        </w:rPr>
        <w:t>Encapsulation technology has been widely used for biopharmaceutical purposes (</w:t>
      </w:r>
      <w:proofErr w:type="spellStart"/>
      <w:r w:rsidR="00CF7FC7" w:rsidRPr="003C5B68">
        <w:rPr>
          <w:rFonts w:asciiTheme="majorBidi" w:hAnsiTheme="majorBidi" w:cstheme="majorBidi"/>
          <w:sz w:val="24"/>
          <w:szCs w:val="24"/>
        </w:rPr>
        <w:t>Blandino</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2C7B62" w:rsidRPr="008F36C5">
        <w:rPr>
          <w:rFonts w:asciiTheme="majorBidi" w:hAnsiTheme="majorBidi" w:cstheme="majorBidi"/>
          <w:sz w:val="24"/>
          <w:szCs w:val="24"/>
        </w:rPr>
        <w:t>.</w:t>
      </w:r>
      <w:r w:rsidR="00CF7FC7" w:rsidRPr="003C5B68">
        <w:rPr>
          <w:rFonts w:asciiTheme="majorBidi" w:hAnsiTheme="majorBidi" w:cstheme="majorBidi"/>
          <w:sz w:val="24"/>
          <w:szCs w:val="24"/>
        </w:rPr>
        <w:t xml:space="preserve"> 2000</w:t>
      </w:r>
      <w:r w:rsidR="0027461A" w:rsidRPr="003C5B68">
        <w:rPr>
          <w:rFonts w:asciiTheme="majorBidi" w:hAnsiTheme="majorBidi" w:cstheme="majorBidi"/>
          <w:sz w:val="24"/>
          <w:szCs w:val="24"/>
        </w:rPr>
        <w:t xml:space="preserve">). </w:t>
      </w:r>
      <w:r w:rsidR="005B00E3" w:rsidRPr="003C5B68">
        <w:rPr>
          <w:rFonts w:asciiTheme="majorBidi" w:hAnsiTheme="majorBidi" w:cstheme="majorBidi"/>
          <w:sz w:val="24"/>
          <w:szCs w:val="24"/>
        </w:rPr>
        <w:t>In addition</w:t>
      </w:r>
      <w:r w:rsidR="00CF7FC7" w:rsidRPr="003C5B68">
        <w:rPr>
          <w:rFonts w:asciiTheme="majorBidi" w:hAnsiTheme="majorBidi" w:cstheme="majorBidi"/>
          <w:sz w:val="24"/>
          <w:szCs w:val="24"/>
        </w:rPr>
        <w:t xml:space="preserve">, </w:t>
      </w:r>
      <w:r w:rsidR="005B00E3" w:rsidRPr="003C5B68">
        <w:rPr>
          <w:rFonts w:asciiTheme="majorBidi" w:hAnsiTheme="majorBidi" w:cstheme="majorBidi"/>
          <w:sz w:val="24"/>
          <w:szCs w:val="24"/>
        </w:rPr>
        <w:t xml:space="preserve">the </w:t>
      </w:r>
      <w:r w:rsidR="00CF7FC7" w:rsidRPr="003C5B68">
        <w:rPr>
          <w:rFonts w:asciiTheme="majorBidi" w:hAnsiTheme="majorBidi" w:cstheme="majorBidi"/>
          <w:sz w:val="24"/>
          <w:szCs w:val="24"/>
        </w:rPr>
        <w:t xml:space="preserve">synthetic seed technology could be useful in </w:t>
      </w:r>
      <w:proofErr w:type="spellStart"/>
      <w:r w:rsidR="00CF7FC7" w:rsidRPr="003C5B68">
        <w:rPr>
          <w:rFonts w:asciiTheme="majorBidi" w:hAnsiTheme="majorBidi" w:cstheme="majorBidi"/>
          <w:sz w:val="24"/>
          <w:szCs w:val="24"/>
        </w:rPr>
        <w:t>germplasm</w:t>
      </w:r>
      <w:proofErr w:type="spellEnd"/>
      <w:r w:rsidR="00CF7FC7" w:rsidRPr="003C5B68">
        <w:rPr>
          <w:rFonts w:asciiTheme="majorBidi" w:hAnsiTheme="majorBidi" w:cstheme="majorBidi"/>
          <w:sz w:val="24"/>
          <w:szCs w:val="24"/>
        </w:rPr>
        <w:t xml:space="preserve"> conservation of elite</w:t>
      </w:r>
      <w:r w:rsidR="005B00E3" w:rsidRPr="003C5B68">
        <w:rPr>
          <w:rFonts w:asciiTheme="majorBidi" w:hAnsiTheme="majorBidi" w:cstheme="majorBidi"/>
          <w:sz w:val="24"/>
          <w:szCs w:val="24"/>
        </w:rPr>
        <w:t xml:space="preserve"> (superior species)</w:t>
      </w:r>
      <w:r w:rsidR="00CF7FC7" w:rsidRPr="003C5B68">
        <w:rPr>
          <w:rFonts w:asciiTheme="majorBidi" w:hAnsiTheme="majorBidi" w:cstheme="majorBidi"/>
          <w:sz w:val="24"/>
          <w:szCs w:val="24"/>
        </w:rPr>
        <w:t>, endangered and commercially important plants by using appropriate storage technique as well as exchange of axenic plant material between laboratories (</w:t>
      </w:r>
      <w:proofErr w:type="spellStart"/>
      <w:r w:rsidR="00CF7FC7" w:rsidRPr="003C5B68">
        <w:rPr>
          <w:rFonts w:asciiTheme="majorBidi" w:hAnsiTheme="majorBidi" w:cstheme="majorBidi"/>
          <w:sz w:val="24"/>
          <w:szCs w:val="24"/>
        </w:rPr>
        <w:t>Hasan</w:t>
      </w:r>
      <w:proofErr w:type="spellEnd"/>
      <w:r w:rsidR="00CF7FC7" w:rsidRPr="003C5B68">
        <w:rPr>
          <w:rFonts w:asciiTheme="majorBidi" w:hAnsiTheme="majorBidi" w:cstheme="majorBidi"/>
          <w:sz w:val="24"/>
          <w:szCs w:val="24"/>
        </w:rPr>
        <w:t xml:space="preserve"> and Takagi 1995</w:t>
      </w:r>
      <w:r w:rsidR="008F36C5">
        <w:rPr>
          <w:rFonts w:asciiTheme="majorBidi" w:hAnsiTheme="majorBidi" w:cstheme="majorBidi"/>
          <w:sz w:val="24"/>
          <w:szCs w:val="24"/>
        </w:rPr>
        <w:t>,</w:t>
      </w:r>
      <w:r w:rsidR="0041338B" w:rsidRPr="003C5B68">
        <w:rPr>
          <w:rFonts w:asciiTheme="majorBidi" w:hAnsiTheme="majorBidi" w:cstheme="majorBidi"/>
          <w:sz w:val="24"/>
          <w:szCs w:val="24"/>
        </w:rPr>
        <w:t xml:space="preserve"> Maruyama </w:t>
      </w:r>
      <w:r w:rsidR="001A063E" w:rsidRPr="008F36C5">
        <w:rPr>
          <w:rFonts w:asciiTheme="majorBidi" w:hAnsiTheme="majorBidi" w:cstheme="majorBidi"/>
          <w:sz w:val="24"/>
          <w:szCs w:val="24"/>
        </w:rPr>
        <w:t>et al.</w:t>
      </w:r>
      <w:r w:rsidR="006F7518">
        <w:rPr>
          <w:rFonts w:asciiTheme="majorBidi" w:hAnsiTheme="majorBidi" w:cstheme="majorBidi"/>
          <w:sz w:val="24"/>
          <w:szCs w:val="24"/>
        </w:rPr>
        <w:t xml:space="preserve"> </w:t>
      </w:r>
      <w:r w:rsidR="0041338B" w:rsidRPr="003C5B68">
        <w:rPr>
          <w:rFonts w:asciiTheme="majorBidi" w:hAnsiTheme="majorBidi" w:cstheme="majorBidi"/>
          <w:sz w:val="24"/>
          <w:szCs w:val="24"/>
        </w:rPr>
        <w:t>1997</w:t>
      </w:r>
      <w:r w:rsidR="008F36C5">
        <w:rPr>
          <w:rFonts w:asciiTheme="majorBidi" w:hAnsiTheme="majorBidi" w:cstheme="majorBidi"/>
          <w:sz w:val="24"/>
          <w:szCs w:val="24"/>
        </w:rPr>
        <w:t xml:space="preserve">, </w:t>
      </w:r>
      <w:proofErr w:type="spellStart"/>
      <w:r w:rsidR="00CF7FC7" w:rsidRPr="003C5B68">
        <w:rPr>
          <w:rFonts w:asciiTheme="majorBidi" w:hAnsiTheme="majorBidi" w:cstheme="majorBidi"/>
          <w:sz w:val="24"/>
          <w:szCs w:val="24"/>
        </w:rPr>
        <w:t>Nadeem</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6F7518">
        <w:rPr>
          <w:rFonts w:asciiTheme="majorBidi" w:hAnsiTheme="majorBidi" w:cstheme="majorBidi"/>
          <w:sz w:val="24"/>
          <w:szCs w:val="24"/>
        </w:rPr>
        <w:t xml:space="preserve"> </w:t>
      </w:r>
      <w:r w:rsidR="00CF7FC7" w:rsidRPr="003C5B68">
        <w:rPr>
          <w:rFonts w:asciiTheme="majorBidi" w:hAnsiTheme="majorBidi" w:cstheme="majorBidi"/>
          <w:sz w:val="24"/>
          <w:szCs w:val="24"/>
        </w:rPr>
        <w:t>2000</w:t>
      </w:r>
      <w:r w:rsidR="008F36C5">
        <w:rPr>
          <w:rFonts w:asciiTheme="majorBidi" w:hAnsiTheme="majorBidi" w:cstheme="majorBidi"/>
          <w:sz w:val="24"/>
          <w:szCs w:val="24"/>
        </w:rPr>
        <w:t>,</w:t>
      </w:r>
      <w:r w:rsidR="00CF7FC7" w:rsidRPr="003C5B68">
        <w:rPr>
          <w:rFonts w:asciiTheme="majorBidi" w:hAnsiTheme="majorBidi" w:cstheme="majorBidi"/>
          <w:sz w:val="24"/>
          <w:szCs w:val="24"/>
        </w:rPr>
        <w:t xml:space="preserve"> </w:t>
      </w:r>
      <w:proofErr w:type="spellStart"/>
      <w:r w:rsidR="00CF7FC7" w:rsidRPr="003C5B68">
        <w:rPr>
          <w:rFonts w:asciiTheme="majorBidi" w:hAnsiTheme="majorBidi" w:cstheme="majorBidi"/>
          <w:sz w:val="24"/>
          <w:szCs w:val="24"/>
        </w:rPr>
        <w:t>Ara</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6F7518">
        <w:rPr>
          <w:rFonts w:asciiTheme="majorBidi" w:hAnsiTheme="majorBidi" w:cstheme="majorBidi"/>
          <w:sz w:val="24"/>
          <w:szCs w:val="24"/>
        </w:rPr>
        <w:t xml:space="preserve"> </w:t>
      </w:r>
      <w:r w:rsidR="00CF7FC7" w:rsidRPr="003C5B68">
        <w:rPr>
          <w:rFonts w:asciiTheme="majorBidi" w:hAnsiTheme="majorBidi" w:cstheme="majorBidi"/>
          <w:sz w:val="24"/>
          <w:szCs w:val="24"/>
        </w:rPr>
        <w:t>2000</w:t>
      </w:r>
      <w:r w:rsidR="008F36C5">
        <w:rPr>
          <w:rFonts w:asciiTheme="majorBidi" w:hAnsiTheme="majorBidi" w:cstheme="majorBidi"/>
          <w:sz w:val="24"/>
          <w:szCs w:val="24"/>
        </w:rPr>
        <w:t>,</w:t>
      </w:r>
      <w:r w:rsidR="00CF7FC7" w:rsidRPr="003C5B68">
        <w:rPr>
          <w:rFonts w:asciiTheme="majorBidi" w:hAnsiTheme="majorBidi" w:cstheme="majorBidi"/>
          <w:sz w:val="24"/>
          <w:szCs w:val="24"/>
        </w:rPr>
        <w:t xml:space="preserve"> </w:t>
      </w:r>
      <w:proofErr w:type="spellStart"/>
      <w:r w:rsidR="00CF7FC7" w:rsidRPr="003C5B68">
        <w:rPr>
          <w:rFonts w:asciiTheme="majorBidi" w:hAnsiTheme="majorBidi" w:cstheme="majorBidi"/>
          <w:sz w:val="24"/>
          <w:szCs w:val="24"/>
        </w:rPr>
        <w:t>Danso</w:t>
      </w:r>
      <w:proofErr w:type="spellEnd"/>
      <w:r w:rsidR="00CF7FC7" w:rsidRPr="003C5B68">
        <w:rPr>
          <w:rFonts w:asciiTheme="majorBidi" w:hAnsiTheme="majorBidi" w:cstheme="majorBidi"/>
          <w:sz w:val="24"/>
          <w:szCs w:val="24"/>
        </w:rPr>
        <w:t xml:space="preserve"> and Ford-Lloyd 2003</w:t>
      </w:r>
      <w:r w:rsidR="008F36C5">
        <w:rPr>
          <w:rFonts w:asciiTheme="majorBidi" w:hAnsiTheme="majorBidi" w:cstheme="majorBidi"/>
          <w:sz w:val="24"/>
          <w:szCs w:val="24"/>
        </w:rPr>
        <w:t>,</w:t>
      </w:r>
      <w:r w:rsidR="00CF7FC7" w:rsidRPr="003C5B68">
        <w:rPr>
          <w:rFonts w:asciiTheme="majorBidi" w:hAnsiTheme="majorBidi" w:cstheme="majorBidi"/>
          <w:sz w:val="24"/>
          <w:szCs w:val="24"/>
        </w:rPr>
        <w:t xml:space="preserve"> </w:t>
      </w:r>
      <w:proofErr w:type="spellStart"/>
      <w:r w:rsidR="00CF7FC7" w:rsidRPr="003C5B68">
        <w:rPr>
          <w:rFonts w:asciiTheme="majorBidi" w:hAnsiTheme="majorBidi" w:cstheme="majorBidi"/>
          <w:sz w:val="24"/>
          <w:szCs w:val="24"/>
        </w:rPr>
        <w:t>Naik</w:t>
      </w:r>
      <w:proofErr w:type="spellEnd"/>
      <w:r w:rsidR="00CF7FC7" w:rsidRPr="003C5B68">
        <w:rPr>
          <w:rFonts w:asciiTheme="majorBidi" w:hAnsiTheme="majorBidi" w:cstheme="majorBidi"/>
          <w:sz w:val="24"/>
          <w:szCs w:val="24"/>
        </w:rPr>
        <w:t xml:space="preserve"> and Chand 2006).</w:t>
      </w:r>
      <w:r w:rsidR="00A96AAA" w:rsidRPr="003C5B68">
        <w:rPr>
          <w:rFonts w:asciiTheme="majorBidi" w:hAnsiTheme="majorBidi" w:cstheme="majorBidi"/>
          <w:sz w:val="24"/>
          <w:szCs w:val="24"/>
        </w:rPr>
        <w:t xml:space="preserve">Encapsulation of somatic embryos or vegetative </w:t>
      </w:r>
      <w:proofErr w:type="spellStart"/>
      <w:r w:rsidR="00A96AAA" w:rsidRPr="003C5B68">
        <w:rPr>
          <w:rFonts w:asciiTheme="majorBidi" w:hAnsiTheme="majorBidi" w:cstheme="majorBidi"/>
          <w:sz w:val="24"/>
          <w:szCs w:val="24"/>
        </w:rPr>
        <w:t>propagules</w:t>
      </w:r>
      <w:proofErr w:type="spellEnd"/>
      <w:r w:rsidR="00A96AAA" w:rsidRPr="003C5B68">
        <w:rPr>
          <w:rFonts w:asciiTheme="majorBidi" w:hAnsiTheme="majorBidi" w:cstheme="majorBidi"/>
          <w:sz w:val="24"/>
          <w:szCs w:val="24"/>
        </w:rPr>
        <w:t xml:space="preserve"> and regeneration of complete plantlets from them has been reported for cereals, vegetables, fruits, ornamentals, conifers and woody crop plants (</w:t>
      </w:r>
      <w:proofErr w:type="spellStart"/>
      <w:r w:rsidR="00A96AAA" w:rsidRPr="003C5B68">
        <w:rPr>
          <w:rFonts w:asciiTheme="majorBidi" w:hAnsiTheme="majorBidi" w:cstheme="majorBidi"/>
          <w:sz w:val="24"/>
          <w:szCs w:val="24"/>
        </w:rPr>
        <w:t>Ara</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6F7518">
        <w:rPr>
          <w:rFonts w:asciiTheme="majorBidi" w:hAnsiTheme="majorBidi" w:cstheme="majorBidi"/>
          <w:sz w:val="24"/>
          <w:szCs w:val="24"/>
        </w:rPr>
        <w:t xml:space="preserve"> </w:t>
      </w:r>
      <w:r w:rsidR="00A96AAA" w:rsidRPr="003C5B68">
        <w:rPr>
          <w:rFonts w:asciiTheme="majorBidi" w:hAnsiTheme="majorBidi" w:cstheme="majorBidi"/>
          <w:sz w:val="24"/>
          <w:szCs w:val="24"/>
        </w:rPr>
        <w:t>2000</w:t>
      </w:r>
      <w:r w:rsidR="008F36C5">
        <w:rPr>
          <w:rFonts w:asciiTheme="majorBidi" w:hAnsiTheme="majorBidi" w:cstheme="majorBidi"/>
          <w:sz w:val="24"/>
          <w:szCs w:val="24"/>
        </w:rPr>
        <w:t>,</w:t>
      </w:r>
      <w:r w:rsidR="00A96AAA" w:rsidRPr="003C5B68">
        <w:rPr>
          <w:rFonts w:asciiTheme="majorBidi" w:hAnsiTheme="majorBidi" w:cstheme="majorBidi"/>
          <w:sz w:val="24"/>
          <w:szCs w:val="24"/>
        </w:rPr>
        <w:t xml:space="preserve"> </w:t>
      </w:r>
      <w:proofErr w:type="spellStart"/>
      <w:r w:rsidR="00A96AAA" w:rsidRPr="003C5B68">
        <w:rPr>
          <w:rFonts w:asciiTheme="majorBidi" w:hAnsiTheme="majorBidi" w:cstheme="majorBidi"/>
          <w:sz w:val="24"/>
          <w:szCs w:val="24"/>
        </w:rPr>
        <w:t>Ipekci</w:t>
      </w:r>
      <w:proofErr w:type="spellEnd"/>
      <w:r w:rsidR="00A96AAA" w:rsidRPr="003C5B68">
        <w:rPr>
          <w:rFonts w:asciiTheme="majorBidi" w:hAnsiTheme="majorBidi" w:cstheme="majorBidi"/>
          <w:sz w:val="24"/>
          <w:szCs w:val="24"/>
        </w:rPr>
        <w:t xml:space="preserve"> and </w:t>
      </w:r>
      <w:proofErr w:type="spellStart"/>
      <w:r w:rsidR="00A96AAA" w:rsidRPr="003C5B68">
        <w:rPr>
          <w:rFonts w:asciiTheme="majorBidi" w:hAnsiTheme="majorBidi" w:cstheme="majorBidi"/>
          <w:sz w:val="24"/>
          <w:szCs w:val="24"/>
        </w:rPr>
        <w:t>Gozukirmizi</w:t>
      </w:r>
      <w:proofErr w:type="spellEnd"/>
      <w:r w:rsidR="008F36C5">
        <w:rPr>
          <w:rFonts w:asciiTheme="majorBidi" w:hAnsiTheme="majorBidi" w:cstheme="majorBidi"/>
          <w:sz w:val="24"/>
          <w:szCs w:val="24"/>
        </w:rPr>
        <w:t xml:space="preserve"> 2003,</w:t>
      </w:r>
      <w:r w:rsidR="00A96AAA" w:rsidRPr="003C5B68">
        <w:rPr>
          <w:rFonts w:asciiTheme="majorBidi" w:hAnsiTheme="majorBidi" w:cstheme="majorBidi"/>
          <w:sz w:val="24"/>
          <w:szCs w:val="24"/>
        </w:rPr>
        <w:t xml:space="preserve"> </w:t>
      </w:r>
      <w:proofErr w:type="spellStart"/>
      <w:r w:rsidR="00A96AAA" w:rsidRPr="003C5B68">
        <w:rPr>
          <w:rFonts w:asciiTheme="majorBidi" w:hAnsiTheme="majorBidi" w:cstheme="majorBidi"/>
          <w:sz w:val="24"/>
          <w:szCs w:val="24"/>
        </w:rPr>
        <w:t>Tsvetkov</w:t>
      </w:r>
      <w:proofErr w:type="spellEnd"/>
      <w:r w:rsidR="00A96AAA" w:rsidRPr="003C5B68">
        <w:rPr>
          <w:rFonts w:asciiTheme="majorBidi" w:hAnsiTheme="majorBidi" w:cstheme="majorBidi"/>
          <w:sz w:val="24"/>
          <w:szCs w:val="24"/>
        </w:rPr>
        <w:t xml:space="preserve"> and </w:t>
      </w:r>
      <w:proofErr w:type="spellStart"/>
      <w:r w:rsidR="00A96AAA" w:rsidRPr="003C5B68">
        <w:rPr>
          <w:rFonts w:asciiTheme="majorBidi" w:hAnsiTheme="majorBidi" w:cstheme="majorBidi"/>
          <w:sz w:val="24"/>
          <w:szCs w:val="24"/>
        </w:rPr>
        <w:t>Hausman</w:t>
      </w:r>
      <w:proofErr w:type="spellEnd"/>
      <w:r w:rsidR="00A96AAA" w:rsidRPr="003C5B68">
        <w:rPr>
          <w:rFonts w:asciiTheme="majorBidi" w:hAnsiTheme="majorBidi" w:cstheme="majorBidi"/>
          <w:sz w:val="24"/>
          <w:szCs w:val="24"/>
        </w:rPr>
        <w:t xml:space="preserve"> 2005). </w:t>
      </w:r>
      <w:r w:rsidR="0065718C" w:rsidRPr="003C5B68">
        <w:rPr>
          <w:rFonts w:asciiTheme="majorBidi" w:hAnsiTheme="majorBidi" w:cstheme="majorBidi"/>
          <w:sz w:val="24"/>
          <w:szCs w:val="24"/>
        </w:rPr>
        <w:t xml:space="preserve">However, the encapsulation of </w:t>
      </w:r>
      <w:r w:rsidR="00663BDB" w:rsidRPr="003C5B68">
        <w:rPr>
          <w:rFonts w:asciiTheme="majorBidi" w:hAnsiTheme="majorBidi" w:cstheme="majorBidi"/>
          <w:sz w:val="24"/>
          <w:szCs w:val="24"/>
        </w:rPr>
        <w:t xml:space="preserve">somatic embryos and </w:t>
      </w:r>
      <w:r w:rsidR="0065718C" w:rsidRPr="003C5B68">
        <w:rPr>
          <w:rFonts w:asciiTheme="majorBidi" w:hAnsiTheme="majorBidi" w:cstheme="majorBidi"/>
          <w:sz w:val="24"/>
          <w:szCs w:val="24"/>
        </w:rPr>
        <w:t>shoot tip</w:t>
      </w:r>
      <w:r w:rsidR="005B00E3" w:rsidRPr="003C5B68">
        <w:rPr>
          <w:rFonts w:asciiTheme="majorBidi" w:hAnsiTheme="majorBidi" w:cstheme="majorBidi"/>
          <w:sz w:val="24"/>
          <w:szCs w:val="24"/>
        </w:rPr>
        <w:t>s</w:t>
      </w:r>
      <w:r w:rsidR="0065718C" w:rsidRPr="003C5B68">
        <w:rPr>
          <w:rFonts w:asciiTheme="majorBidi" w:hAnsiTheme="majorBidi" w:cstheme="majorBidi"/>
          <w:sz w:val="24"/>
          <w:szCs w:val="24"/>
        </w:rPr>
        <w:t xml:space="preserve"> could be an attractive alternative for producing plantlets in some species recalc</w:t>
      </w:r>
      <w:r w:rsidR="0070422E" w:rsidRPr="003C5B68">
        <w:rPr>
          <w:rFonts w:asciiTheme="majorBidi" w:hAnsiTheme="majorBidi" w:cstheme="majorBidi"/>
          <w:sz w:val="24"/>
          <w:szCs w:val="24"/>
        </w:rPr>
        <w:t xml:space="preserve">itrant to somatic embryogenesis </w:t>
      </w:r>
      <w:r w:rsidR="0065718C" w:rsidRPr="003C5B68">
        <w:rPr>
          <w:rFonts w:asciiTheme="majorBidi" w:hAnsiTheme="majorBidi" w:cstheme="majorBidi"/>
          <w:sz w:val="24"/>
          <w:szCs w:val="24"/>
        </w:rPr>
        <w:t>(</w:t>
      </w:r>
      <w:proofErr w:type="spellStart"/>
      <w:r w:rsidR="0027461A" w:rsidRPr="003C5B68">
        <w:rPr>
          <w:rFonts w:asciiTheme="majorBidi" w:hAnsiTheme="majorBidi" w:cstheme="majorBidi"/>
          <w:sz w:val="24"/>
          <w:szCs w:val="24"/>
        </w:rPr>
        <w:t>Tsvetkov</w:t>
      </w:r>
      <w:proofErr w:type="spellEnd"/>
      <w:r w:rsidR="0027461A" w:rsidRPr="003C5B68">
        <w:rPr>
          <w:rFonts w:asciiTheme="majorBidi" w:hAnsiTheme="majorBidi" w:cstheme="majorBidi"/>
          <w:sz w:val="24"/>
          <w:szCs w:val="24"/>
        </w:rPr>
        <w:t xml:space="preserve"> and </w:t>
      </w:r>
      <w:proofErr w:type="spellStart"/>
      <w:r w:rsidR="0027461A" w:rsidRPr="003C5B68">
        <w:rPr>
          <w:rFonts w:asciiTheme="majorBidi" w:hAnsiTheme="majorBidi" w:cstheme="majorBidi"/>
          <w:sz w:val="24"/>
          <w:szCs w:val="24"/>
        </w:rPr>
        <w:t>Hausman</w:t>
      </w:r>
      <w:proofErr w:type="spellEnd"/>
      <w:r w:rsidR="0027461A" w:rsidRPr="003C5B68">
        <w:rPr>
          <w:rFonts w:asciiTheme="majorBidi" w:hAnsiTheme="majorBidi" w:cstheme="majorBidi"/>
          <w:sz w:val="24"/>
          <w:szCs w:val="24"/>
        </w:rPr>
        <w:t xml:space="preserve"> 2005</w:t>
      </w:r>
      <w:r w:rsidR="0065718C" w:rsidRPr="003C5B68">
        <w:rPr>
          <w:rFonts w:asciiTheme="majorBidi" w:hAnsiTheme="majorBidi" w:cstheme="majorBidi"/>
          <w:sz w:val="24"/>
          <w:szCs w:val="24"/>
        </w:rPr>
        <w:t>)</w:t>
      </w:r>
      <w:r w:rsidR="0070422E" w:rsidRPr="003C5B68">
        <w:rPr>
          <w:rFonts w:asciiTheme="majorBidi" w:hAnsiTheme="majorBidi" w:cstheme="majorBidi"/>
          <w:sz w:val="24"/>
          <w:szCs w:val="24"/>
        </w:rPr>
        <w:t>.</w:t>
      </w:r>
    </w:p>
    <w:p w:rsidR="00484D0C" w:rsidRDefault="00E74726" w:rsidP="009C4AE1">
      <w:pPr>
        <w:pStyle w:val="BodyText"/>
        <w:spacing w:after="60" w:line="480" w:lineRule="auto"/>
        <w:rPr>
          <w:rFonts w:asciiTheme="majorBidi" w:hAnsiTheme="majorBidi" w:cstheme="majorBidi"/>
          <w:sz w:val="24"/>
          <w:szCs w:val="24"/>
          <w:lang w:bidi="fa-IR"/>
        </w:rPr>
      </w:pPr>
      <w:r w:rsidRPr="003C5B68">
        <w:rPr>
          <w:rFonts w:asciiTheme="majorBidi" w:hAnsiTheme="majorBidi" w:cstheme="majorBidi"/>
          <w:sz w:val="24"/>
          <w:szCs w:val="24"/>
        </w:rPr>
        <w:t xml:space="preserve">In first experiment, </w:t>
      </w:r>
      <w:r w:rsidR="00D53CED" w:rsidRPr="003C5B68">
        <w:rPr>
          <w:rFonts w:asciiTheme="majorBidi" w:hAnsiTheme="majorBidi" w:cstheme="majorBidi"/>
          <w:sz w:val="24"/>
          <w:szCs w:val="24"/>
        </w:rPr>
        <w:t>parameters for the encapsulation of axenic rapeseed shoot tips derived from plantlets resulting from seed cultures in sodium alginate gel and subsequent conversion of encapsulated shoot tips into plantlets</w:t>
      </w:r>
      <w:r w:rsidRPr="003C5B68">
        <w:rPr>
          <w:rFonts w:asciiTheme="majorBidi" w:hAnsiTheme="majorBidi" w:cstheme="majorBidi"/>
          <w:sz w:val="24"/>
          <w:szCs w:val="24"/>
        </w:rPr>
        <w:t xml:space="preserve"> was optimized</w:t>
      </w:r>
      <w:r w:rsidR="00D53CED" w:rsidRPr="003C5B68">
        <w:rPr>
          <w:rFonts w:asciiTheme="majorBidi" w:hAnsiTheme="majorBidi" w:cstheme="majorBidi"/>
          <w:sz w:val="24"/>
          <w:szCs w:val="24"/>
        </w:rPr>
        <w:t>.</w:t>
      </w:r>
      <w:r w:rsidR="00295178" w:rsidRPr="003C5B68">
        <w:rPr>
          <w:rFonts w:asciiTheme="majorBidi" w:hAnsiTheme="majorBidi" w:cstheme="majorBidi"/>
          <w:sz w:val="24"/>
          <w:szCs w:val="24"/>
        </w:rPr>
        <w:t xml:space="preserve"> Then</w:t>
      </w:r>
      <w:r w:rsidR="006E2698" w:rsidRPr="003C5B68">
        <w:rPr>
          <w:rFonts w:asciiTheme="majorBidi" w:hAnsiTheme="majorBidi" w:cstheme="majorBidi"/>
          <w:sz w:val="24"/>
          <w:szCs w:val="24"/>
        </w:rPr>
        <w:t>,</w:t>
      </w:r>
      <w:r w:rsidR="00295178" w:rsidRPr="003C5B68">
        <w:rPr>
          <w:rFonts w:asciiTheme="majorBidi" w:hAnsiTheme="majorBidi" w:cstheme="majorBidi"/>
          <w:sz w:val="24"/>
          <w:szCs w:val="24"/>
        </w:rPr>
        <w:t xml:space="preserve"> encapsulation of somatic embryos of </w:t>
      </w:r>
      <w:r w:rsidR="00295178" w:rsidRPr="003C5B68">
        <w:rPr>
          <w:rFonts w:asciiTheme="majorBidi" w:hAnsiTheme="majorBidi" w:cstheme="majorBidi"/>
          <w:i/>
          <w:iCs/>
          <w:sz w:val="24"/>
          <w:szCs w:val="24"/>
        </w:rPr>
        <w:lastRenderedPageBreak/>
        <w:t xml:space="preserve">Brassica </w:t>
      </w:r>
      <w:proofErr w:type="spellStart"/>
      <w:r w:rsidR="00295178" w:rsidRPr="003C5B68">
        <w:rPr>
          <w:rFonts w:asciiTheme="majorBidi" w:hAnsiTheme="majorBidi" w:cstheme="majorBidi"/>
          <w:i/>
          <w:iCs/>
          <w:sz w:val="24"/>
          <w:szCs w:val="24"/>
        </w:rPr>
        <w:t>napus</w:t>
      </w:r>
      <w:proofErr w:type="spellEnd"/>
      <w:r w:rsidR="00580363">
        <w:rPr>
          <w:rFonts w:asciiTheme="majorBidi" w:hAnsiTheme="majorBidi" w:cstheme="majorBidi"/>
          <w:i/>
          <w:iCs/>
          <w:sz w:val="24"/>
          <w:szCs w:val="24"/>
        </w:rPr>
        <w:t xml:space="preserve"> </w:t>
      </w:r>
      <w:r w:rsidR="00295178" w:rsidRPr="003C5B68">
        <w:rPr>
          <w:rFonts w:asciiTheme="majorBidi" w:hAnsiTheme="majorBidi" w:cstheme="majorBidi"/>
          <w:sz w:val="24"/>
          <w:szCs w:val="24"/>
        </w:rPr>
        <w:t>in sodium alginate beads</w:t>
      </w:r>
      <w:r w:rsidR="006E2698" w:rsidRPr="003C5B68">
        <w:rPr>
          <w:rFonts w:asciiTheme="majorBidi" w:hAnsiTheme="majorBidi" w:cstheme="majorBidi"/>
          <w:sz w:val="24"/>
          <w:szCs w:val="24"/>
        </w:rPr>
        <w:t xml:space="preserve"> was encapsulated</w:t>
      </w:r>
      <w:r w:rsidR="00295178" w:rsidRPr="003C5B68">
        <w:rPr>
          <w:rFonts w:asciiTheme="majorBidi" w:hAnsiTheme="majorBidi" w:cstheme="majorBidi"/>
          <w:sz w:val="24"/>
          <w:szCs w:val="24"/>
        </w:rPr>
        <w:t xml:space="preserve"> and conversion of </w:t>
      </w:r>
      <w:r w:rsidR="006E2698" w:rsidRPr="003C5B68">
        <w:rPr>
          <w:rFonts w:asciiTheme="majorBidi" w:hAnsiTheme="majorBidi" w:cstheme="majorBidi"/>
          <w:sz w:val="24"/>
          <w:szCs w:val="24"/>
        </w:rPr>
        <w:t>them</w:t>
      </w:r>
      <w:r w:rsidR="00295178" w:rsidRPr="003C5B68">
        <w:rPr>
          <w:rFonts w:asciiTheme="majorBidi" w:hAnsiTheme="majorBidi" w:cstheme="majorBidi"/>
          <w:sz w:val="24"/>
          <w:szCs w:val="24"/>
        </w:rPr>
        <w:t xml:space="preserve"> into plantlets was investigated</w:t>
      </w:r>
      <w:r w:rsidR="006E2698" w:rsidRPr="003C5B68">
        <w:rPr>
          <w:rFonts w:asciiTheme="majorBidi" w:hAnsiTheme="majorBidi" w:cstheme="majorBidi"/>
          <w:sz w:val="24"/>
          <w:szCs w:val="24"/>
        </w:rPr>
        <w:t>.</w:t>
      </w:r>
      <w:r w:rsidR="00663BDB" w:rsidRPr="003C5B68">
        <w:rPr>
          <w:rFonts w:asciiTheme="majorBidi" w:hAnsiTheme="majorBidi" w:cstheme="majorBidi"/>
          <w:sz w:val="24"/>
          <w:szCs w:val="24"/>
        </w:rPr>
        <w:t xml:space="preserve"> Effect of different storage durations on the conversion of encapsulated somatic embryos was discussed</w:t>
      </w:r>
      <w:r w:rsidR="00295178" w:rsidRPr="003C5B68">
        <w:rPr>
          <w:rFonts w:asciiTheme="majorBidi" w:hAnsiTheme="majorBidi" w:cstheme="majorBidi"/>
          <w:sz w:val="24"/>
          <w:szCs w:val="24"/>
        </w:rPr>
        <w:t xml:space="preserve">. </w:t>
      </w:r>
    </w:p>
    <w:p w:rsidR="00484D0C" w:rsidRDefault="00E50D32" w:rsidP="009C4AE1">
      <w:pPr>
        <w:rPr>
          <w:rFonts w:asciiTheme="majorBidi" w:hAnsiTheme="majorBidi" w:cstheme="majorBidi"/>
          <w:b/>
          <w:bCs/>
          <w:sz w:val="24"/>
          <w:szCs w:val="24"/>
        </w:rPr>
      </w:pPr>
      <w:r w:rsidRPr="00660D4C">
        <w:rPr>
          <w:rFonts w:asciiTheme="majorBidi" w:hAnsiTheme="majorBidi" w:cstheme="majorBidi"/>
          <w:b/>
          <w:bCs/>
          <w:sz w:val="24"/>
          <w:szCs w:val="24"/>
        </w:rPr>
        <w:t>Material</w:t>
      </w:r>
      <w:r>
        <w:rPr>
          <w:rFonts w:asciiTheme="majorBidi" w:hAnsiTheme="majorBidi" w:cstheme="majorBidi"/>
          <w:b/>
          <w:bCs/>
          <w:sz w:val="24"/>
          <w:szCs w:val="24"/>
        </w:rPr>
        <w:t>s</w:t>
      </w:r>
      <w:r w:rsidRPr="00660D4C">
        <w:rPr>
          <w:rFonts w:asciiTheme="majorBidi" w:hAnsiTheme="majorBidi" w:cstheme="majorBidi"/>
          <w:b/>
          <w:bCs/>
          <w:sz w:val="24"/>
          <w:szCs w:val="24"/>
        </w:rPr>
        <w:t xml:space="preserve"> and Method</w:t>
      </w:r>
      <w:r>
        <w:rPr>
          <w:rFonts w:asciiTheme="majorBidi" w:hAnsiTheme="majorBidi" w:cstheme="majorBidi"/>
          <w:b/>
          <w:bCs/>
          <w:sz w:val="24"/>
          <w:szCs w:val="24"/>
        </w:rPr>
        <w:t>s</w:t>
      </w:r>
    </w:p>
    <w:p w:rsidR="00484D0C" w:rsidRDefault="00E50D32" w:rsidP="009C4AE1">
      <w:pPr>
        <w:rPr>
          <w:rFonts w:asciiTheme="majorBidi" w:hAnsiTheme="majorBidi" w:cstheme="majorBidi"/>
          <w:sz w:val="24"/>
          <w:szCs w:val="24"/>
        </w:rPr>
      </w:pPr>
      <w:r w:rsidRPr="00660D4C">
        <w:rPr>
          <w:rFonts w:asciiTheme="majorBidi" w:hAnsiTheme="majorBidi" w:cstheme="majorBidi"/>
          <w:sz w:val="24"/>
          <w:szCs w:val="24"/>
        </w:rPr>
        <w:t>Plant material and culture conditions</w:t>
      </w:r>
    </w:p>
    <w:p w:rsidR="00484D0C" w:rsidRDefault="00E50D32" w:rsidP="009C4AE1">
      <w:pPr>
        <w:rPr>
          <w:rFonts w:asciiTheme="majorBidi" w:hAnsiTheme="majorBidi" w:cstheme="majorBidi"/>
          <w:sz w:val="24"/>
          <w:szCs w:val="24"/>
        </w:rPr>
      </w:pPr>
      <w:r w:rsidRPr="00660D4C">
        <w:rPr>
          <w:rFonts w:asciiTheme="majorBidi" w:hAnsiTheme="majorBidi" w:cstheme="majorBidi"/>
          <w:i/>
          <w:iCs/>
          <w:sz w:val="24"/>
          <w:szCs w:val="24"/>
        </w:rPr>
        <w:t xml:space="preserve">Brassica </w:t>
      </w:r>
      <w:proofErr w:type="spellStart"/>
      <w:r w:rsidRPr="00660D4C">
        <w:rPr>
          <w:rFonts w:asciiTheme="majorBidi" w:hAnsiTheme="majorBidi" w:cstheme="majorBidi"/>
          <w:i/>
          <w:iCs/>
          <w:sz w:val="24"/>
          <w:szCs w:val="24"/>
        </w:rPr>
        <w:t>napus</w:t>
      </w:r>
      <w:proofErr w:type="spellEnd"/>
      <w:r w:rsidRPr="00660D4C">
        <w:rPr>
          <w:rFonts w:asciiTheme="majorBidi" w:hAnsiTheme="majorBidi" w:cstheme="majorBidi"/>
          <w:sz w:val="24"/>
          <w:szCs w:val="24"/>
        </w:rPr>
        <w:t xml:space="preserve"> cv. </w:t>
      </w:r>
      <w:proofErr w:type="spellStart"/>
      <w:r w:rsidRPr="00660D4C">
        <w:rPr>
          <w:rFonts w:asciiTheme="majorBidi" w:hAnsiTheme="majorBidi" w:cstheme="majorBidi"/>
          <w:sz w:val="24"/>
          <w:szCs w:val="24"/>
        </w:rPr>
        <w:t>Tallayeh</w:t>
      </w:r>
      <w:proofErr w:type="spellEnd"/>
      <w:r w:rsidRPr="00660D4C">
        <w:rPr>
          <w:rFonts w:asciiTheme="majorBidi" w:hAnsiTheme="majorBidi" w:cstheme="majorBidi"/>
          <w:sz w:val="24"/>
          <w:szCs w:val="24"/>
        </w:rPr>
        <w:t xml:space="preserve"> was grown under aseptic conditions in the Biotechnology and Molecular Genetics Lab., </w:t>
      </w:r>
      <w:proofErr w:type="spellStart"/>
      <w:r w:rsidRPr="00660D4C">
        <w:rPr>
          <w:rFonts w:asciiTheme="majorBidi" w:hAnsiTheme="majorBidi" w:cstheme="majorBidi"/>
          <w:sz w:val="24"/>
          <w:szCs w:val="24"/>
        </w:rPr>
        <w:t>Zanjan</w:t>
      </w:r>
      <w:proofErr w:type="spellEnd"/>
      <w:r w:rsidRPr="00660D4C">
        <w:rPr>
          <w:rFonts w:asciiTheme="majorBidi" w:hAnsiTheme="majorBidi" w:cstheme="majorBidi"/>
          <w:sz w:val="24"/>
          <w:szCs w:val="24"/>
        </w:rPr>
        <w:t xml:space="preserve"> University.</w:t>
      </w:r>
      <w:r w:rsidRPr="00660D4C">
        <w:rPr>
          <w:rFonts w:asciiTheme="majorBidi" w:hAnsiTheme="majorBidi" w:cstheme="majorBidi"/>
          <w:sz w:val="24"/>
          <w:szCs w:val="24"/>
          <w:lang w:val="en-GB"/>
        </w:rPr>
        <w:tab/>
        <w:t xml:space="preserve">Sterilized seeds were cultured on </w:t>
      </w:r>
      <w:proofErr w:type="spellStart"/>
      <w:r w:rsidRPr="00660D4C">
        <w:rPr>
          <w:rFonts w:asciiTheme="majorBidi" w:hAnsiTheme="majorBidi" w:cstheme="majorBidi"/>
          <w:sz w:val="24"/>
          <w:szCs w:val="24"/>
          <w:lang w:val="en-GB"/>
        </w:rPr>
        <w:t>Murashige</w:t>
      </w:r>
      <w:proofErr w:type="spellEnd"/>
      <w:r w:rsidRPr="00660D4C">
        <w:rPr>
          <w:rFonts w:asciiTheme="majorBidi" w:hAnsiTheme="majorBidi" w:cstheme="majorBidi"/>
          <w:sz w:val="24"/>
          <w:szCs w:val="24"/>
          <w:lang w:val="en-GB"/>
        </w:rPr>
        <w:t xml:space="preserve"> and </w:t>
      </w:r>
      <w:proofErr w:type="spellStart"/>
      <w:r w:rsidRPr="00660D4C">
        <w:rPr>
          <w:rFonts w:asciiTheme="majorBidi" w:hAnsiTheme="majorBidi" w:cstheme="majorBidi"/>
          <w:sz w:val="24"/>
          <w:szCs w:val="24"/>
          <w:lang w:val="en-GB"/>
        </w:rPr>
        <w:t>Skoog</w:t>
      </w:r>
      <w:proofErr w:type="spellEnd"/>
      <w:r w:rsidRPr="00660D4C">
        <w:rPr>
          <w:rFonts w:asciiTheme="majorBidi" w:hAnsiTheme="majorBidi" w:cstheme="majorBidi"/>
          <w:sz w:val="24"/>
          <w:szCs w:val="24"/>
          <w:lang w:val="en-GB"/>
        </w:rPr>
        <w:t xml:space="preserve"> (1962) (MS) basal medium with 10 </w:t>
      </w:r>
      <w:r w:rsidRPr="00660D4C">
        <w:rPr>
          <w:rFonts w:asciiTheme="majorBidi" w:hAnsiTheme="majorBidi" w:cstheme="majorBidi"/>
          <w:sz w:val="24"/>
          <w:szCs w:val="24"/>
        </w:rPr>
        <w:t>g l</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lang w:val="en-GB"/>
        </w:rPr>
        <w:t xml:space="preserve"> agar and 20 </w:t>
      </w:r>
      <w:r w:rsidRPr="00660D4C">
        <w:rPr>
          <w:rFonts w:asciiTheme="majorBidi" w:hAnsiTheme="majorBidi" w:cstheme="majorBidi"/>
          <w:sz w:val="24"/>
          <w:szCs w:val="24"/>
        </w:rPr>
        <w:t>g l</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lang w:val="en-GB"/>
        </w:rPr>
        <w:t xml:space="preserve"> sucrose without any plant growth regulator (PGR). The Shoot tips developed from the rapeseed cultured in vitro condition were used for encapsulation. The plants were </w:t>
      </w:r>
      <w:r w:rsidRPr="00660D4C">
        <w:rPr>
          <w:rFonts w:asciiTheme="majorBidi" w:eastAsia="Times New Roman" w:hAnsiTheme="majorBidi" w:cstheme="majorBidi"/>
          <w:sz w:val="24"/>
          <w:szCs w:val="24"/>
        </w:rPr>
        <w:t xml:space="preserve">placed under standard conditions at 25±1°C temperature, 16/8 h photoperiod under white fluorescent tubes for recovery of plantlets. </w:t>
      </w:r>
      <w:r w:rsidRPr="00660D4C">
        <w:rPr>
          <w:rFonts w:asciiTheme="majorBidi" w:hAnsiTheme="majorBidi" w:cstheme="majorBidi"/>
          <w:sz w:val="24"/>
          <w:szCs w:val="24"/>
          <w:lang w:val="en-GB"/>
        </w:rPr>
        <w:t>Shoot tips (</w:t>
      </w:r>
      <w:r w:rsidRPr="00660D4C">
        <w:rPr>
          <w:rFonts w:asciiTheme="majorBidi" w:hAnsiTheme="majorBidi" w:cstheme="majorBidi"/>
          <w:sz w:val="24"/>
          <w:szCs w:val="24"/>
        </w:rPr>
        <w:t>meristems with one or two leaf primordial</w:t>
      </w:r>
      <w:r w:rsidRPr="00660D4C">
        <w:rPr>
          <w:rFonts w:asciiTheme="majorBidi" w:hAnsiTheme="majorBidi" w:cstheme="majorBidi"/>
          <w:sz w:val="24"/>
          <w:szCs w:val="24"/>
          <w:lang w:val="en-GB"/>
        </w:rPr>
        <w:t xml:space="preserve">) 2–4 mm in length, were excised from </w:t>
      </w:r>
      <w:r w:rsidRPr="00660D4C">
        <w:rPr>
          <w:rFonts w:asciiTheme="majorBidi" w:hAnsiTheme="majorBidi" w:cstheme="majorBidi"/>
          <w:sz w:val="24"/>
          <w:szCs w:val="24"/>
        </w:rPr>
        <w:t>2week</w:t>
      </w:r>
      <w:r w:rsidRPr="00660D4C">
        <w:rPr>
          <w:rFonts w:asciiTheme="majorBidi" w:hAnsiTheme="majorBidi" w:cstheme="majorBidi"/>
          <w:sz w:val="24"/>
          <w:szCs w:val="24"/>
          <w:lang w:val="en-GB"/>
        </w:rPr>
        <w:t>old in vitro grown plants using two hypodermic needles under a stereo microscope in sterile conditions.</w:t>
      </w:r>
      <w:r w:rsidRPr="00660D4C">
        <w:rPr>
          <w:rFonts w:asciiTheme="majorBidi" w:hAnsiTheme="majorBidi" w:cstheme="majorBidi"/>
          <w:sz w:val="24"/>
          <w:szCs w:val="24"/>
        </w:rPr>
        <w:t xml:space="preserve"> For somatic embryo encapsulation, </w:t>
      </w:r>
      <w:proofErr w:type="spellStart"/>
      <w:r w:rsidRPr="00660D4C">
        <w:rPr>
          <w:rFonts w:asciiTheme="majorBidi" w:hAnsiTheme="majorBidi" w:cstheme="majorBidi"/>
          <w:sz w:val="24"/>
          <w:szCs w:val="24"/>
        </w:rPr>
        <w:t>Embryogenic</w:t>
      </w:r>
      <w:proofErr w:type="spellEnd"/>
      <w:r w:rsidRPr="00660D4C">
        <w:rPr>
          <w:rFonts w:asciiTheme="majorBidi" w:hAnsiTheme="majorBidi" w:cstheme="majorBidi"/>
          <w:sz w:val="24"/>
          <w:szCs w:val="24"/>
        </w:rPr>
        <w:t xml:space="preserve"> callus formation from hypocotyls and somatic embryos obtain described by author previously (</w:t>
      </w:r>
      <w:proofErr w:type="spellStart"/>
      <w:r w:rsidRPr="00660D4C">
        <w:rPr>
          <w:rFonts w:asciiTheme="majorBidi" w:hAnsiTheme="majorBidi" w:cstheme="majorBidi"/>
          <w:sz w:val="24"/>
          <w:szCs w:val="24"/>
        </w:rPr>
        <w:t>Zeynali</w:t>
      </w:r>
      <w:proofErr w:type="spellEnd"/>
      <w:r w:rsidR="006F7518">
        <w:rPr>
          <w:rFonts w:asciiTheme="majorBidi" w:hAnsiTheme="majorBidi" w:cstheme="majorBidi"/>
          <w:sz w:val="24"/>
          <w:szCs w:val="24"/>
        </w:rPr>
        <w:t xml:space="preserve"> </w:t>
      </w:r>
      <w:r w:rsidRPr="008F36C5">
        <w:rPr>
          <w:rFonts w:asciiTheme="majorBidi" w:hAnsiTheme="majorBidi" w:cstheme="majorBidi"/>
          <w:sz w:val="24"/>
          <w:szCs w:val="24"/>
        </w:rPr>
        <w:t>et al.</w:t>
      </w:r>
      <w:r w:rsidRPr="00660D4C">
        <w:rPr>
          <w:rFonts w:asciiTheme="majorBidi" w:hAnsiTheme="majorBidi" w:cstheme="majorBidi"/>
          <w:sz w:val="24"/>
          <w:szCs w:val="24"/>
        </w:rPr>
        <w:t xml:space="preserve"> 2010).</w:t>
      </w:r>
    </w:p>
    <w:p w:rsidR="00484D0C" w:rsidRDefault="00E50D32" w:rsidP="009C4AE1">
      <w:pPr>
        <w:rPr>
          <w:rFonts w:asciiTheme="majorBidi" w:hAnsiTheme="majorBidi" w:cstheme="majorBidi"/>
          <w:i/>
          <w:iCs/>
          <w:sz w:val="24"/>
          <w:szCs w:val="24"/>
        </w:rPr>
      </w:pPr>
      <w:r w:rsidRPr="00660D4C">
        <w:rPr>
          <w:rFonts w:asciiTheme="majorBidi" w:hAnsiTheme="majorBidi" w:cstheme="majorBidi"/>
          <w:i/>
          <w:iCs/>
          <w:sz w:val="24"/>
          <w:szCs w:val="24"/>
        </w:rPr>
        <w:t>Encapsulation of somatic embryos and shoot tips</w:t>
      </w:r>
    </w:p>
    <w:p w:rsidR="00484D0C" w:rsidRDefault="00E50D32" w:rsidP="009C4AE1">
      <w:pPr>
        <w:ind w:firstLine="720"/>
        <w:rPr>
          <w:rFonts w:asciiTheme="majorBidi" w:hAnsiTheme="majorBidi" w:cstheme="majorBidi"/>
          <w:sz w:val="24"/>
          <w:szCs w:val="24"/>
        </w:rPr>
      </w:pPr>
      <w:r w:rsidRPr="00660D4C">
        <w:rPr>
          <w:rFonts w:asciiTheme="majorBidi" w:hAnsiTheme="majorBidi" w:cstheme="majorBidi"/>
          <w:sz w:val="24"/>
          <w:szCs w:val="24"/>
        </w:rPr>
        <w:t xml:space="preserve">For encapsulation of somatic embryos, sodium alginate (Sigma </w:t>
      </w:r>
      <w:proofErr w:type="spellStart"/>
      <w:r w:rsidRPr="00660D4C">
        <w:rPr>
          <w:rFonts w:asciiTheme="majorBidi" w:hAnsiTheme="majorBidi" w:cstheme="majorBidi"/>
          <w:sz w:val="24"/>
          <w:szCs w:val="24"/>
        </w:rPr>
        <w:t>Chemicals</w:t>
      </w:r>
      <w:r w:rsidRPr="00660D4C">
        <w:rPr>
          <w:rFonts w:asciiTheme="majorBidi" w:hAnsiTheme="majorBidi" w:cstheme="majorBidi"/>
          <w:sz w:val="24"/>
          <w:szCs w:val="24"/>
          <w:vertAlign w:val="superscript"/>
        </w:rPr>
        <w:t>TM</w:t>
      </w:r>
      <w:proofErr w:type="spellEnd"/>
      <w:r w:rsidRPr="00660D4C">
        <w:rPr>
          <w:rFonts w:asciiTheme="majorBidi" w:hAnsiTheme="majorBidi" w:cstheme="majorBidi"/>
          <w:sz w:val="24"/>
          <w:szCs w:val="24"/>
        </w:rPr>
        <w:t>, USA) at the concentration of 2% (w v</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rPr>
        <w:t>) was prepared in MS medium containing 2 mg l</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rPr>
        <w:t>  BAP and 2 mg l</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rPr>
        <w:t xml:space="preserve">  IAA ( </w:t>
      </w:r>
      <w:proofErr w:type="spellStart"/>
      <w:r w:rsidRPr="00660D4C">
        <w:rPr>
          <w:rFonts w:asciiTheme="majorBidi" w:hAnsiTheme="majorBidi" w:cstheme="majorBidi"/>
          <w:sz w:val="24"/>
          <w:szCs w:val="24"/>
        </w:rPr>
        <w:t>Indole</w:t>
      </w:r>
      <w:proofErr w:type="spellEnd"/>
      <w:r w:rsidRPr="00660D4C">
        <w:rPr>
          <w:rFonts w:asciiTheme="majorBidi" w:hAnsiTheme="majorBidi" w:cstheme="majorBidi"/>
          <w:sz w:val="24"/>
          <w:szCs w:val="24"/>
        </w:rPr>
        <w:t xml:space="preserve"> acetic acid), and 0.75 (g 50 ml</w:t>
      </w:r>
      <w:r w:rsidRPr="00660D4C">
        <w:rPr>
          <w:rFonts w:asciiTheme="majorBidi" w:hAnsiTheme="majorBidi" w:cstheme="majorBidi"/>
          <w:sz w:val="24"/>
          <w:szCs w:val="24"/>
          <w:vertAlign w:val="superscript"/>
        </w:rPr>
        <w:t>-1</w:t>
      </w:r>
      <w:r w:rsidRPr="00660D4C">
        <w:rPr>
          <w:rFonts w:asciiTheme="majorBidi" w:hAnsiTheme="majorBidi" w:cstheme="majorBidi"/>
          <w:sz w:val="24"/>
          <w:szCs w:val="24"/>
        </w:rPr>
        <w:t xml:space="preserve"> water) of calcium chloride (</w:t>
      </w:r>
      <w:proofErr w:type="spellStart"/>
      <w:r w:rsidRPr="00660D4C">
        <w:rPr>
          <w:rFonts w:asciiTheme="majorBidi" w:hAnsiTheme="majorBidi" w:cstheme="majorBidi"/>
          <w:sz w:val="24"/>
          <w:szCs w:val="24"/>
        </w:rPr>
        <w:t>Merck</w:t>
      </w:r>
      <w:r w:rsidRPr="00660D4C">
        <w:rPr>
          <w:rFonts w:asciiTheme="majorBidi" w:hAnsiTheme="majorBidi" w:cstheme="majorBidi"/>
          <w:sz w:val="24"/>
          <w:szCs w:val="24"/>
          <w:vertAlign w:val="superscript"/>
        </w:rPr>
        <w:t>TM</w:t>
      </w:r>
      <w:proofErr w:type="spellEnd"/>
      <w:r w:rsidRPr="00660D4C">
        <w:rPr>
          <w:rFonts w:asciiTheme="majorBidi" w:hAnsiTheme="majorBidi" w:cstheme="majorBidi"/>
          <w:sz w:val="24"/>
          <w:szCs w:val="24"/>
        </w:rPr>
        <w:t xml:space="preserve">, Germany), that it was prepared in double distilled water. For shoot tip encapsulation, three concentrations of (2, 4 and 6%) were used for sodium alginate solution. One of these concentrations was prepared by three various mediums/media of distilled water, basal liquid free MS medium with 2.5% sucrose and basal liquid MS medium supplemented with 2.5% sucrose, 2 mg l-1 IAA and 2 mg l -1 BAP. For calcium chloride solution, three concentrations were prepared: 1, 1.4 and 2%. . Both the gel matrix and </w:t>
      </w:r>
      <w:proofErr w:type="spellStart"/>
      <w:r w:rsidRPr="00660D4C">
        <w:rPr>
          <w:rFonts w:asciiTheme="majorBidi" w:hAnsiTheme="majorBidi" w:cstheme="majorBidi"/>
          <w:sz w:val="24"/>
          <w:szCs w:val="24"/>
        </w:rPr>
        <w:t>complexing</w:t>
      </w:r>
      <w:proofErr w:type="spellEnd"/>
      <w:r w:rsidRPr="00660D4C">
        <w:rPr>
          <w:rFonts w:asciiTheme="majorBidi" w:hAnsiTheme="majorBidi" w:cstheme="majorBidi"/>
          <w:sz w:val="24"/>
          <w:szCs w:val="24"/>
        </w:rPr>
        <w:t xml:space="preserve"> agent were autoclaved at 121°C for 15 min. Encapsulation was </w:t>
      </w:r>
      <w:r w:rsidRPr="00660D4C">
        <w:rPr>
          <w:rFonts w:asciiTheme="majorBidi" w:hAnsiTheme="majorBidi" w:cstheme="majorBidi"/>
          <w:sz w:val="24"/>
          <w:szCs w:val="24"/>
        </w:rPr>
        <w:lastRenderedPageBreak/>
        <w:t xml:space="preserve">accomplished by mixing the somatic embryos at globular stage and individual shoot tips into the sodium alginate solution and dropping these into the calcium chloride solution. Each drop contained one and SE.  The beads containing  one somatic embryos  and shoot tip were held for 20 to 30 min in the calcium chloride solution and after hardening of the beads, encapsulated somatic embryos were washed with sterilized distilled water 2 and 3 times to remove traces of calcium chloride. Encapsulated somatic embryos were stored in refrigerator at 4 °C for different periods (10, 20, 30 and 40 days). At the end of each storage period, stored encapsulated somatic embryos were immediately transferred to fresh germination medium (growth regulator free solid MS medium supplemented with 2.5% sucrose and 0.7% agar) and placed under standard conditions at 25±1°C temperature, 16/8 h photoperiod under white fluorescent tubes for recovery of plantlets. The frequency of plantlet conversion was calculated as the percentage of encapsulated somatic embryos showing </w:t>
      </w:r>
      <w:proofErr w:type="spellStart"/>
      <w:r w:rsidRPr="00660D4C">
        <w:rPr>
          <w:rFonts w:asciiTheme="majorBidi" w:hAnsiTheme="majorBidi" w:cstheme="majorBidi"/>
          <w:sz w:val="24"/>
          <w:szCs w:val="24"/>
        </w:rPr>
        <w:t>well_developed</w:t>
      </w:r>
      <w:proofErr w:type="spellEnd"/>
      <w:r w:rsidRPr="00660D4C">
        <w:rPr>
          <w:rFonts w:asciiTheme="majorBidi" w:hAnsiTheme="majorBidi" w:cstheme="majorBidi"/>
          <w:sz w:val="24"/>
          <w:szCs w:val="24"/>
        </w:rPr>
        <w:t xml:space="preserve"> shoot and root out of total number of somatic embryos encapsulated.  For shoot tips encapsulation, the survival percentage and the numbers of shoot per encapsulated beads were recorded after this time. In addition the shoots with fully expanded leaves emerging from  encapsulated shoot tips to induce root formation, were placed on MS medium supplemented with a range of (1-3 mg l</w:t>
      </w:r>
      <w:r w:rsidRPr="008F36C5">
        <w:rPr>
          <w:rFonts w:asciiTheme="majorBidi" w:hAnsiTheme="majorBidi" w:cstheme="majorBidi"/>
          <w:sz w:val="24"/>
          <w:szCs w:val="24"/>
          <w:vertAlign w:val="superscript"/>
        </w:rPr>
        <w:t>-1</w:t>
      </w:r>
      <w:r w:rsidRPr="00660D4C">
        <w:rPr>
          <w:rFonts w:asciiTheme="majorBidi" w:hAnsiTheme="majorBidi" w:cstheme="majorBidi"/>
          <w:sz w:val="24"/>
          <w:szCs w:val="24"/>
        </w:rPr>
        <w:t>) IAA. The percentage of root formation was recorded after one week.</w:t>
      </w:r>
    </w:p>
    <w:p w:rsidR="00484D0C" w:rsidRDefault="00E50D32" w:rsidP="009C4AE1">
      <w:pPr>
        <w:rPr>
          <w:rFonts w:asciiTheme="majorBidi" w:hAnsiTheme="majorBidi" w:cstheme="majorBidi"/>
          <w:i/>
          <w:iCs/>
          <w:sz w:val="24"/>
          <w:szCs w:val="24"/>
        </w:rPr>
      </w:pPr>
      <w:r w:rsidRPr="00660D4C">
        <w:rPr>
          <w:rFonts w:asciiTheme="majorBidi" w:hAnsiTheme="majorBidi" w:cstheme="majorBidi"/>
          <w:i/>
          <w:iCs/>
          <w:sz w:val="24"/>
          <w:szCs w:val="24"/>
        </w:rPr>
        <w:t>Experimental design and data analysis</w:t>
      </w:r>
    </w:p>
    <w:p w:rsidR="00484D0C" w:rsidRDefault="00E50D32" w:rsidP="009C4AE1">
      <w:pPr>
        <w:pStyle w:val="BodyText"/>
        <w:spacing w:after="60" w:line="480" w:lineRule="auto"/>
        <w:rPr>
          <w:rFonts w:asciiTheme="majorBidi" w:eastAsia="Times New Roman" w:hAnsiTheme="majorBidi" w:cstheme="majorBidi"/>
          <w:color w:val="000000"/>
          <w:sz w:val="24"/>
          <w:szCs w:val="24"/>
        </w:rPr>
      </w:pPr>
      <w:r w:rsidRPr="00660D4C">
        <w:rPr>
          <w:rFonts w:asciiTheme="majorBidi" w:hAnsiTheme="majorBidi" w:cstheme="majorBidi"/>
          <w:sz w:val="24"/>
          <w:szCs w:val="24"/>
        </w:rPr>
        <w:t xml:space="preserve">The percentage of encapsulated shoot tips that developed shoots or roots was recorded weekly for one month. Each experiment was replicated five times with five explants per replicate. Encapsulation experiment was </w:t>
      </w:r>
      <w:r w:rsidRPr="00660D4C">
        <w:rPr>
          <w:rFonts w:asciiTheme="majorBidi" w:hAnsiTheme="majorBidi" w:cstheme="majorBidi"/>
          <w:sz w:val="24"/>
          <w:szCs w:val="24"/>
          <w:lang w:val="en-US"/>
        </w:rPr>
        <w:t xml:space="preserve">set up on factorial experiment in completely Randomized Design (CRD) and rooting experiment was carried out using CRD from five replications. </w:t>
      </w:r>
      <w:r w:rsidRPr="00660D4C">
        <w:rPr>
          <w:rFonts w:asciiTheme="majorBidi" w:eastAsia="Times New Roman" w:hAnsiTheme="majorBidi" w:cstheme="majorBidi"/>
          <w:color w:val="000000"/>
          <w:sz w:val="24"/>
          <w:szCs w:val="24"/>
        </w:rPr>
        <w:t xml:space="preserve">For somatic embryos encapsulation experiment, 12 replicates were used for this treatment and each experiment was repeated three times. The mean </w:t>
      </w:r>
      <w:r w:rsidRPr="00660D4C">
        <w:rPr>
          <w:rFonts w:asciiTheme="majorBidi" w:eastAsia="Times New Roman" w:hAnsiTheme="majorBidi" w:cstheme="majorBidi"/>
          <w:sz w:val="24"/>
          <w:szCs w:val="24"/>
        </w:rPr>
        <w:t xml:space="preserve">standard error and one-way ANOVA were calculated using </w:t>
      </w:r>
      <w:r w:rsidRPr="00660D4C">
        <w:rPr>
          <w:rFonts w:asciiTheme="majorBidi" w:eastAsia="Times New Roman" w:hAnsiTheme="majorBidi" w:cstheme="majorBidi"/>
          <w:sz w:val="24"/>
          <w:szCs w:val="24"/>
        </w:rPr>
        <w:lastRenderedPageBreak/>
        <w:t xml:space="preserve">the MSTATC software. </w:t>
      </w:r>
      <w:r w:rsidRPr="00660D4C">
        <w:rPr>
          <w:rFonts w:asciiTheme="majorBidi" w:eastAsia="Times New Roman" w:hAnsiTheme="majorBidi" w:cstheme="majorBidi"/>
          <w:color w:val="000000"/>
          <w:sz w:val="24"/>
          <w:szCs w:val="24"/>
        </w:rPr>
        <w:t>The mean separations were carried out using Duncan’s multiple range tests (Duncan</w:t>
      </w:r>
      <w:r>
        <w:rPr>
          <w:rFonts w:asciiTheme="majorBidi" w:eastAsia="Times New Roman" w:hAnsiTheme="majorBidi" w:cstheme="majorBidi"/>
          <w:color w:val="000000"/>
          <w:sz w:val="24"/>
          <w:szCs w:val="24"/>
        </w:rPr>
        <w:t>,</w:t>
      </w:r>
      <w:r w:rsidRPr="00660D4C">
        <w:rPr>
          <w:rFonts w:asciiTheme="majorBidi" w:eastAsia="Times New Roman" w:hAnsiTheme="majorBidi" w:cstheme="majorBidi"/>
          <w:color w:val="000000"/>
          <w:sz w:val="24"/>
          <w:szCs w:val="24"/>
        </w:rPr>
        <w:t xml:space="preserve"> 1955) and significance was determined at (p&lt;0.05).</w:t>
      </w:r>
    </w:p>
    <w:p w:rsidR="00484D0C" w:rsidRDefault="009D3E13" w:rsidP="009C4AE1">
      <w:pPr>
        <w:autoSpaceDE w:val="0"/>
        <w:autoSpaceDN w:val="0"/>
        <w:adjustRightInd w:val="0"/>
        <w:rPr>
          <w:rFonts w:asciiTheme="majorBidi" w:hAnsiTheme="majorBidi" w:cstheme="majorBidi"/>
          <w:b/>
          <w:bCs/>
          <w:sz w:val="24"/>
          <w:szCs w:val="24"/>
          <w:lang w:bidi="ar-SA"/>
        </w:rPr>
      </w:pPr>
      <w:r w:rsidRPr="003C5B68">
        <w:rPr>
          <w:rFonts w:asciiTheme="majorBidi" w:hAnsiTheme="majorBidi" w:cstheme="majorBidi"/>
          <w:b/>
          <w:bCs/>
          <w:sz w:val="24"/>
          <w:szCs w:val="24"/>
          <w:lang w:bidi="ar-SA"/>
        </w:rPr>
        <w:t>Results</w:t>
      </w:r>
      <w:r w:rsidR="00FE3316" w:rsidRPr="003C5B68">
        <w:rPr>
          <w:rFonts w:asciiTheme="majorBidi" w:hAnsiTheme="majorBidi" w:cstheme="majorBidi"/>
          <w:b/>
          <w:bCs/>
          <w:sz w:val="24"/>
          <w:szCs w:val="24"/>
          <w:lang w:bidi="ar-SA"/>
        </w:rPr>
        <w:t xml:space="preserve"> and discussion</w:t>
      </w:r>
    </w:p>
    <w:p w:rsidR="00484D0C" w:rsidRDefault="009D3E13" w:rsidP="009C4AE1">
      <w:pPr>
        <w:autoSpaceDE w:val="0"/>
        <w:autoSpaceDN w:val="0"/>
        <w:adjustRightInd w:val="0"/>
        <w:rPr>
          <w:rFonts w:asciiTheme="majorBidi" w:hAnsiTheme="majorBidi" w:cstheme="majorBidi"/>
          <w:i/>
          <w:iCs/>
          <w:sz w:val="24"/>
          <w:szCs w:val="24"/>
        </w:rPr>
      </w:pPr>
      <w:r w:rsidRPr="003C5B68">
        <w:rPr>
          <w:rFonts w:asciiTheme="majorBidi" w:hAnsiTheme="majorBidi" w:cstheme="majorBidi"/>
          <w:i/>
          <w:iCs/>
          <w:sz w:val="24"/>
          <w:szCs w:val="24"/>
          <w:lang w:bidi="ar-SA"/>
        </w:rPr>
        <w:t>Development of plant</w:t>
      </w:r>
      <w:r w:rsidR="000D7550" w:rsidRPr="003C5B68">
        <w:rPr>
          <w:rFonts w:asciiTheme="majorBidi" w:hAnsiTheme="majorBidi" w:cstheme="majorBidi"/>
          <w:i/>
          <w:iCs/>
          <w:sz w:val="24"/>
          <w:szCs w:val="24"/>
          <w:lang w:bidi="ar-SA"/>
        </w:rPr>
        <w:t>s by encapsulated</w:t>
      </w:r>
      <w:r w:rsidRPr="003C5B68">
        <w:rPr>
          <w:rFonts w:asciiTheme="majorBidi" w:hAnsiTheme="majorBidi" w:cstheme="majorBidi"/>
          <w:i/>
          <w:iCs/>
          <w:sz w:val="24"/>
          <w:szCs w:val="24"/>
          <w:lang w:bidi="ar-SA"/>
        </w:rPr>
        <w:t xml:space="preserve"> shoot tips</w:t>
      </w:r>
    </w:p>
    <w:p w:rsidR="00484D0C" w:rsidRDefault="00E424D6" w:rsidP="006F2808">
      <w:pPr>
        <w:autoSpaceDE w:val="0"/>
        <w:autoSpaceDN w:val="0"/>
        <w:adjustRightInd w:val="0"/>
        <w:ind w:firstLine="720"/>
        <w:rPr>
          <w:rFonts w:asciiTheme="majorBidi" w:hAnsiTheme="majorBidi" w:cstheme="majorBidi"/>
          <w:sz w:val="24"/>
          <w:szCs w:val="24"/>
        </w:rPr>
      </w:pPr>
      <w:r w:rsidRPr="003C5B68">
        <w:rPr>
          <w:rFonts w:asciiTheme="majorBidi" w:hAnsiTheme="majorBidi" w:cstheme="majorBidi"/>
          <w:sz w:val="24"/>
          <w:szCs w:val="24"/>
        </w:rPr>
        <w:t xml:space="preserve">Encapsulated shoot tips resumed growth within 7 days after </w:t>
      </w:r>
      <w:r w:rsidR="00570D1D" w:rsidRPr="003C5B68">
        <w:rPr>
          <w:rFonts w:asciiTheme="majorBidi" w:hAnsiTheme="majorBidi" w:cstheme="majorBidi"/>
          <w:sz w:val="24"/>
          <w:szCs w:val="24"/>
        </w:rPr>
        <w:t xml:space="preserve">planting </w:t>
      </w:r>
      <w:r w:rsidRPr="003C5B68">
        <w:rPr>
          <w:rFonts w:asciiTheme="majorBidi" w:hAnsiTheme="majorBidi" w:cstheme="majorBidi"/>
          <w:sz w:val="24"/>
          <w:szCs w:val="24"/>
        </w:rPr>
        <w:t xml:space="preserve">and </w:t>
      </w:r>
      <w:r w:rsidR="00570D1D" w:rsidRPr="003C5B68">
        <w:rPr>
          <w:rFonts w:asciiTheme="majorBidi" w:hAnsiTheme="majorBidi" w:cstheme="majorBidi"/>
          <w:sz w:val="24"/>
          <w:szCs w:val="24"/>
        </w:rPr>
        <w:t xml:space="preserve">developing of </w:t>
      </w:r>
      <w:r w:rsidRPr="003C5B68">
        <w:rPr>
          <w:rFonts w:asciiTheme="majorBidi" w:hAnsiTheme="majorBidi" w:cstheme="majorBidi"/>
          <w:sz w:val="24"/>
          <w:szCs w:val="24"/>
        </w:rPr>
        <w:t xml:space="preserve">normal shoots without callus formation within </w:t>
      </w:r>
      <w:r w:rsidR="00755C6E" w:rsidRPr="003C5B68">
        <w:rPr>
          <w:rFonts w:asciiTheme="majorBidi" w:hAnsiTheme="majorBidi" w:cstheme="majorBidi"/>
          <w:sz w:val="24"/>
          <w:szCs w:val="24"/>
        </w:rPr>
        <w:t>4 weeks.</w:t>
      </w:r>
      <w:r w:rsidR="00580363">
        <w:rPr>
          <w:rFonts w:asciiTheme="majorBidi" w:hAnsiTheme="majorBidi" w:cstheme="majorBidi"/>
          <w:sz w:val="24"/>
          <w:szCs w:val="24"/>
        </w:rPr>
        <w:t xml:space="preserve"> </w:t>
      </w:r>
      <w:r w:rsidR="00570D1D" w:rsidRPr="003C5B68">
        <w:rPr>
          <w:rFonts w:asciiTheme="majorBidi" w:hAnsiTheme="majorBidi" w:cstheme="majorBidi"/>
          <w:sz w:val="24"/>
          <w:szCs w:val="24"/>
        </w:rPr>
        <w:t xml:space="preserve">The </w:t>
      </w:r>
      <w:r w:rsidR="00580363" w:rsidRPr="003C5B68">
        <w:rPr>
          <w:rFonts w:asciiTheme="majorBidi" w:hAnsiTheme="majorBidi" w:cstheme="majorBidi"/>
          <w:sz w:val="24"/>
          <w:szCs w:val="24"/>
        </w:rPr>
        <w:t xml:space="preserve">regrowth </w:t>
      </w:r>
      <w:r w:rsidR="00F42C7D" w:rsidRPr="003C5B68">
        <w:rPr>
          <w:rFonts w:asciiTheme="majorBidi" w:hAnsiTheme="majorBidi" w:cstheme="majorBidi"/>
          <w:sz w:val="24"/>
          <w:szCs w:val="24"/>
        </w:rPr>
        <w:t xml:space="preserve">events </w:t>
      </w:r>
      <w:r w:rsidR="00570D1D" w:rsidRPr="003C5B68">
        <w:rPr>
          <w:rFonts w:asciiTheme="majorBidi" w:hAnsiTheme="majorBidi" w:cstheme="majorBidi"/>
          <w:sz w:val="24"/>
          <w:szCs w:val="24"/>
        </w:rPr>
        <w:t xml:space="preserve">could be </w:t>
      </w:r>
      <w:r w:rsidR="00F42C7D" w:rsidRPr="003C5B68">
        <w:rPr>
          <w:rFonts w:asciiTheme="majorBidi" w:hAnsiTheme="majorBidi" w:cstheme="majorBidi"/>
          <w:sz w:val="24"/>
          <w:szCs w:val="24"/>
        </w:rPr>
        <w:t xml:space="preserve">observed in </w:t>
      </w:r>
      <w:r w:rsidR="00A96E1F" w:rsidRPr="003C5B68">
        <w:rPr>
          <w:rFonts w:asciiTheme="majorBidi" w:hAnsiTheme="majorBidi" w:cstheme="majorBidi"/>
          <w:sz w:val="24"/>
          <w:szCs w:val="24"/>
        </w:rPr>
        <w:t xml:space="preserve">whole </w:t>
      </w:r>
      <w:r w:rsidR="00AE5B23" w:rsidRPr="003C5B68">
        <w:rPr>
          <w:rFonts w:asciiTheme="majorBidi" w:hAnsiTheme="majorBidi" w:cstheme="majorBidi"/>
          <w:sz w:val="24"/>
          <w:szCs w:val="24"/>
        </w:rPr>
        <w:t>illustrate</w:t>
      </w:r>
      <w:r w:rsidR="008F36C5">
        <w:rPr>
          <w:rFonts w:asciiTheme="majorBidi" w:hAnsiTheme="majorBidi" w:cstheme="majorBidi"/>
          <w:sz w:val="24"/>
          <w:szCs w:val="24"/>
        </w:rPr>
        <w:t xml:space="preserve"> </w:t>
      </w:r>
      <w:r w:rsidR="00AE5B23" w:rsidRPr="003C5B68">
        <w:rPr>
          <w:rFonts w:asciiTheme="majorBidi" w:hAnsiTheme="majorBidi" w:cstheme="majorBidi"/>
          <w:sz w:val="24"/>
          <w:szCs w:val="24"/>
        </w:rPr>
        <w:t>(Fig</w:t>
      </w:r>
      <w:r w:rsidR="006F2808">
        <w:rPr>
          <w:rFonts w:asciiTheme="majorBidi" w:hAnsiTheme="majorBidi" w:cstheme="majorBidi"/>
          <w:sz w:val="24"/>
          <w:szCs w:val="24"/>
        </w:rPr>
        <w:t>ure</w:t>
      </w:r>
      <w:r w:rsidR="00AE5B23" w:rsidRPr="003C5B68">
        <w:rPr>
          <w:rFonts w:asciiTheme="majorBidi" w:hAnsiTheme="majorBidi" w:cstheme="majorBidi"/>
          <w:sz w:val="24"/>
          <w:szCs w:val="24"/>
        </w:rPr>
        <w:t xml:space="preserve"> 1)</w:t>
      </w:r>
      <w:r w:rsidR="00E942F8" w:rsidRPr="003C5B68">
        <w:rPr>
          <w:rFonts w:asciiTheme="majorBidi" w:hAnsiTheme="majorBidi" w:cstheme="majorBidi"/>
          <w:sz w:val="24"/>
          <w:szCs w:val="24"/>
        </w:rPr>
        <w:t>.</w:t>
      </w:r>
      <w:r w:rsidR="000D67CE" w:rsidRPr="003C5B68">
        <w:rPr>
          <w:rFonts w:asciiTheme="majorBidi" w:hAnsiTheme="majorBidi" w:cstheme="majorBidi"/>
          <w:sz w:val="24"/>
          <w:szCs w:val="24"/>
        </w:rPr>
        <w:t>Shoots and plantlets developed from synthetic seeds are used for furth</w:t>
      </w:r>
      <w:r w:rsidR="00EC6253" w:rsidRPr="003C5B68">
        <w:rPr>
          <w:rFonts w:asciiTheme="majorBidi" w:hAnsiTheme="majorBidi" w:cstheme="majorBidi"/>
          <w:sz w:val="24"/>
          <w:szCs w:val="24"/>
        </w:rPr>
        <w:t>er</w:t>
      </w:r>
      <w:r w:rsidR="00B5762A" w:rsidRPr="003C5B68">
        <w:rPr>
          <w:rFonts w:asciiTheme="majorBidi" w:hAnsiTheme="majorBidi" w:cstheme="majorBidi"/>
          <w:sz w:val="24"/>
          <w:szCs w:val="24"/>
        </w:rPr>
        <w:t xml:space="preserve"> micro propagation</w:t>
      </w:r>
      <w:r w:rsidR="00EC6253" w:rsidRPr="003C5B68">
        <w:rPr>
          <w:rFonts w:asciiTheme="majorBidi" w:hAnsiTheme="majorBidi" w:cstheme="majorBidi"/>
          <w:sz w:val="24"/>
          <w:szCs w:val="24"/>
        </w:rPr>
        <w:t xml:space="preserve"> of </w:t>
      </w:r>
      <w:r w:rsidR="00B5762A" w:rsidRPr="003C5B68">
        <w:rPr>
          <w:rFonts w:asciiTheme="majorBidi" w:hAnsiTheme="majorBidi" w:cstheme="majorBidi"/>
          <w:sz w:val="24"/>
          <w:szCs w:val="24"/>
        </w:rPr>
        <w:t xml:space="preserve">the </w:t>
      </w:r>
      <w:r w:rsidR="00EC6253" w:rsidRPr="003C5B68">
        <w:rPr>
          <w:rFonts w:asciiTheme="majorBidi" w:hAnsiTheme="majorBidi" w:cstheme="majorBidi"/>
          <w:sz w:val="24"/>
          <w:szCs w:val="24"/>
        </w:rPr>
        <w:t>plants.</w:t>
      </w:r>
    </w:p>
    <w:p w:rsidR="00484D0C" w:rsidRDefault="009A2DEA" w:rsidP="009C4AE1">
      <w:pPr>
        <w:autoSpaceDE w:val="0"/>
        <w:autoSpaceDN w:val="0"/>
        <w:adjustRightInd w:val="0"/>
        <w:rPr>
          <w:rFonts w:asciiTheme="majorBidi" w:hAnsiTheme="majorBidi" w:cstheme="majorBidi"/>
          <w:i/>
          <w:iCs/>
          <w:sz w:val="24"/>
          <w:szCs w:val="24"/>
        </w:rPr>
      </w:pPr>
      <w:r w:rsidRPr="003C5B68">
        <w:rPr>
          <w:rFonts w:asciiTheme="majorBidi" w:hAnsiTheme="majorBidi" w:cstheme="majorBidi"/>
          <w:i/>
          <w:iCs/>
          <w:sz w:val="24"/>
          <w:szCs w:val="24"/>
        </w:rPr>
        <w:t xml:space="preserve">Effects of different </w:t>
      </w:r>
      <w:r w:rsidR="001907E6" w:rsidRPr="003C5B68">
        <w:rPr>
          <w:rFonts w:asciiTheme="majorBidi" w:hAnsiTheme="majorBidi" w:cstheme="majorBidi"/>
          <w:i/>
          <w:iCs/>
          <w:sz w:val="24"/>
          <w:szCs w:val="24"/>
        </w:rPr>
        <w:t>concentrations</w:t>
      </w:r>
      <w:r w:rsidR="001C32B2" w:rsidRPr="003C5B68">
        <w:rPr>
          <w:rFonts w:asciiTheme="majorBidi" w:hAnsiTheme="majorBidi" w:cstheme="majorBidi"/>
          <w:i/>
          <w:iCs/>
          <w:sz w:val="24"/>
          <w:szCs w:val="24"/>
        </w:rPr>
        <w:t xml:space="preserve"> of sodium alginate</w:t>
      </w:r>
      <w:r w:rsidR="001907E6" w:rsidRPr="003C5B68">
        <w:rPr>
          <w:rFonts w:asciiTheme="majorBidi" w:hAnsiTheme="majorBidi" w:cstheme="majorBidi"/>
          <w:i/>
          <w:iCs/>
          <w:sz w:val="24"/>
          <w:szCs w:val="24"/>
        </w:rPr>
        <w:t xml:space="preserve"> and calcium chloride</w:t>
      </w:r>
    </w:p>
    <w:p w:rsidR="00484D0C" w:rsidRDefault="00BD7B58" w:rsidP="006F2808">
      <w:pPr>
        <w:autoSpaceDE w:val="0"/>
        <w:autoSpaceDN w:val="0"/>
        <w:adjustRightInd w:val="0"/>
        <w:ind w:firstLine="720"/>
        <w:rPr>
          <w:rFonts w:asciiTheme="majorBidi" w:hAnsiTheme="majorBidi" w:cstheme="majorBidi"/>
          <w:sz w:val="24"/>
          <w:szCs w:val="24"/>
          <w:lang w:bidi="ar-SA"/>
        </w:rPr>
      </w:pPr>
      <w:r w:rsidRPr="003C5B68">
        <w:rPr>
          <w:rFonts w:asciiTheme="majorBidi" w:hAnsiTheme="majorBidi" w:cstheme="majorBidi"/>
          <w:sz w:val="24"/>
          <w:szCs w:val="24"/>
        </w:rPr>
        <w:t xml:space="preserve">The results </w:t>
      </w:r>
      <w:r w:rsidR="00B31B57" w:rsidRPr="003C5B68">
        <w:rPr>
          <w:rFonts w:asciiTheme="majorBidi" w:hAnsiTheme="majorBidi" w:cstheme="majorBidi"/>
          <w:sz w:val="24"/>
          <w:szCs w:val="24"/>
        </w:rPr>
        <w:t>i</w:t>
      </w:r>
      <w:r w:rsidRPr="003C5B68">
        <w:rPr>
          <w:rFonts w:asciiTheme="majorBidi" w:hAnsiTheme="majorBidi" w:cstheme="majorBidi"/>
          <w:sz w:val="24"/>
          <w:szCs w:val="24"/>
        </w:rPr>
        <w:t>ndicated that</w:t>
      </w:r>
      <w:r w:rsidR="00580363">
        <w:rPr>
          <w:rFonts w:asciiTheme="majorBidi" w:hAnsiTheme="majorBidi" w:cstheme="majorBidi"/>
          <w:sz w:val="24"/>
          <w:szCs w:val="24"/>
        </w:rPr>
        <w:t xml:space="preserve"> </w:t>
      </w:r>
      <w:r w:rsidR="00B5762A" w:rsidRPr="003C5B68">
        <w:rPr>
          <w:rFonts w:asciiTheme="majorBidi" w:hAnsiTheme="majorBidi" w:cstheme="majorBidi"/>
          <w:sz w:val="24"/>
          <w:szCs w:val="24"/>
        </w:rPr>
        <w:t xml:space="preserve">there was </w:t>
      </w:r>
      <w:r w:rsidR="005C1899" w:rsidRPr="003C5B68">
        <w:rPr>
          <w:rFonts w:asciiTheme="majorBidi" w:hAnsiTheme="majorBidi" w:cstheme="majorBidi"/>
          <w:sz w:val="24"/>
          <w:szCs w:val="24"/>
        </w:rPr>
        <w:t>significant difference</w:t>
      </w:r>
      <w:r w:rsidR="00580363">
        <w:rPr>
          <w:rFonts w:asciiTheme="majorBidi" w:hAnsiTheme="majorBidi" w:cstheme="majorBidi"/>
          <w:sz w:val="24"/>
          <w:szCs w:val="24"/>
        </w:rPr>
        <w:t xml:space="preserve"> </w:t>
      </w:r>
      <w:r w:rsidR="00B31B57" w:rsidRPr="003C5B68">
        <w:rPr>
          <w:rFonts w:asciiTheme="majorBidi" w:hAnsiTheme="majorBidi" w:cstheme="majorBidi"/>
          <w:sz w:val="24"/>
          <w:szCs w:val="24"/>
        </w:rPr>
        <w:t>(Table 1)</w:t>
      </w:r>
      <w:r w:rsidR="00B5762A" w:rsidRPr="003C5B68">
        <w:rPr>
          <w:rFonts w:asciiTheme="majorBidi" w:hAnsiTheme="majorBidi" w:cstheme="majorBidi"/>
          <w:sz w:val="24"/>
          <w:szCs w:val="24"/>
        </w:rPr>
        <w:t xml:space="preserve"> among several concentrations of sodium alginate</w:t>
      </w:r>
      <w:r w:rsidR="005C1899" w:rsidRPr="003C5B68">
        <w:rPr>
          <w:rFonts w:asciiTheme="majorBidi" w:hAnsiTheme="majorBidi" w:cstheme="majorBidi"/>
          <w:sz w:val="24"/>
          <w:szCs w:val="24"/>
        </w:rPr>
        <w:t xml:space="preserve">, </w:t>
      </w:r>
      <w:r w:rsidR="00B5762A" w:rsidRPr="003C5B68">
        <w:rPr>
          <w:rFonts w:asciiTheme="majorBidi" w:hAnsiTheme="majorBidi" w:cstheme="majorBidi"/>
          <w:sz w:val="24"/>
          <w:szCs w:val="24"/>
        </w:rPr>
        <w:t>in a manner the</w:t>
      </w:r>
      <w:r w:rsidRPr="003C5B68">
        <w:rPr>
          <w:rFonts w:asciiTheme="majorBidi" w:hAnsiTheme="majorBidi" w:cstheme="majorBidi"/>
          <w:sz w:val="24"/>
          <w:szCs w:val="24"/>
        </w:rPr>
        <w:t xml:space="preserve"> increasing of sodium</w:t>
      </w:r>
      <w:r w:rsidR="00580363">
        <w:rPr>
          <w:rFonts w:asciiTheme="majorBidi" w:hAnsiTheme="majorBidi" w:cstheme="majorBidi"/>
          <w:sz w:val="24"/>
          <w:szCs w:val="24"/>
        </w:rPr>
        <w:t xml:space="preserve"> </w:t>
      </w:r>
      <w:r w:rsidRPr="003C5B68">
        <w:rPr>
          <w:rFonts w:asciiTheme="majorBidi" w:hAnsiTheme="majorBidi" w:cstheme="majorBidi"/>
          <w:sz w:val="24"/>
          <w:szCs w:val="24"/>
        </w:rPr>
        <w:t xml:space="preserve">alginate from </w:t>
      </w:r>
      <w:r w:rsidR="003B43A8" w:rsidRPr="003C5B68">
        <w:rPr>
          <w:rFonts w:asciiTheme="majorBidi" w:hAnsiTheme="majorBidi" w:cstheme="majorBidi"/>
          <w:sz w:val="24"/>
          <w:szCs w:val="24"/>
        </w:rPr>
        <w:t>2</w:t>
      </w:r>
      <w:r w:rsidRPr="003C5B68">
        <w:rPr>
          <w:rFonts w:asciiTheme="majorBidi" w:hAnsiTheme="majorBidi" w:cstheme="majorBidi"/>
          <w:sz w:val="24"/>
          <w:szCs w:val="24"/>
        </w:rPr>
        <w:t xml:space="preserve"> to </w:t>
      </w:r>
      <w:r w:rsidR="00983F69" w:rsidRPr="003C5B68">
        <w:rPr>
          <w:rFonts w:asciiTheme="majorBidi" w:hAnsiTheme="majorBidi" w:cstheme="majorBidi"/>
          <w:sz w:val="24"/>
          <w:szCs w:val="24"/>
        </w:rPr>
        <w:t>6</w:t>
      </w:r>
      <w:r w:rsidRPr="003C5B68">
        <w:rPr>
          <w:rFonts w:asciiTheme="majorBidi" w:hAnsiTheme="majorBidi" w:cstheme="majorBidi"/>
          <w:sz w:val="24"/>
          <w:szCs w:val="24"/>
        </w:rPr>
        <w:t xml:space="preserve"> %</w:t>
      </w:r>
      <w:proofErr w:type="gramStart"/>
      <w:r w:rsidR="00B5762A" w:rsidRPr="003C5B68">
        <w:rPr>
          <w:rFonts w:asciiTheme="majorBidi" w:hAnsiTheme="majorBidi" w:cstheme="majorBidi"/>
          <w:sz w:val="24"/>
          <w:szCs w:val="24"/>
        </w:rPr>
        <w:t>,</w:t>
      </w:r>
      <w:r w:rsidR="003B43A8" w:rsidRPr="003C5B68">
        <w:rPr>
          <w:rFonts w:asciiTheme="majorBidi" w:hAnsiTheme="majorBidi" w:cstheme="majorBidi"/>
          <w:sz w:val="24"/>
          <w:szCs w:val="24"/>
        </w:rPr>
        <w:t>de</w:t>
      </w:r>
      <w:r w:rsidRPr="003C5B68">
        <w:rPr>
          <w:rFonts w:asciiTheme="majorBidi" w:hAnsiTheme="majorBidi" w:cstheme="majorBidi"/>
          <w:sz w:val="24"/>
          <w:szCs w:val="24"/>
        </w:rPr>
        <w:t>creased</w:t>
      </w:r>
      <w:proofErr w:type="gramEnd"/>
      <w:r w:rsidR="00580363">
        <w:rPr>
          <w:rFonts w:asciiTheme="majorBidi" w:hAnsiTheme="majorBidi" w:cstheme="majorBidi"/>
          <w:sz w:val="24"/>
          <w:szCs w:val="24"/>
        </w:rPr>
        <w:t xml:space="preserve"> </w:t>
      </w:r>
      <w:r w:rsidR="00B5762A" w:rsidRPr="003C5B68">
        <w:rPr>
          <w:rFonts w:asciiTheme="majorBidi" w:hAnsiTheme="majorBidi" w:cstheme="majorBidi"/>
          <w:sz w:val="24"/>
          <w:szCs w:val="24"/>
        </w:rPr>
        <w:t xml:space="preserve">the </w:t>
      </w:r>
      <w:r w:rsidRPr="003C5B68">
        <w:rPr>
          <w:rFonts w:asciiTheme="majorBidi" w:hAnsiTheme="majorBidi" w:cstheme="majorBidi"/>
          <w:sz w:val="24"/>
          <w:szCs w:val="24"/>
        </w:rPr>
        <w:t>percentage conversion of</w:t>
      </w:r>
      <w:r w:rsidR="00580363">
        <w:rPr>
          <w:rFonts w:asciiTheme="majorBidi" w:hAnsiTheme="majorBidi" w:cstheme="majorBidi"/>
          <w:sz w:val="24"/>
          <w:szCs w:val="24"/>
        </w:rPr>
        <w:t xml:space="preserve"> </w:t>
      </w:r>
      <w:r w:rsidRPr="003C5B68">
        <w:rPr>
          <w:rFonts w:asciiTheme="majorBidi" w:hAnsiTheme="majorBidi" w:cstheme="majorBidi"/>
          <w:sz w:val="24"/>
          <w:szCs w:val="24"/>
        </w:rPr>
        <w:t>encapsulated s</w:t>
      </w:r>
      <w:r w:rsidR="002F13C6" w:rsidRPr="003C5B68">
        <w:rPr>
          <w:rFonts w:asciiTheme="majorBidi" w:hAnsiTheme="majorBidi" w:cstheme="majorBidi"/>
          <w:sz w:val="24"/>
          <w:szCs w:val="24"/>
        </w:rPr>
        <w:t>hoot tip</w:t>
      </w:r>
      <w:r w:rsidR="00983F69" w:rsidRPr="003C5B68">
        <w:rPr>
          <w:rFonts w:asciiTheme="majorBidi" w:hAnsiTheme="majorBidi" w:cstheme="majorBidi"/>
          <w:sz w:val="24"/>
          <w:szCs w:val="24"/>
        </w:rPr>
        <w:t>s.</w:t>
      </w:r>
      <w:r w:rsidR="00580363">
        <w:rPr>
          <w:rFonts w:asciiTheme="majorBidi" w:hAnsiTheme="majorBidi" w:cstheme="majorBidi"/>
          <w:sz w:val="24"/>
          <w:szCs w:val="24"/>
        </w:rPr>
        <w:t xml:space="preserve"> </w:t>
      </w:r>
      <w:r w:rsidR="00B31B57" w:rsidRPr="003C5B68">
        <w:rPr>
          <w:rFonts w:asciiTheme="majorBidi" w:hAnsiTheme="majorBidi" w:cstheme="majorBidi"/>
          <w:sz w:val="24"/>
          <w:szCs w:val="24"/>
        </w:rPr>
        <w:t xml:space="preserve">The formation of fir, uniform sodium alginate capsules was achieved with 4% sodium alginate </w:t>
      </w:r>
      <w:proofErr w:type="spellStart"/>
      <w:r w:rsidR="00B31B57" w:rsidRPr="003C5B68">
        <w:rPr>
          <w:rFonts w:asciiTheme="majorBidi" w:hAnsiTheme="majorBidi" w:cstheme="majorBidi"/>
          <w:sz w:val="24"/>
          <w:szCs w:val="24"/>
        </w:rPr>
        <w:t>complexed</w:t>
      </w:r>
      <w:proofErr w:type="spellEnd"/>
      <w:r w:rsidR="00B31B57" w:rsidRPr="003C5B68">
        <w:rPr>
          <w:rFonts w:asciiTheme="majorBidi" w:hAnsiTheme="majorBidi" w:cstheme="majorBidi"/>
          <w:sz w:val="24"/>
          <w:szCs w:val="24"/>
        </w:rPr>
        <w:t xml:space="preserve"> with 1.4% CaCl2( Fig</w:t>
      </w:r>
      <w:r w:rsidR="006F2808">
        <w:rPr>
          <w:rFonts w:asciiTheme="majorBidi" w:hAnsiTheme="majorBidi" w:cstheme="majorBidi"/>
          <w:sz w:val="24"/>
          <w:szCs w:val="24"/>
        </w:rPr>
        <w:t xml:space="preserve">ure </w:t>
      </w:r>
      <w:r w:rsidR="00B31B57" w:rsidRPr="003C5B68">
        <w:rPr>
          <w:rFonts w:asciiTheme="majorBidi" w:hAnsiTheme="majorBidi" w:cstheme="majorBidi"/>
          <w:sz w:val="24"/>
          <w:szCs w:val="24"/>
        </w:rPr>
        <w:t>2).</w:t>
      </w:r>
      <w:r w:rsidR="001B071A" w:rsidRPr="003C5B68">
        <w:rPr>
          <w:rFonts w:asciiTheme="majorBidi" w:hAnsiTheme="majorBidi" w:cstheme="majorBidi"/>
          <w:sz w:val="24"/>
          <w:szCs w:val="24"/>
        </w:rPr>
        <w:t xml:space="preserve">In this experiment, 4 % sodium alginate has </w:t>
      </w:r>
      <w:r w:rsidR="00B5762A" w:rsidRPr="003C5B68">
        <w:rPr>
          <w:rFonts w:asciiTheme="majorBidi" w:hAnsiTheme="majorBidi" w:cstheme="majorBidi"/>
          <w:sz w:val="24"/>
          <w:szCs w:val="24"/>
        </w:rPr>
        <w:t xml:space="preserve">the </w:t>
      </w:r>
      <w:r w:rsidR="001B071A" w:rsidRPr="003C5B68">
        <w:rPr>
          <w:rFonts w:asciiTheme="majorBidi" w:hAnsiTheme="majorBidi" w:cstheme="majorBidi"/>
          <w:sz w:val="24"/>
          <w:szCs w:val="24"/>
        </w:rPr>
        <w:t xml:space="preserve">highest recovery of encapsulated shoot tips, but, 2% and 6% has not </w:t>
      </w:r>
      <w:r w:rsidR="00B5762A" w:rsidRPr="003C5B68">
        <w:rPr>
          <w:rFonts w:asciiTheme="majorBidi" w:hAnsiTheme="majorBidi" w:cstheme="majorBidi"/>
          <w:sz w:val="24"/>
          <w:szCs w:val="24"/>
        </w:rPr>
        <w:t xml:space="preserve">a </w:t>
      </w:r>
      <w:r w:rsidR="001B071A" w:rsidRPr="003C5B68">
        <w:rPr>
          <w:rFonts w:asciiTheme="majorBidi" w:hAnsiTheme="majorBidi" w:cstheme="majorBidi"/>
          <w:sz w:val="24"/>
          <w:szCs w:val="24"/>
        </w:rPr>
        <w:t xml:space="preserve">significant difference. </w:t>
      </w:r>
      <w:r w:rsidR="00355A37" w:rsidRPr="003C5B68">
        <w:rPr>
          <w:rFonts w:asciiTheme="majorBidi" w:hAnsiTheme="majorBidi" w:cstheme="majorBidi"/>
          <w:sz w:val="24"/>
          <w:szCs w:val="24"/>
        </w:rPr>
        <w:t>On the other hand</w:t>
      </w:r>
      <w:r w:rsidR="002949B9" w:rsidRPr="003C5B68">
        <w:rPr>
          <w:rFonts w:asciiTheme="majorBidi" w:hAnsiTheme="majorBidi" w:cstheme="majorBidi"/>
          <w:sz w:val="24"/>
          <w:szCs w:val="24"/>
        </w:rPr>
        <w:t>, although</w:t>
      </w:r>
      <w:r w:rsidR="00580363">
        <w:rPr>
          <w:rFonts w:asciiTheme="majorBidi" w:hAnsiTheme="majorBidi" w:cstheme="majorBidi"/>
          <w:sz w:val="24"/>
          <w:szCs w:val="24"/>
        </w:rPr>
        <w:t xml:space="preserve"> </w:t>
      </w:r>
      <w:r w:rsidR="001B071A" w:rsidRPr="003C5B68">
        <w:rPr>
          <w:rFonts w:asciiTheme="majorBidi" w:hAnsiTheme="majorBidi" w:cstheme="majorBidi"/>
          <w:sz w:val="24"/>
          <w:szCs w:val="24"/>
        </w:rPr>
        <w:t>in</w:t>
      </w:r>
      <w:r w:rsidR="001B1351" w:rsidRPr="003C5B68">
        <w:rPr>
          <w:rFonts w:asciiTheme="majorBidi" w:hAnsiTheme="majorBidi" w:cstheme="majorBidi"/>
          <w:sz w:val="24"/>
          <w:szCs w:val="24"/>
        </w:rPr>
        <w:t xml:space="preserve"> high level</w:t>
      </w:r>
      <w:r w:rsidR="00AE3C22" w:rsidRPr="003C5B68">
        <w:rPr>
          <w:rFonts w:asciiTheme="majorBidi" w:hAnsiTheme="majorBidi" w:cstheme="majorBidi"/>
          <w:sz w:val="24"/>
          <w:szCs w:val="24"/>
        </w:rPr>
        <w:t>s</w:t>
      </w:r>
      <w:r w:rsidR="001B1351" w:rsidRPr="003C5B68">
        <w:rPr>
          <w:rFonts w:asciiTheme="majorBidi" w:hAnsiTheme="majorBidi" w:cstheme="majorBidi"/>
          <w:sz w:val="24"/>
          <w:szCs w:val="24"/>
        </w:rPr>
        <w:t xml:space="preserve"> of sodium </w:t>
      </w:r>
      <w:r w:rsidR="00B65E31" w:rsidRPr="003C5B68">
        <w:rPr>
          <w:rFonts w:asciiTheme="majorBidi" w:hAnsiTheme="majorBidi" w:cstheme="majorBidi"/>
          <w:sz w:val="24"/>
          <w:szCs w:val="24"/>
        </w:rPr>
        <w:t>alginate (</w:t>
      </w:r>
      <w:r w:rsidR="00F924D5" w:rsidRPr="003C5B68">
        <w:rPr>
          <w:rFonts w:asciiTheme="majorBidi" w:hAnsiTheme="majorBidi" w:cstheme="majorBidi"/>
          <w:sz w:val="24"/>
          <w:szCs w:val="24"/>
        </w:rPr>
        <w:t>6%)</w:t>
      </w:r>
      <w:r w:rsidR="008F36C5">
        <w:rPr>
          <w:rFonts w:asciiTheme="majorBidi" w:hAnsiTheme="majorBidi" w:cstheme="majorBidi"/>
          <w:sz w:val="24"/>
          <w:szCs w:val="24"/>
        </w:rPr>
        <w:t xml:space="preserve"> </w:t>
      </w:r>
      <w:r w:rsidR="00B670DA" w:rsidRPr="003C5B68">
        <w:rPr>
          <w:rFonts w:asciiTheme="majorBidi" w:hAnsiTheme="majorBidi" w:cstheme="majorBidi"/>
          <w:sz w:val="24"/>
          <w:szCs w:val="24"/>
        </w:rPr>
        <w:t>beads were isodiametric but</w:t>
      </w:r>
      <w:r w:rsidR="00580363">
        <w:rPr>
          <w:rFonts w:asciiTheme="majorBidi" w:hAnsiTheme="majorBidi" w:cstheme="majorBidi"/>
          <w:sz w:val="24"/>
          <w:szCs w:val="24"/>
        </w:rPr>
        <w:t xml:space="preserve"> </w:t>
      </w:r>
      <w:r w:rsidR="00AE3C22" w:rsidRPr="003C5B68">
        <w:rPr>
          <w:rFonts w:asciiTheme="majorBidi" w:hAnsiTheme="majorBidi" w:cstheme="majorBidi"/>
          <w:sz w:val="24"/>
          <w:szCs w:val="24"/>
        </w:rPr>
        <w:t xml:space="preserve">were </w:t>
      </w:r>
      <w:r w:rsidR="00B670DA" w:rsidRPr="003C5B68">
        <w:rPr>
          <w:rFonts w:asciiTheme="majorBidi" w:hAnsiTheme="majorBidi" w:cstheme="majorBidi"/>
          <w:sz w:val="24"/>
          <w:szCs w:val="24"/>
        </w:rPr>
        <w:t xml:space="preserve">enough </w:t>
      </w:r>
      <w:r w:rsidR="00235599" w:rsidRPr="003C5B68">
        <w:rPr>
          <w:rFonts w:asciiTheme="majorBidi" w:hAnsiTheme="majorBidi" w:cstheme="majorBidi"/>
          <w:sz w:val="24"/>
          <w:szCs w:val="24"/>
        </w:rPr>
        <w:t xml:space="preserve">hard </w:t>
      </w:r>
      <w:r w:rsidR="00B670DA" w:rsidRPr="003C5B68">
        <w:rPr>
          <w:rFonts w:asciiTheme="majorBidi" w:hAnsiTheme="majorBidi" w:cstheme="majorBidi"/>
          <w:sz w:val="24"/>
          <w:szCs w:val="24"/>
        </w:rPr>
        <w:t>to cause considerable delay in sprouting.</w:t>
      </w:r>
    </w:p>
    <w:p w:rsidR="00484D0C" w:rsidRDefault="004F0A48" w:rsidP="006F7518">
      <w:pPr>
        <w:autoSpaceDE w:val="0"/>
        <w:autoSpaceDN w:val="0"/>
        <w:adjustRightInd w:val="0"/>
        <w:ind w:firstLine="720"/>
        <w:rPr>
          <w:rFonts w:asciiTheme="majorBidi" w:hAnsiTheme="majorBidi" w:cstheme="majorBidi"/>
          <w:sz w:val="24"/>
          <w:szCs w:val="24"/>
          <w:lang w:bidi="ar-SA"/>
        </w:rPr>
      </w:pPr>
      <w:r w:rsidRPr="003C5B68">
        <w:rPr>
          <w:rFonts w:asciiTheme="majorBidi" w:hAnsiTheme="majorBidi" w:cstheme="majorBidi"/>
          <w:sz w:val="24"/>
          <w:szCs w:val="24"/>
          <w:lang w:bidi="ar-SA"/>
        </w:rPr>
        <w:t xml:space="preserve"> Different concentrations of sodium alginate ranging from 1.5 % to 6 % have been used for different </w:t>
      </w:r>
      <w:r w:rsidR="00AE3C22" w:rsidRPr="003C5B68">
        <w:rPr>
          <w:rFonts w:asciiTheme="majorBidi" w:hAnsiTheme="majorBidi" w:cstheme="majorBidi"/>
          <w:sz w:val="24"/>
          <w:szCs w:val="24"/>
          <w:lang w:bidi="ar-SA"/>
        </w:rPr>
        <w:t xml:space="preserve">plants </w:t>
      </w:r>
      <w:r w:rsidRPr="003C5B68">
        <w:rPr>
          <w:rFonts w:asciiTheme="majorBidi" w:hAnsiTheme="majorBidi" w:cstheme="majorBidi"/>
          <w:sz w:val="24"/>
          <w:szCs w:val="24"/>
          <w:lang w:bidi="ar-SA"/>
        </w:rPr>
        <w:t>(</w:t>
      </w:r>
      <w:proofErr w:type="spellStart"/>
      <w:r w:rsidR="00734F22" w:rsidRPr="003C5B68">
        <w:rPr>
          <w:rFonts w:asciiTheme="majorBidi" w:hAnsiTheme="majorBidi" w:cstheme="majorBidi"/>
          <w:sz w:val="24"/>
          <w:szCs w:val="24"/>
        </w:rPr>
        <w:t>Vij</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734F22" w:rsidRPr="003C5B68">
        <w:rPr>
          <w:rFonts w:asciiTheme="majorBidi" w:hAnsiTheme="majorBidi" w:cstheme="majorBidi"/>
          <w:sz w:val="24"/>
          <w:szCs w:val="24"/>
        </w:rPr>
        <w:t xml:space="preserve"> 2001</w:t>
      </w:r>
      <w:r w:rsidRPr="00A45214">
        <w:rPr>
          <w:rFonts w:asciiTheme="majorBidi" w:hAnsiTheme="majorBidi" w:cstheme="majorBidi"/>
          <w:sz w:val="24"/>
          <w:szCs w:val="24"/>
          <w:lang w:bidi="ar-SA"/>
        </w:rPr>
        <w:t>).</w:t>
      </w:r>
      <w:r w:rsidR="00B31B57" w:rsidRPr="003C5B68">
        <w:rPr>
          <w:rFonts w:asciiTheme="majorBidi" w:hAnsiTheme="majorBidi" w:cstheme="majorBidi"/>
          <w:sz w:val="24"/>
          <w:szCs w:val="24"/>
          <w:lang w:bidi="ar-SA"/>
        </w:rPr>
        <w:t xml:space="preserve"> Hassan (2003) </w:t>
      </w:r>
      <w:r w:rsidR="00481EC3" w:rsidRPr="003C5B68">
        <w:rPr>
          <w:rFonts w:asciiTheme="majorBidi" w:hAnsiTheme="majorBidi" w:cstheme="majorBidi"/>
          <w:sz w:val="24"/>
          <w:szCs w:val="24"/>
          <w:lang w:bidi="ar-SA"/>
        </w:rPr>
        <w:t>reported that</w:t>
      </w:r>
      <w:r w:rsidR="00A01555" w:rsidRPr="003C5B68">
        <w:rPr>
          <w:rFonts w:asciiTheme="majorBidi" w:hAnsiTheme="majorBidi" w:cstheme="majorBidi"/>
          <w:sz w:val="24"/>
          <w:szCs w:val="24"/>
          <w:lang w:bidi="ar-SA"/>
        </w:rPr>
        <w:t xml:space="preserve"> 6% sodium alginate was most suitable</w:t>
      </w:r>
      <w:r w:rsidR="00AE3C22" w:rsidRPr="003C5B68">
        <w:rPr>
          <w:rFonts w:asciiTheme="majorBidi" w:hAnsiTheme="majorBidi" w:cstheme="majorBidi"/>
          <w:sz w:val="24"/>
          <w:szCs w:val="24"/>
          <w:lang w:bidi="ar-SA"/>
        </w:rPr>
        <w:t xml:space="preserve"> for encapsulation of shoot tips in </w:t>
      </w:r>
      <w:proofErr w:type="spellStart"/>
      <w:r w:rsidR="00AE3C22" w:rsidRPr="003C5B68">
        <w:rPr>
          <w:rFonts w:asciiTheme="majorBidi" w:hAnsiTheme="majorBidi" w:cstheme="majorBidi"/>
          <w:i/>
          <w:iCs/>
          <w:sz w:val="24"/>
          <w:szCs w:val="24"/>
          <w:lang w:bidi="ar-SA"/>
        </w:rPr>
        <w:t>Simmondsiachinensis</w:t>
      </w:r>
      <w:proofErr w:type="spellEnd"/>
      <w:r w:rsidR="00AE3C22" w:rsidRPr="003C5B68">
        <w:rPr>
          <w:rFonts w:asciiTheme="majorBidi" w:hAnsiTheme="majorBidi" w:cstheme="majorBidi"/>
          <w:sz w:val="24"/>
          <w:szCs w:val="24"/>
          <w:lang w:bidi="ar-SA"/>
        </w:rPr>
        <w:t xml:space="preserve"> L.</w:t>
      </w:r>
      <w:r w:rsidR="006F7518">
        <w:rPr>
          <w:rFonts w:asciiTheme="majorBidi" w:hAnsiTheme="majorBidi" w:cstheme="majorBidi"/>
          <w:sz w:val="24"/>
          <w:szCs w:val="24"/>
          <w:lang w:bidi="ar-SA"/>
        </w:rPr>
        <w:t xml:space="preserve"> </w:t>
      </w:r>
      <w:proofErr w:type="spellStart"/>
      <w:r w:rsidR="00AE3C22" w:rsidRPr="003C5B68">
        <w:rPr>
          <w:rFonts w:asciiTheme="majorBidi" w:hAnsiTheme="majorBidi" w:cstheme="majorBidi"/>
          <w:sz w:val="24"/>
          <w:szCs w:val="24"/>
          <w:lang w:bidi="ar-SA"/>
        </w:rPr>
        <w:t>Zych</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r w:rsidR="006F7518">
        <w:rPr>
          <w:rFonts w:asciiTheme="majorBidi" w:hAnsiTheme="majorBidi" w:cstheme="majorBidi"/>
          <w:i/>
          <w:iCs/>
          <w:sz w:val="24"/>
          <w:szCs w:val="24"/>
        </w:rPr>
        <w:t xml:space="preserve"> </w:t>
      </w:r>
      <w:r w:rsidR="00571E90" w:rsidRPr="006F7518">
        <w:rPr>
          <w:rFonts w:asciiTheme="majorBidi" w:hAnsiTheme="majorBidi" w:cstheme="majorBidi"/>
          <w:sz w:val="24"/>
          <w:szCs w:val="24"/>
          <w:lang w:bidi="ar-SA"/>
        </w:rPr>
        <w:t>(2005)</w:t>
      </w:r>
      <w:r w:rsidR="00AE3C22" w:rsidRPr="006F7518">
        <w:rPr>
          <w:rFonts w:asciiTheme="majorBidi" w:hAnsiTheme="majorBidi" w:cstheme="majorBidi"/>
          <w:sz w:val="24"/>
          <w:szCs w:val="24"/>
          <w:lang w:bidi="ar-SA"/>
        </w:rPr>
        <w:t>,</w:t>
      </w:r>
      <w:r w:rsidR="00571E90" w:rsidRPr="003C5B68">
        <w:rPr>
          <w:rFonts w:asciiTheme="majorBidi" w:hAnsiTheme="majorBidi" w:cstheme="majorBidi"/>
          <w:sz w:val="24"/>
          <w:szCs w:val="24"/>
          <w:lang w:bidi="ar-SA"/>
        </w:rPr>
        <w:t xml:space="preserve"> encapsulated </w:t>
      </w:r>
      <w:r w:rsidR="00AE3C22" w:rsidRPr="003C5B68">
        <w:rPr>
          <w:rFonts w:asciiTheme="majorBidi" w:hAnsiTheme="majorBidi" w:cstheme="majorBidi"/>
          <w:sz w:val="24"/>
          <w:szCs w:val="24"/>
          <w:lang w:bidi="ar-SA"/>
        </w:rPr>
        <w:t xml:space="preserve">the </w:t>
      </w:r>
      <w:r w:rsidR="00F90925" w:rsidRPr="003C5B68">
        <w:rPr>
          <w:rFonts w:asciiTheme="majorBidi" w:hAnsiTheme="majorBidi" w:cstheme="majorBidi"/>
          <w:sz w:val="24"/>
          <w:szCs w:val="24"/>
          <w:lang w:bidi="ar-SA"/>
        </w:rPr>
        <w:t>micro</w:t>
      </w:r>
      <w:r w:rsidR="006F7518">
        <w:rPr>
          <w:rFonts w:asciiTheme="majorBidi" w:hAnsiTheme="majorBidi" w:cstheme="majorBidi"/>
          <w:sz w:val="24"/>
          <w:szCs w:val="24"/>
          <w:lang w:bidi="ar-SA"/>
        </w:rPr>
        <w:t xml:space="preserve"> </w:t>
      </w:r>
      <w:r w:rsidR="00F90925" w:rsidRPr="003C5B68">
        <w:rPr>
          <w:rFonts w:asciiTheme="majorBidi" w:hAnsiTheme="majorBidi" w:cstheme="majorBidi"/>
          <w:sz w:val="24"/>
          <w:szCs w:val="24"/>
          <w:lang w:bidi="ar-SA"/>
        </w:rPr>
        <w:t>shoots</w:t>
      </w:r>
      <w:r w:rsidR="006F7518">
        <w:rPr>
          <w:rFonts w:asciiTheme="majorBidi" w:hAnsiTheme="majorBidi" w:cstheme="majorBidi"/>
          <w:sz w:val="24"/>
          <w:szCs w:val="24"/>
          <w:lang w:bidi="ar-SA"/>
        </w:rPr>
        <w:t xml:space="preserve"> </w:t>
      </w:r>
      <w:r w:rsidR="00F85676" w:rsidRPr="003C5B68">
        <w:rPr>
          <w:rFonts w:asciiTheme="majorBidi" w:hAnsiTheme="majorBidi" w:cstheme="majorBidi"/>
          <w:sz w:val="24"/>
          <w:szCs w:val="24"/>
          <w:lang w:bidi="ar-SA"/>
        </w:rPr>
        <w:t>of</w:t>
      </w:r>
      <w:r w:rsidR="006F7518">
        <w:rPr>
          <w:rFonts w:asciiTheme="majorBidi" w:hAnsiTheme="majorBidi" w:cstheme="majorBidi"/>
          <w:sz w:val="24"/>
          <w:szCs w:val="24"/>
          <w:lang w:bidi="ar-SA"/>
        </w:rPr>
        <w:t xml:space="preserve"> </w:t>
      </w:r>
      <w:proofErr w:type="spellStart"/>
      <w:r w:rsidR="00571E90" w:rsidRPr="003C5B68">
        <w:rPr>
          <w:rFonts w:asciiTheme="majorBidi" w:hAnsiTheme="majorBidi" w:cstheme="majorBidi"/>
          <w:i/>
          <w:iCs/>
          <w:sz w:val="24"/>
          <w:szCs w:val="24"/>
          <w:lang w:bidi="ar-SA"/>
        </w:rPr>
        <w:t>Rhodiola</w:t>
      </w:r>
      <w:proofErr w:type="spellEnd"/>
      <w:r w:rsidR="006F7518">
        <w:rPr>
          <w:rFonts w:asciiTheme="majorBidi" w:hAnsiTheme="majorBidi" w:cstheme="majorBidi"/>
          <w:i/>
          <w:iCs/>
          <w:sz w:val="24"/>
          <w:szCs w:val="24"/>
          <w:lang w:bidi="ar-SA"/>
        </w:rPr>
        <w:t xml:space="preserve"> </w:t>
      </w:r>
      <w:proofErr w:type="spellStart"/>
      <w:r w:rsidR="00571E90" w:rsidRPr="003C5B68">
        <w:rPr>
          <w:rFonts w:asciiTheme="majorBidi" w:hAnsiTheme="majorBidi" w:cstheme="majorBidi"/>
          <w:i/>
          <w:iCs/>
          <w:sz w:val="24"/>
          <w:szCs w:val="24"/>
          <w:lang w:bidi="ar-SA"/>
        </w:rPr>
        <w:t>Kirilowii</w:t>
      </w:r>
      <w:proofErr w:type="spellEnd"/>
      <w:r w:rsidR="00571E90" w:rsidRPr="003C5B68">
        <w:rPr>
          <w:rFonts w:asciiTheme="majorBidi" w:hAnsiTheme="majorBidi" w:cstheme="majorBidi"/>
          <w:sz w:val="24"/>
          <w:szCs w:val="24"/>
          <w:lang w:bidi="ar-SA"/>
        </w:rPr>
        <w:t xml:space="preserve"> via 5% sodium alginate. </w:t>
      </w:r>
      <w:proofErr w:type="spellStart"/>
      <w:r w:rsidR="009B5540" w:rsidRPr="003C5B68">
        <w:rPr>
          <w:rFonts w:asciiTheme="majorBidi" w:hAnsiTheme="majorBidi" w:cstheme="majorBidi"/>
          <w:sz w:val="24"/>
          <w:szCs w:val="24"/>
          <w:lang w:bidi="ar-SA"/>
        </w:rPr>
        <w:t>Rady</w:t>
      </w:r>
      <w:proofErr w:type="spellEnd"/>
      <w:r w:rsidR="009B5540" w:rsidRPr="003C5B68">
        <w:rPr>
          <w:rFonts w:asciiTheme="majorBidi" w:hAnsiTheme="majorBidi" w:cstheme="majorBidi"/>
          <w:sz w:val="24"/>
          <w:szCs w:val="24"/>
          <w:lang w:bidi="ar-SA"/>
        </w:rPr>
        <w:t xml:space="preserve"> and </w:t>
      </w:r>
      <w:proofErr w:type="spellStart"/>
      <w:r w:rsidR="009B5540" w:rsidRPr="003C5B68">
        <w:rPr>
          <w:rFonts w:asciiTheme="majorBidi" w:hAnsiTheme="majorBidi" w:cstheme="majorBidi"/>
          <w:sz w:val="24"/>
          <w:szCs w:val="24"/>
          <w:lang w:bidi="ar-SA"/>
        </w:rPr>
        <w:t>Hanafy</w:t>
      </w:r>
      <w:proofErr w:type="spellEnd"/>
      <w:r w:rsidR="009B5540" w:rsidRPr="003C5B68">
        <w:rPr>
          <w:rFonts w:asciiTheme="majorBidi" w:hAnsiTheme="majorBidi" w:cstheme="majorBidi"/>
          <w:sz w:val="24"/>
          <w:szCs w:val="24"/>
          <w:lang w:bidi="ar-SA"/>
        </w:rPr>
        <w:t xml:space="preserve"> (2004) confirm that high percent </w:t>
      </w:r>
      <w:proofErr w:type="spellStart"/>
      <w:r w:rsidR="009B5540" w:rsidRPr="003C5B68">
        <w:rPr>
          <w:rFonts w:asciiTheme="majorBidi" w:hAnsiTheme="majorBidi" w:cstheme="majorBidi"/>
          <w:sz w:val="24"/>
          <w:szCs w:val="24"/>
          <w:lang w:bidi="ar-SA"/>
        </w:rPr>
        <w:t>vitrification</w:t>
      </w:r>
      <w:proofErr w:type="spellEnd"/>
      <w:r w:rsidR="009B5540" w:rsidRPr="003C5B68">
        <w:rPr>
          <w:rFonts w:asciiTheme="majorBidi" w:hAnsiTheme="majorBidi" w:cstheme="majorBidi"/>
          <w:sz w:val="24"/>
          <w:szCs w:val="24"/>
          <w:lang w:bidi="ar-SA"/>
        </w:rPr>
        <w:t xml:space="preserve"> of </w:t>
      </w:r>
      <w:r w:rsidR="009B5540" w:rsidRPr="003C5B68">
        <w:rPr>
          <w:rFonts w:asciiTheme="majorBidi" w:hAnsiTheme="majorBidi" w:cstheme="majorBidi"/>
          <w:i/>
          <w:iCs/>
          <w:sz w:val="24"/>
          <w:szCs w:val="24"/>
          <w:lang w:bidi="ar-SA"/>
        </w:rPr>
        <w:t xml:space="preserve">Gypsophila </w:t>
      </w:r>
      <w:proofErr w:type="spellStart"/>
      <w:r w:rsidR="009B5540" w:rsidRPr="003C5B68">
        <w:rPr>
          <w:rFonts w:asciiTheme="majorBidi" w:hAnsiTheme="majorBidi" w:cstheme="majorBidi"/>
          <w:i/>
          <w:iCs/>
          <w:sz w:val="24"/>
          <w:szCs w:val="24"/>
          <w:lang w:bidi="ar-SA"/>
        </w:rPr>
        <w:t>paniculata</w:t>
      </w:r>
      <w:r w:rsidR="009B5540" w:rsidRPr="003C5B68">
        <w:rPr>
          <w:rFonts w:asciiTheme="majorBidi" w:hAnsiTheme="majorBidi" w:cstheme="majorBidi"/>
          <w:sz w:val="24"/>
          <w:szCs w:val="24"/>
          <w:lang w:bidi="ar-SA"/>
        </w:rPr>
        <w:t>was</w:t>
      </w:r>
      <w:proofErr w:type="spellEnd"/>
      <w:r w:rsidR="009B5540" w:rsidRPr="003C5B68">
        <w:rPr>
          <w:rFonts w:asciiTheme="majorBidi" w:hAnsiTheme="majorBidi" w:cstheme="majorBidi"/>
          <w:sz w:val="24"/>
          <w:szCs w:val="24"/>
          <w:lang w:bidi="ar-SA"/>
        </w:rPr>
        <w:t xml:space="preserve"> observed in shoots derived from shoot tips coated by 2 % sodium alginate.</w:t>
      </w:r>
      <w:r w:rsidR="002373F1" w:rsidRPr="003C5B68">
        <w:rPr>
          <w:rFonts w:asciiTheme="majorBidi" w:hAnsiTheme="majorBidi" w:cstheme="majorBidi"/>
          <w:sz w:val="24"/>
          <w:szCs w:val="24"/>
          <w:lang w:bidi="ar-SA"/>
        </w:rPr>
        <w:t xml:space="preserve"> But, Sandoval-</w:t>
      </w:r>
      <w:proofErr w:type="spellStart"/>
      <w:r w:rsidR="002373F1" w:rsidRPr="003C5B68">
        <w:rPr>
          <w:rFonts w:asciiTheme="majorBidi" w:hAnsiTheme="majorBidi" w:cstheme="majorBidi"/>
          <w:sz w:val="24"/>
          <w:szCs w:val="24"/>
          <w:lang w:bidi="ar-SA"/>
        </w:rPr>
        <w:t>Yugar</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r w:rsidR="002373F1" w:rsidRPr="003C5B68">
        <w:rPr>
          <w:rFonts w:asciiTheme="majorBidi" w:hAnsiTheme="majorBidi" w:cstheme="majorBidi"/>
          <w:sz w:val="24"/>
          <w:szCs w:val="24"/>
          <w:lang w:bidi="ar-SA"/>
        </w:rPr>
        <w:t xml:space="preserve"> (2008) encapsulated </w:t>
      </w:r>
      <w:r w:rsidR="00C1492A" w:rsidRPr="003C5B68">
        <w:rPr>
          <w:rFonts w:asciiTheme="majorBidi" w:hAnsiTheme="majorBidi" w:cstheme="majorBidi"/>
          <w:sz w:val="24"/>
          <w:szCs w:val="24"/>
          <w:lang w:bidi="ar-SA"/>
        </w:rPr>
        <w:t xml:space="preserve">the </w:t>
      </w:r>
      <w:r w:rsidR="002373F1" w:rsidRPr="003C5B68">
        <w:rPr>
          <w:rFonts w:asciiTheme="majorBidi" w:hAnsiTheme="majorBidi" w:cstheme="majorBidi"/>
          <w:sz w:val="24"/>
          <w:szCs w:val="24"/>
          <w:lang w:bidi="ar-SA"/>
        </w:rPr>
        <w:t>micro</w:t>
      </w:r>
      <w:r w:rsidR="00580363">
        <w:rPr>
          <w:rFonts w:asciiTheme="majorBidi" w:hAnsiTheme="majorBidi" w:cstheme="majorBidi"/>
          <w:sz w:val="24"/>
          <w:szCs w:val="24"/>
          <w:lang w:bidi="ar-SA"/>
        </w:rPr>
        <w:t xml:space="preserve"> </w:t>
      </w:r>
      <w:r w:rsidR="002373F1" w:rsidRPr="003C5B68">
        <w:rPr>
          <w:rFonts w:asciiTheme="majorBidi" w:hAnsiTheme="majorBidi" w:cstheme="majorBidi"/>
          <w:sz w:val="24"/>
          <w:szCs w:val="24"/>
          <w:lang w:bidi="ar-SA"/>
        </w:rPr>
        <w:t xml:space="preserve">shoots of </w:t>
      </w:r>
      <w:r w:rsidR="002373F1" w:rsidRPr="003C5B68">
        <w:rPr>
          <w:rFonts w:asciiTheme="majorBidi" w:hAnsiTheme="majorBidi" w:cstheme="majorBidi"/>
          <w:i/>
          <w:iCs/>
          <w:sz w:val="24"/>
          <w:szCs w:val="24"/>
          <w:lang w:bidi="ar-SA"/>
        </w:rPr>
        <w:t>Musa sp</w:t>
      </w:r>
      <w:r w:rsidR="002373F1" w:rsidRPr="003C5B68">
        <w:rPr>
          <w:rFonts w:asciiTheme="majorBidi" w:hAnsiTheme="majorBidi" w:cstheme="majorBidi"/>
          <w:sz w:val="24"/>
          <w:szCs w:val="24"/>
          <w:lang w:bidi="ar-SA"/>
        </w:rPr>
        <w:t xml:space="preserve">. cv. ‘Grand </w:t>
      </w:r>
      <w:proofErr w:type="spellStart"/>
      <w:r w:rsidR="002373F1" w:rsidRPr="003C5B68">
        <w:rPr>
          <w:rFonts w:asciiTheme="majorBidi" w:hAnsiTheme="majorBidi" w:cstheme="majorBidi"/>
          <w:sz w:val="24"/>
          <w:szCs w:val="24"/>
          <w:lang w:bidi="ar-SA"/>
        </w:rPr>
        <w:t>Naine</w:t>
      </w:r>
      <w:proofErr w:type="spellEnd"/>
      <w:r w:rsidR="002373F1" w:rsidRPr="003C5B68">
        <w:rPr>
          <w:rFonts w:asciiTheme="majorBidi" w:hAnsiTheme="majorBidi" w:cstheme="majorBidi"/>
          <w:sz w:val="24"/>
          <w:szCs w:val="24"/>
          <w:lang w:bidi="ar-SA"/>
        </w:rPr>
        <w:t xml:space="preserve">’ through 1% sodium alginate. </w:t>
      </w:r>
      <w:r w:rsidR="00312397" w:rsidRPr="003C5B68">
        <w:rPr>
          <w:rFonts w:asciiTheme="majorBidi" w:hAnsiTheme="majorBidi" w:cstheme="majorBidi"/>
          <w:sz w:val="24"/>
          <w:szCs w:val="24"/>
          <w:lang w:bidi="ar-SA"/>
        </w:rPr>
        <w:t xml:space="preserve">Singh (2008) introduced 3% </w:t>
      </w:r>
      <w:r w:rsidR="00312397" w:rsidRPr="003C5B68">
        <w:rPr>
          <w:rFonts w:asciiTheme="majorBidi" w:hAnsiTheme="majorBidi" w:cstheme="majorBidi"/>
          <w:sz w:val="24"/>
          <w:szCs w:val="24"/>
          <w:lang w:bidi="ar-SA"/>
        </w:rPr>
        <w:lastRenderedPageBreak/>
        <w:t>sodium alginate for shoot tips encapsulation in Sikkim Himalayan Rhododendron (</w:t>
      </w:r>
      <w:r w:rsidR="00312397" w:rsidRPr="003C5B68">
        <w:rPr>
          <w:rFonts w:asciiTheme="majorBidi" w:hAnsiTheme="majorBidi" w:cstheme="majorBidi"/>
          <w:i/>
          <w:iCs/>
          <w:sz w:val="24"/>
          <w:szCs w:val="24"/>
          <w:lang w:bidi="ar-SA"/>
        </w:rPr>
        <w:t xml:space="preserve">R. </w:t>
      </w:r>
      <w:proofErr w:type="spellStart"/>
      <w:r w:rsidR="00312397" w:rsidRPr="003C5B68">
        <w:rPr>
          <w:rFonts w:asciiTheme="majorBidi" w:hAnsiTheme="majorBidi" w:cstheme="majorBidi"/>
          <w:i/>
          <w:iCs/>
          <w:sz w:val="24"/>
          <w:szCs w:val="24"/>
          <w:lang w:bidi="ar-SA"/>
        </w:rPr>
        <w:t>maddeni</w:t>
      </w:r>
      <w:proofErr w:type="spellEnd"/>
      <w:r w:rsidR="00580363">
        <w:rPr>
          <w:rFonts w:asciiTheme="majorBidi" w:hAnsiTheme="majorBidi" w:cstheme="majorBidi"/>
          <w:i/>
          <w:iCs/>
          <w:sz w:val="24"/>
          <w:szCs w:val="24"/>
          <w:lang w:bidi="ar-SA"/>
        </w:rPr>
        <w:t xml:space="preserve"> </w:t>
      </w:r>
      <w:r w:rsidR="00312397" w:rsidRPr="003C5B68">
        <w:rPr>
          <w:rFonts w:asciiTheme="majorBidi" w:hAnsiTheme="majorBidi" w:cstheme="majorBidi"/>
          <w:sz w:val="24"/>
          <w:szCs w:val="24"/>
          <w:lang w:bidi="ar-SA"/>
        </w:rPr>
        <w:t>Hook. f.).</w:t>
      </w:r>
    </w:p>
    <w:p w:rsidR="00484D0C" w:rsidRDefault="00315749" w:rsidP="009C4AE1">
      <w:pPr>
        <w:autoSpaceDE w:val="0"/>
        <w:autoSpaceDN w:val="0"/>
        <w:adjustRightInd w:val="0"/>
        <w:ind w:firstLine="720"/>
        <w:rPr>
          <w:rFonts w:asciiTheme="majorBidi" w:hAnsiTheme="majorBidi" w:cstheme="majorBidi"/>
          <w:sz w:val="24"/>
          <w:szCs w:val="24"/>
        </w:rPr>
      </w:pPr>
      <w:r w:rsidRPr="003C5B68">
        <w:rPr>
          <w:rFonts w:asciiTheme="majorBidi" w:hAnsiTheme="majorBidi" w:cstheme="majorBidi"/>
          <w:sz w:val="24"/>
          <w:szCs w:val="24"/>
        </w:rPr>
        <w:t xml:space="preserve">A range of calcium chloride concentrations has been experimented for </w:t>
      </w:r>
      <w:r w:rsidR="00EC7C90" w:rsidRPr="003C5B68">
        <w:rPr>
          <w:rFonts w:asciiTheme="majorBidi" w:hAnsiTheme="majorBidi" w:cstheme="majorBidi"/>
          <w:sz w:val="24"/>
          <w:szCs w:val="24"/>
        </w:rPr>
        <w:t>shoot tips encapsulation.</w:t>
      </w:r>
      <w:r w:rsidRPr="003C5B68">
        <w:rPr>
          <w:rFonts w:asciiTheme="majorBidi" w:hAnsiTheme="majorBidi" w:cstheme="majorBidi"/>
          <w:sz w:val="24"/>
          <w:szCs w:val="24"/>
        </w:rPr>
        <w:t xml:space="preserve"> Results indicated that, </w:t>
      </w:r>
      <w:r w:rsidR="00EC7C90" w:rsidRPr="003C5B68">
        <w:rPr>
          <w:rFonts w:asciiTheme="majorBidi" w:hAnsiTheme="majorBidi" w:cstheme="majorBidi"/>
          <w:sz w:val="24"/>
          <w:szCs w:val="24"/>
        </w:rPr>
        <w:t xml:space="preserve">increasing in </w:t>
      </w:r>
      <w:r w:rsidR="004E3DD0" w:rsidRPr="003C5B68">
        <w:rPr>
          <w:rFonts w:asciiTheme="majorBidi" w:hAnsiTheme="majorBidi" w:cstheme="majorBidi"/>
          <w:sz w:val="24"/>
          <w:szCs w:val="24"/>
        </w:rPr>
        <w:t xml:space="preserve">CaCl2 </w:t>
      </w:r>
      <w:r w:rsidRPr="003C5B68">
        <w:rPr>
          <w:rFonts w:asciiTheme="majorBidi" w:hAnsiTheme="majorBidi" w:cstheme="majorBidi"/>
          <w:sz w:val="24"/>
          <w:szCs w:val="24"/>
        </w:rPr>
        <w:t>had</w:t>
      </w:r>
      <w:r w:rsidR="001D4CF8" w:rsidRPr="003C5B68">
        <w:rPr>
          <w:rFonts w:asciiTheme="majorBidi" w:hAnsiTheme="majorBidi" w:cstheme="majorBidi"/>
          <w:sz w:val="24"/>
          <w:szCs w:val="24"/>
        </w:rPr>
        <w:t xml:space="preserve"> not significant effects on plantlet recovery</w:t>
      </w:r>
      <w:r w:rsidR="00651FE5" w:rsidRPr="003C5B68">
        <w:rPr>
          <w:rFonts w:asciiTheme="majorBidi" w:hAnsiTheme="majorBidi" w:cstheme="majorBidi"/>
          <w:sz w:val="24"/>
          <w:szCs w:val="24"/>
        </w:rPr>
        <w:t xml:space="preserve"> (Table </w:t>
      </w:r>
      <w:r w:rsidR="007F7630" w:rsidRPr="003C5B68">
        <w:rPr>
          <w:rFonts w:asciiTheme="majorBidi" w:hAnsiTheme="majorBidi" w:cstheme="majorBidi"/>
          <w:sz w:val="24"/>
          <w:szCs w:val="24"/>
        </w:rPr>
        <w:t>2</w:t>
      </w:r>
      <w:r w:rsidR="00651FE5" w:rsidRPr="003C5B68">
        <w:rPr>
          <w:rFonts w:asciiTheme="majorBidi" w:hAnsiTheme="majorBidi" w:cstheme="majorBidi"/>
          <w:sz w:val="24"/>
          <w:szCs w:val="24"/>
        </w:rPr>
        <w:t>)</w:t>
      </w:r>
      <w:r w:rsidR="001D4CF8" w:rsidRPr="003C5B68">
        <w:rPr>
          <w:rFonts w:asciiTheme="majorBidi" w:hAnsiTheme="majorBidi" w:cstheme="majorBidi"/>
          <w:sz w:val="24"/>
          <w:szCs w:val="24"/>
        </w:rPr>
        <w:t xml:space="preserve">. But, </w:t>
      </w:r>
      <w:r w:rsidR="00C1492A" w:rsidRPr="003C5B68">
        <w:rPr>
          <w:rFonts w:asciiTheme="majorBidi" w:hAnsiTheme="majorBidi" w:cstheme="majorBidi"/>
          <w:sz w:val="24"/>
          <w:szCs w:val="24"/>
        </w:rPr>
        <w:t>by</w:t>
      </w:r>
      <w:r w:rsidR="00CB721A" w:rsidRPr="003C5B68">
        <w:rPr>
          <w:rFonts w:asciiTheme="majorBidi" w:hAnsiTheme="majorBidi" w:cstheme="majorBidi"/>
          <w:sz w:val="24"/>
          <w:szCs w:val="24"/>
        </w:rPr>
        <w:t xml:space="preserve"> concentration</w:t>
      </w:r>
      <w:r w:rsidR="00C1492A" w:rsidRPr="003C5B68">
        <w:rPr>
          <w:rFonts w:asciiTheme="majorBidi" w:hAnsiTheme="majorBidi" w:cstheme="majorBidi"/>
          <w:sz w:val="24"/>
          <w:szCs w:val="24"/>
        </w:rPr>
        <w:t xml:space="preserve"> increase</w:t>
      </w:r>
      <w:r w:rsidR="00CB721A" w:rsidRPr="003C5B68">
        <w:rPr>
          <w:rFonts w:asciiTheme="majorBidi" w:hAnsiTheme="majorBidi" w:cstheme="majorBidi"/>
          <w:sz w:val="24"/>
          <w:szCs w:val="24"/>
        </w:rPr>
        <w:t xml:space="preserve">, </w:t>
      </w:r>
      <w:r w:rsidR="00C1492A" w:rsidRPr="003C5B68">
        <w:rPr>
          <w:rFonts w:asciiTheme="majorBidi" w:hAnsiTheme="majorBidi" w:cstheme="majorBidi"/>
          <w:sz w:val="24"/>
          <w:szCs w:val="24"/>
        </w:rPr>
        <w:t xml:space="preserve">the </w:t>
      </w:r>
      <w:r w:rsidR="00E954D4" w:rsidRPr="003C5B68">
        <w:rPr>
          <w:rFonts w:asciiTheme="majorBidi" w:hAnsiTheme="majorBidi" w:cstheme="majorBidi"/>
          <w:sz w:val="24"/>
          <w:szCs w:val="24"/>
        </w:rPr>
        <w:t xml:space="preserve">capsules were so hard </w:t>
      </w:r>
      <w:r w:rsidR="00C1492A" w:rsidRPr="003C5B68">
        <w:rPr>
          <w:rFonts w:asciiTheme="majorBidi" w:hAnsiTheme="majorBidi" w:cstheme="majorBidi"/>
          <w:sz w:val="24"/>
          <w:szCs w:val="24"/>
        </w:rPr>
        <w:t xml:space="preserve">that </w:t>
      </w:r>
      <w:r w:rsidR="00E954D4" w:rsidRPr="003C5B68">
        <w:rPr>
          <w:rFonts w:asciiTheme="majorBidi" w:hAnsiTheme="majorBidi" w:cstheme="majorBidi"/>
          <w:sz w:val="24"/>
          <w:szCs w:val="24"/>
        </w:rPr>
        <w:t xml:space="preserve">prevented </w:t>
      </w:r>
      <w:r w:rsidR="00C1492A" w:rsidRPr="003C5B68">
        <w:rPr>
          <w:rFonts w:asciiTheme="majorBidi" w:hAnsiTheme="majorBidi" w:cstheme="majorBidi"/>
          <w:sz w:val="24"/>
          <w:szCs w:val="24"/>
        </w:rPr>
        <w:t xml:space="preserve">the proliferation of </w:t>
      </w:r>
      <w:r w:rsidR="00E954D4" w:rsidRPr="003C5B68">
        <w:rPr>
          <w:rFonts w:asciiTheme="majorBidi" w:hAnsiTheme="majorBidi" w:cstheme="majorBidi"/>
          <w:sz w:val="24"/>
          <w:szCs w:val="24"/>
        </w:rPr>
        <w:t>shoot tips</w:t>
      </w:r>
      <w:r w:rsidR="00C1492A" w:rsidRPr="003C5B68">
        <w:rPr>
          <w:rFonts w:asciiTheme="majorBidi" w:hAnsiTheme="majorBidi" w:cstheme="majorBidi"/>
          <w:sz w:val="24"/>
          <w:szCs w:val="24"/>
        </w:rPr>
        <w:t>.</w:t>
      </w:r>
      <w:r w:rsidR="00580363">
        <w:rPr>
          <w:rFonts w:asciiTheme="majorBidi" w:hAnsiTheme="majorBidi" w:cstheme="majorBidi"/>
          <w:sz w:val="24"/>
          <w:szCs w:val="24"/>
        </w:rPr>
        <w:t xml:space="preserve"> </w:t>
      </w:r>
      <w:r w:rsidR="001B79D9" w:rsidRPr="003C5B68">
        <w:rPr>
          <w:rFonts w:asciiTheme="majorBidi" w:hAnsiTheme="majorBidi" w:cstheme="majorBidi"/>
          <w:sz w:val="24"/>
          <w:szCs w:val="24"/>
        </w:rPr>
        <w:t xml:space="preserve">Although </w:t>
      </w:r>
      <w:r w:rsidR="00C1492A" w:rsidRPr="003C5B68">
        <w:rPr>
          <w:rFonts w:asciiTheme="majorBidi" w:hAnsiTheme="majorBidi" w:cstheme="majorBidi"/>
          <w:sz w:val="24"/>
          <w:szCs w:val="24"/>
        </w:rPr>
        <w:t xml:space="preserve">there </w:t>
      </w:r>
      <w:r w:rsidR="004E57FE" w:rsidRPr="003C5B68">
        <w:rPr>
          <w:rFonts w:asciiTheme="majorBidi" w:hAnsiTheme="majorBidi" w:cstheme="majorBidi"/>
          <w:sz w:val="24"/>
          <w:szCs w:val="24"/>
        </w:rPr>
        <w:t xml:space="preserve">was </w:t>
      </w:r>
      <w:r w:rsidR="001B79D9" w:rsidRPr="003C5B68">
        <w:rPr>
          <w:rFonts w:asciiTheme="majorBidi" w:hAnsiTheme="majorBidi" w:cstheme="majorBidi"/>
          <w:sz w:val="24"/>
          <w:szCs w:val="24"/>
        </w:rPr>
        <w:t xml:space="preserve">no significant </w:t>
      </w:r>
      <w:r w:rsidR="00C1492A" w:rsidRPr="003C5B68">
        <w:rPr>
          <w:rFonts w:asciiTheme="majorBidi" w:hAnsiTheme="majorBidi" w:cstheme="majorBidi"/>
          <w:sz w:val="24"/>
          <w:szCs w:val="24"/>
        </w:rPr>
        <w:t xml:space="preserve">difference </w:t>
      </w:r>
      <w:r w:rsidR="001B79D9" w:rsidRPr="003C5B68">
        <w:rPr>
          <w:rFonts w:asciiTheme="majorBidi" w:hAnsiTheme="majorBidi" w:cstheme="majorBidi"/>
          <w:sz w:val="24"/>
          <w:szCs w:val="24"/>
        </w:rPr>
        <w:t>between</w:t>
      </w:r>
      <w:r w:rsidR="008B031F" w:rsidRPr="003C5B68">
        <w:rPr>
          <w:rFonts w:asciiTheme="majorBidi" w:hAnsiTheme="majorBidi" w:cstheme="majorBidi"/>
          <w:sz w:val="24"/>
          <w:szCs w:val="24"/>
        </w:rPr>
        <w:t xml:space="preserve"> calcium chloride </w:t>
      </w:r>
      <w:r w:rsidR="00651FE5" w:rsidRPr="003C5B68">
        <w:rPr>
          <w:rFonts w:asciiTheme="majorBidi" w:hAnsiTheme="majorBidi" w:cstheme="majorBidi"/>
          <w:sz w:val="24"/>
          <w:szCs w:val="24"/>
        </w:rPr>
        <w:t>concentration</w:t>
      </w:r>
      <w:r w:rsidR="004E57FE" w:rsidRPr="003C5B68">
        <w:rPr>
          <w:rFonts w:asciiTheme="majorBidi" w:hAnsiTheme="majorBidi" w:cstheme="majorBidi"/>
          <w:sz w:val="24"/>
          <w:szCs w:val="24"/>
        </w:rPr>
        <w:t>,</w:t>
      </w:r>
      <w:r w:rsidR="00580363">
        <w:rPr>
          <w:rFonts w:asciiTheme="majorBidi" w:hAnsiTheme="majorBidi" w:cstheme="majorBidi"/>
          <w:sz w:val="24"/>
          <w:szCs w:val="24"/>
        </w:rPr>
        <w:t xml:space="preserve"> </w:t>
      </w:r>
      <w:proofErr w:type="gramStart"/>
      <w:r w:rsidR="004E57FE" w:rsidRPr="003C5B68">
        <w:rPr>
          <w:rFonts w:asciiTheme="majorBidi" w:hAnsiTheme="majorBidi" w:cstheme="majorBidi"/>
          <w:sz w:val="24"/>
          <w:szCs w:val="24"/>
        </w:rPr>
        <w:t>but</w:t>
      </w:r>
      <w:proofErr w:type="gramEnd"/>
      <w:r w:rsidR="008B031F" w:rsidRPr="003C5B68">
        <w:rPr>
          <w:rFonts w:asciiTheme="majorBidi" w:hAnsiTheme="majorBidi" w:cstheme="majorBidi"/>
          <w:sz w:val="24"/>
          <w:szCs w:val="24"/>
        </w:rPr>
        <w:t xml:space="preserve"> 1.4% </w:t>
      </w:r>
      <w:r w:rsidR="006F1089" w:rsidRPr="003C5B68">
        <w:rPr>
          <w:rFonts w:asciiTheme="majorBidi" w:hAnsiTheme="majorBidi" w:cstheme="majorBidi"/>
          <w:sz w:val="24"/>
          <w:szCs w:val="24"/>
        </w:rPr>
        <w:t xml:space="preserve">concentration </w:t>
      </w:r>
      <w:r w:rsidR="00C1492A" w:rsidRPr="003C5B68">
        <w:rPr>
          <w:rFonts w:asciiTheme="majorBidi" w:hAnsiTheme="majorBidi" w:cstheme="majorBidi"/>
          <w:sz w:val="24"/>
          <w:szCs w:val="24"/>
        </w:rPr>
        <w:t xml:space="preserve">provided </w:t>
      </w:r>
      <w:r w:rsidR="00651FE5" w:rsidRPr="003C5B68">
        <w:rPr>
          <w:rFonts w:asciiTheme="majorBidi" w:hAnsiTheme="majorBidi" w:cstheme="majorBidi"/>
          <w:sz w:val="24"/>
          <w:szCs w:val="24"/>
        </w:rPr>
        <w:t>more suitable hardness and shapes of capsules.</w:t>
      </w:r>
      <w:r w:rsidR="00FB7A6B" w:rsidRPr="003C5B68">
        <w:rPr>
          <w:rFonts w:asciiTheme="majorBidi" w:hAnsiTheme="majorBidi" w:cstheme="majorBidi"/>
          <w:sz w:val="24"/>
          <w:szCs w:val="24"/>
        </w:rPr>
        <w:t xml:space="preserve"> Lower concentrations of sodium alginate or CaCl2 prolonged the time of ion exchange of sodium and calcium ions and resulted in fragile capsules.</w:t>
      </w:r>
    </w:p>
    <w:p w:rsidR="00484D0C" w:rsidRDefault="00424BC7" w:rsidP="008F36C5">
      <w:pPr>
        <w:autoSpaceDE w:val="0"/>
        <w:autoSpaceDN w:val="0"/>
        <w:adjustRightInd w:val="0"/>
        <w:ind w:firstLine="720"/>
        <w:rPr>
          <w:rFonts w:asciiTheme="majorBidi" w:hAnsiTheme="majorBidi" w:cstheme="majorBidi"/>
          <w:sz w:val="24"/>
          <w:szCs w:val="24"/>
          <w:lang w:bidi="ar-SA"/>
        </w:rPr>
      </w:pPr>
      <w:proofErr w:type="spellStart"/>
      <w:r w:rsidRPr="003C5B68">
        <w:rPr>
          <w:rFonts w:asciiTheme="majorBidi" w:hAnsiTheme="majorBidi" w:cstheme="majorBidi"/>
          <w:sz w:val="24"/>
          <w:szCs w:val="24"/>
        </w:rPr>
        <w:t>Rai</w:t>
      </w:r>
      <w:proofErr w:type="spellEnd"/>
      <w:r w:rsidR="006F7518">
        <w:rPr>
          <w:rFonts w:asciiTheme="majorBidi" w:hAnsiTheme="majorBidi" w:cstheme="majorBidi"/>
          <w:sz w:val="24"/>
          <w:szCs w:val="24"/>
        </w:rPr>
        <w:t xml:space="preserve"> </w:t>
      </w:r>
      <w:r w:rsidR="001A063E" w:rsidRPr="00E970BB">
        <w:rPr>
          <w:rFonts w:asciiTheme="majorBidi" w:hAnsiTheme="majorBidi" w:cstheme="majorBidi"/>
          <w:i/>
          <w:iCs/>
          <w:sz w:val="24"/>
          <w:szCs w:val="24"/>
        </w:rPr>
        <w:t>et al</w:t>
      </w:r>
      <w:r w:rsidR="001A063E" w:rsidRPr="003C5B68">
        <w:rPr>
          <w:rFonts w:asciiTheme="majorBidi" w:hAnsiTheme="majorBidi" w:cstheme="majorBidi"/>
          <w:sz w:val="24"/>
          <w:szCs w:val="24"/>
        </w:rPr>
        <w:t xml:space="preserve">. </w:t>
      </w:r>
      <w:r w:rsidRPr="003C5B68">
        <w:rPr>
          <w:rFonts w:asciiTheme="majorBidi" w:hAnsiTheme="majorBidi" w:cstheme="majorBidi"/>
          <w:sz w:val="24"/>
          <w:szCs w:val="24"/>
        </w:rPr>
        <w:t>(2008)</w:t>
      </w:r>
      <w:r w:rsidR="00FE0394" w:rsidRPr="003C5B68">
        <w:rPr>
          <w:rFonts w:asciiTheme="majorBidi" w:hAnsiTheme="majorBidi" w:cstheme="majorBidi"/>
          <w:sz w:val="24"/>
          <w:szCs w:val="24"/>
        </w:rPr>
        <w:t xml:space="preserve"> reported that </w:t>
      </w:r>
      <w:r w:rsidR="00B55466" w:rsidRPr="003C5B68">
        <w:rPr>
          <w:rFonts w:asciiTheme="majorBidi" w:hAnsiTheme="majorBidi" w:cstheme="majorBidi"/>
          <w:sz w:val="24"/>
          <w:szCs w:val="24"/>
        </w:rPr>
        <w:t xml:space="preserve">a </w:t>
      </w:r>
      <w:r w:rsidRPr="003C5B68">
        <w:rPr>
          <w:rFonts w:asciiTheme="majorBidi" w:hAnsiTheme="majorBidi" w:cstheme="majorBidi"/>
          <w:sz w:val="24"/>
          <w:szCs w:val="24"/>
          <w:lang w:bidi="ar-SA"/>
        </w:rPr>
        <w:t xml:space="preserve">gelling matrix of 3% sodium alginate and 100 </w:t>
      </w:r>
      <w:proofErr w:type="spellStart"/>
      <w:r w:rsidRPr="003C5B68">
        <w:rPr>
          <w:rFonts w:asciiTheme="majorBidi" w:hAnsiTheme="majorBidi" w:cstheme="majorBidi"/>
          <w:sz w:val="24"/>
          <w:szCs w:val="24"/>
          <w:lang w:bidi="ar-SA"/>
        </w:rPr>
        <w:t>mM</w:t>
      </w:r>
      <w:proofErr w:type="spellEnd"/>
      <w:r w:rsidR="00580363">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calcium chloride</w:t>
      </w:r>
      <w:r w:rsidR="00580363">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was found most suitable for formation of firm, clear and</w:t>
      </w:r>
      <w:r w:rsidR="008F36C5">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isodiametric beads</w:t>
      </w:r>
      <w:r w:rsidR="00A0635E" w:rsidRPr="003C5B68">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Similar observations were also</w:t>
      </w:r>
      <w:r w:rsidR="00580363">
        <w:rPr>
          <w:rFonts w:asciiTheme="majorBidi" w:hAnsiTheme="majorBidi" w:cstheme="majorBidi"/>
          <w:sz w:val="24"/>
          <w:szCs w:val="24"/>
          <w:lang w:bidi="ar-SA"/>
        </w:rPr>
        <w:t xml:space="preserve"> </w:t>
      </w:r>
      <w:r w:rsidR="00C1492A" w:rsidRPr="003C5B68">
        <w:rPr>
          <w:rFonts w:asciiTheme="majorBidi" w:hAnsiTheme="majorBidi" w:cstheme="majorBidi"/>
          <w:sz w:val="24"/>
          <w:szCs w:val="24"/>
          <w:lang w:bidi="ar-SA"/>
        </w:rPr>
        <w:t xml:space="preserve">registered </w:t>
      </w:r>
      <w:r w:rsidRPr="003C5B68">
        <w:rPr>
          <w:rFonts w:asciiTheme="majorBidi" w:hAnsiTheme="majorBidi" w:cstheme="majorBidi"/>
          <w:sz w:val="24"/>
          <w:szCs w:val="24"/>
          <w:lang w:bidi="ar-SA"/>
        </w:rPr>
        <w:t xml:space="preserve">in </w:t>
      </w:r>
      <w:proofErr w:type="spellStart"/>
      <w:r w:rsidRPr="003C5B68">
        <w:rPr>
          <w:rFonts w:asciiTheme="majorBidi" w:hAnsiTheme="majorBidi" w:cstheme="majorBidi"/>
          <w:i/>
          <w:iCs/>
          <w:sz w:val="24"/>
          <w:szCs w:val="24"/>
          <w:lang w:bidi="ar-SA"/>
        </w:rPr>
        <w:t>Punica</w:t>
      </w:r>
      <w:proofErr w:type="spellEnd"/>
      <w:r w:rsidR="008F36C5">
        <w:rPr>
          <w:rFonts w:asciiTheme="majorBidi" w:hAnsiTheme="majorBidi" w:cstheme="majorBidi"/>
          <w:i/>
          <w:iCs/>
          <w:sz w:val="24"/>
          <w:szCs w:val="24"/>
          <w:lang w:bidi="ar-SA"/>
        </w:rPr>
        <w:t xml:space="preserve"> </w:t>
      </w:r>
      <w:proofErr w:type="spellStart"/>
      <w:r w:rsidRPr="003C5B68">
        <w:rPr>
          <w:rFonts w:asciiTheme="majorBidi" w:hAnsiTheme="majorBidi" w:cstheme="majorBidi"/>
          <w:i/>
          <w:iCs/>
          <w:sz w:val="24"/>
          <w:szCs w:val="24"/>
          <w:lang w:bidi="ar-SA"/>
        </w:rPr>
        <w:t>granatum</w:t>
      </w:r>
      <w:r w:rsidRPr="003C5B68">
        <w:rPr>
          <w:rFonts w:asciiTheme="majorBidi" w:hAnsiTheme="majorBidi" w:cstheme="majorBidi"/>
          <w:sz w:val="24"/>
          <w:szCs w:val="24"/>
          <w:lang w:bidi="ar-SA"/>
        </w:rPr>
        <w:t>L</w:t>
      </w:r>
      <w:proofErr w:type="spellEnd"/>
      <w:r w:rsidRPr="003C5B68">
        <w:rPr>
          <w:rFonts w:asciiTheme="majorBidi" w:hAnsiTheme="majorBidi" w:cstheme="majorBidi"/>
          <w:sz w:val="24"/>
          <w:szCs w:val="24"/>
          <w:lang w:bidi="ar-SA"/>
        </w:rPr>
        <w:t>. (</w:t>
      </w:r>
      <w:proofErr w:type="spellStart"/>
      <w:r w:rsidRPr="003C5B68">
        <w:rPr>
          <w:rFonts w:asciiTheme="majorBidi" w:hAnsiTheme="majorBidi" w:cstheme="majorBidi"/>
          <w:sz w:val="24"/>
          <w:szCs w:val="24"/>
          <w:lang w:bidi="ar-SA"/>
        </w:rPr>
        <w:t>Naik</w:t>
      </w:r>
      <w:proofErr w:type="spellEnd"/>
      <w:r w:rsidRPr="003C5B68">
        <w:rPr>
          <w:rFonts w:asciiTheme="majorBidi" w:hAnsiTheme="majorBidi" w:cstheme="majorBidi"/>
          <w:sz w:val="24"/>
          <w:szCs w:val="24"/>
          <w:lang w:bidi="ar-SA"/>
        </w:rPr>
        <w:t xml:space="preserve"> and Chand</w:t>
      </w:r>
      <w:r w:rsidR="008F36C5">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2006)</w:t>
      </w:r>
      <w:r w:rsidR="00944969" w:rsidRPr="003C5B68">
        <w:rPr>
          <w:rFonts w:asciiTheme="majorBidi" w:hAnsiTheme="majorBidi" w:cstheme="majorBidi"/>
          <w:sz w:val="24"/>
          <w:szCs w:val="24"/>
          <w:lang w:bidi="ar-SA"/>
        </w:rPr>
        <w:t>.</w:t>
      </w:r>
      <w:proofErr w:type="spellStart"/>
      <w:r w:rsidR="00EE3959" w:rsidRPr="003C5B68">
        <w:rPr>
          <w:rFonts w:asciiTheme="majorBidi" w:hAnsiTheme="majorBidi" w:cstheme="majorBidi"/>
          <w:sz w:val="24"/>
          <w:szCs w:val="24"/>
          <w:lang w:bidi="ar-SA"/>
        </w:rPr>
        <w:t>Halmagyi</w:t>
      </w:r>
      <w:proofErr w:type="spellEnd"/>
      <w:r w:rsidR="00EE3959" w:rsidRPr="003C5B68">
        <w:rPr>
          <w:rFonts w:asciiTheme="majorBidi" w:hAnsiTheme="majorBidi" w:cstheme="majorBidi"/>
          <w:sz w:val="24"/>
          <w:szCs w:val="24"/>
          <w:lang w:bidi="ar-SA"/>
        </w:rPr>
        <w:t xml:space="preserve"> and </w:t>
      </w:r>
      <w:proofErr w:type="spellStart"/>
      <w:r w:rsidR="00EE3959" w:rsidRPr="003C5B68">
        <w:rPr>
          <w:rFonts w:asciiTheme="majorBidi" w:hAnsiTheme="majorBidi" w:cstheme="majorBidi"/>
          <w:sz w:val="24"/>
          <w:szCs w:val="24"/>
          <w:lang w:bidi="ar-SA"/>
        </w:rPr>
        <w:t>Deliu</w:t>
      </w:r>
      <w:proofErr w:type="spellEnd"/>
      <w:r w:rsidR="00EE3959" w:rsidRPr="003C5B68">
        <w:rPr>
          <w:rFonts w:asciiTheme="majorBidi" w:hAnsiTheme="majorBidi" w:cstheme="majorBidi"/>
          <w:sz w:val="24"/>
          <w:szCs w:val="24"/>
          <w:lang w:bidi="ar-SA"/>
        </w:rPr>
        <w:t xml:space="preserve"> (2007) </w:t>
      </w:r>
      <w:r w:rsidR="003A06B8" w:rsidRPr="003C5B68">
        <w:rPr>
          <w:rFonts w:asciiTheme="majorBidi" w:hAnsiTheme="majorBidi" w:cstheme="majorBidi"/>
          <w:sz w:val="24"/>
          <w:szCs w:val="24"/>
          <w:lang w:bidi="ar-SA"/>
        </w:rPr>
        <w:t xml:space="preserve">used 3% </w:t>
      </w:r>
      <w:r w:rsidR="00EE3959" w:rsidRPr="003C5B68">
        <w:rPr>
          <w:rFonts w:asciiTheme="majorBidi" w:hAnsiTheme="majorBidi" w:cstheme="majorBidi"/>
          <w:sz w:val="24"/>
          <w:szCs w:val="24"/>
          <w:lang w:bidi="ar-SA"/>
        </w:rPr>
        <w:t xml:space="preserve">sodium alginate </w:t>
      </w:r>
      <w:r w:rsidR="00C1492A" w:rsidRPr="003C5B68">
        <w:rPr>
          <w:rFonts w:asciiTheme="majorBidi" w:hAnsiTheme="majorBidi" w:cstheme="majorBidi"/>
          <w:sz w:val="24"/>
          <w:szCs w:val="24"/>
          <w:lang w:bidi="ar-SA"/>
        </w:rPr>
        <w:t xml:space="preserve">solution </w:t>
      </w:r>
      <w:r w:rsidR="00FF1294" w:rsidRPr="003C5B68">
        <w:rPr>
          <w:rFonts w:asciiTheme="majorBidi" w:hAnsiTheme="majorBidi" w:cstheme="majorBidi"/>
          <w:sz w:val="24"/>
          <w:szCs w:val="24"/>
          <w:lang w:bidi="ar-SA"/>
        </w:rPr>
        <w:t>and</w:t>
      </w:r>
      <w:r w:rsidR="00EE3959" w:rsidRPr="003C5B68">
        <w:rPr>
          <w:rFonts w:asciiTheme="majorBidi" w:hAnsiTheme="majorBidi" w:cstheme="majorBidi"/>
          <w:sz w:val="24"/>
          <w:szCs w:val="24"/>
          <w:lang w:bidi="ar-SA"/>
        </w:rPr>
        <w:t xml:space="preserve"> 1.0 M</w:t>
      </w:r>
      <w:r w:rsidR="00681503" w:rsidRPr="003C5B68">
        <w:rPr>
          <w:rFonts w:asciiTheme="majorBidi" w:hAnsiTheme="majorBidi" w:cstheme="majorBidi"/>
          <w:sz w:val="24"/>
          <w:szCs w:val="24"/>
          <w:lang w:bidi="ar-SA"/>
        </w:rPr>
        <w:t xml:space="preserve"> c</w:t>
      </w:r>
      <w:r w:rsidR="00FF1294" w:rsidRPr="003C5B68">
        <w:rPr>
          <w:rFonts w:asciiTheme="majorBidi" w:hAnsiTheme="majorBidi" w:cstheme="majorBidi"/>
          <w:sz w:val="24"/>
          <w:szCs w:val="24"/>
          <w:lang w:bidi="ar-SA"/>
        </w:rPr>
        <w:t>alcium chloride</w:t>
      </w:r>
      <w:r w:rsidR="00C1492A" w:rsidRPr="003C5B68">
        <w:rPr>
          <w:rFonts w:asciiTheme="majorBidi" w:hAnsiTheme="majorBidi" w:cstheme="majorBidi"/>
          <w:sz w:val="24"/>
          <w:szCs w:val="24"/>
          <w:lang w:bidi="ar-SA"/>
        </w:rPr>
        <w:t xml:space="preserve"> for encapsulation of carnation shoot tips</w:t>
      </w:r>
      <w:r w:rsidR="00FF1294" w:rsidRPr="003C5B68">
        <w:rPr>
          <w:rFonts w:asciiTheme="majorBidi" w:hAnsiTheme="majorBidi" w:cstheme="majorBidi"/>
          <w:sz w:val="24"/>
          <w:szCs w:val="24"/>
          <w:lang w:bidi="ar-SA"/>
        </w:rPr>
        <w:t>.</w:t>
      </w:r>
      <w:r w:rsidR="00580363">
        <w:rPr>
          <w:rFonts w:asciiTheme="majorBidi" w:hAnsiTheme="majorBidi" w:cstheme="majorBidi"/>
          <w:sz w:val="24"/>
          <w:szCs w:val="24"/>
          <w:lang w:bidi="ar-SA"/>
        </w:rPr>
        <w:t xml:space="preserve"> </w:t>
      </w:r>
      <w:r w:rsidR="00B405D6" w:rsidRPr="003C5B68">
        <w:rPr>
          <w:rFonts w:asciiTheme="majorBidi" w:hAnsiTheme="majorBidi" w:cstheme="majorBidi"/>
          <w:sz w:val="24"/>
          <w:szCs w:val="24"/>
          <w:lang w:bidi="ar-SA"/>
        </w:rPr>
        <w:t xml:space="preserve">Singh (2008) </w:t>
      </w:r>
      <w:r w:rsidR="00B5404C" w:rsidRPr="003C5B68">
        <w:rPr>
          <w:rFonts w:asciiTheme="majorBidi" w:hAnsiTheme="majorBidi" w:cstheme="majorBidi"/>
          <w:sz w:val="24"/>
          <w:szCs w:val="24"/>
          <w:lang w:bidi="ar-SA"/>
        </w:rPr>
        <w:t>utilized</w:t>
      </w:r>
      <w:r w:rsidR="008F36C5">
        <w:rPr>
          <w:rFonts w:asciiTheme="majorBidi" w:hAnsiTheme="majorBidi" w:cstheme="majorBidi"/>
          <w:sz w:val="24"/>
          <w:szCs w:val="24"/>
          <w:lang w:bidi="ar-SA"/>
        </w:rPr>
        <w:t xml:space="preserve"> </w:t>
      </w:r>
      <w:r w:rsidR="00576BF6" w:rsidRPr="003C5B68">
        <w:rPr>
          <w:rFonts w:asciiTheme="majorBidi" w:hAnsiTheme="majorBidi" w:cstheme="majorBidi"/>
          <w:sz w:val="24"/>
          <w:szCs w:val="24"/>
          <w:lang w:bidi="ar-SA"/>
        </w:rPr>
        <w:t>6</w:t>
      </w:r>
      <w:r w:rsidR="004B6313" w:rsidRPr="003C5B68">
        <w:rPr>
          <w:rFonts w:asciiTheme="majorBidi" w:hAnsiTheme="majorBidi" w:cstheme="majorBidi"/>
          <w:sz w:val="24"/>
          <w:szCs w:val="24"/>
          <w:lang w:bidi="ar-SA"/>
        </w:rPr>
        <w:t xml:space="preserve">0 </w:t>
      </w:r>
      <w:proofErr w:type="spellStart"/>
      <w:r w:rsidR="00BA0CCC" w:rsidRPr="003C5B68">
        <w:rPr>
          <w:rFonts w:asciiTheme="majorBidi" w:hAnsiTheme="majorBidi" w:cstheme="majorBidi"/>
          <w:sz w:val="24"/>
          <w:szCs w:val="24"/>
          <w:lang w:bidi="ar-SA"/>
        </w:rPr>
        <w:t>mM</w:t>
      </w:r>
      <w:proofErr w:type="spellEnd"/>
      <w:r w:rsidR="00BA0CCC" w:rsidRPr="003C5B68">
        <w:rPr>
          <w:rFonts w:asciiTheme="majorBidi" w:hAnsiTheme="majorBidi" w:cstheme="majorBidi"/>
          <w:sz w:val="24"/>
          <w:szCs w:val="24"/>
          <w:lang w:bidi="ar-SA"/>
        </w:rPr>
        <w:t xml:space="preserve"> calcium chloride </w:t>
      </w:r>
      <w:r w:rsidR="00B5404C" w:rsidRPr="003C5B68">
        <w:rPr>
          <w:rFonts w:asciiTheme="majorBidi" w:hAnsiTheme="majorBidi" w:cstheme="majorBidi"/>
          <w:sz w:val="24"/>
          <w:szCs w:val="24"/>
          <w:lang w:bidi="ar-SA"/>
        </w:rPr>
        <w:t>solutions</w:t>
      </w:r>
      <w:r w:rsidR="00BA0CCC" w:rsidRPr="003C5B68">
        <w:rPr>
          <w:rFonts w:asciiTheme="majorBidi" w:hAnsiTheme="majorBidi" w:cstheme="majorBidi"/>
          <w:sz w:val="24"/>
          <w:szCs w:val="24"/>
          <w:lang w:bidi="ar-SA"/>
        </w:rPr>
        <w:t xml:space="preserve"> for encapsulation of</w:t>
      </w:r>
      <w:r w:rsidR="006F7518">
        <w:rPr>
          <w:rFonts w:asciiTheme="majorBidi" w:hAnsiTheme="majorBidi" w:cstheme="majorBidi"/>
          <w:sz w:val="24"/>
          <w:szCs w:val="24"/>
          <w:lang w:bidi="ar-SA"/>
        </w:rPr>
        <w:t xml:space="preserve"> </w:t>
      </w:r>
      <w:r w:rsidR="00221811" w:rsidRPr="003C5B68">
        <w:rPr>
          <w:rFonts w:asciiTheme="majorBidi" w:hAnsiTheme="majorBidi" w:cstheme="majorBidi"/>
          <w:i/>
          <w:iCs/>
          <w:sz w:val="24"/>
          <w:szCs w:val="24"/>
          <w:lang w:bidi="ar-SA"/>
        </w:rPr>
        <w:t xml:space="preserve">Rhododendron </w:t>
      </w:r>
      <w:proofErr w:type="spellStart"/>
      <w:r w:rsidR="00221811" w:rsidRPr="003C5B68">
        <w:rPr>
          <w:rFonts w:asciiTheme="majorBidi" w:eastAsia="Calibri" w:hAnsiTheme="majorBidi" w:cstheme="majorBidi"/>
          <w:i/>
          <w:iCs/>
          <w:sz w:val="24"/>
          <w:szCs w:val="24"/>
        </w:rPr>
        <w:t>maddeni</w:t>
      </w:r>
      <w:proofErr w:type="spellEnd"/>
      <w:r w:rsidR="00BA0CCC" w:rsidRPr="00A45214">
        <w:rPr>
          <w:rFonts w:asciiTheme="majorBidi" w:hAnsiTheme="majorBidi" w:cstheme="majorBidi"/>
          <w:sz w:val="24"/>
          <w:szCs w:val="24"/>
          <w:lang w:bidi="ar-SA"/>
        </w:rPr>
        <w:t>.</w:t>
      </w:r>
      <w:r w:rsidR="00175A33" w:rsidRPr="003C5B68">
        <w:rPr>
          <w:rFonts w:asciiTheme="majorBidi" w:hAnsiTheme="majorBidi" w:cstheme="majorBidi"/>
          <w:sz w:val="24"/>
          <w:szCs w:val="24"/>
          <w:lang w:bidi="ar-SA"/>
        </w:rPr>
        <w:t xml:space="preserve"> Sandoval-</w:t>
      </w:r>
      <w:proofErr w:type="spellStart"/>
      <w:r w:rsidR="00175A33" w:rsidRPr="003C5B68">
        <w:rPr>
          <w:rFonts w:asciiTheme="majorBidi" w:hAnsiTheme="majorBidi" w:cstheme="majorBidi"/>
          <w:sz w:val="24"/>
          <w:szCs w:val="24"/>
          <w:lang w:bidi="ar-SA"/>
        </w:rPr>
        <w:t>Yugar</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proofErr w:type="gramStart"/>
      <w:r w:rsidR="001A063E" w:rsidRPr="008F36C5">
        <w:rPr>
          <w:rFonts w:asciiTheme="majorBidi" w:hAnsiTheme="majorBidi" w:cstheme="majorBidi"/>
          <w:sz w:val="24"/>
          <w:szCs w:val="24"/>
        </w:rPr>
        <w:t>.</w:t>
      </w:r>
      <w:r w:rsidR="00175A33" w:rsidRPr="003C5B68">
        <w:rPr>
          <w:rFonts w:asciiTheme="majorBidi" w:hAnsiTheme="majorBidi" w:cstheme="majorBidi"/>
          <w:sz w:val="24"/>
          <w:szCs w:val="24"/>
          <w:lang w:bidi="ar-SA"/>
        </w:rPr>
        <w:t>(</w:t>
      </w:r>
      <w:proofErr w:type="gramEnd"/>
      <w:r w:rsidR="00175A33" w:rsidRPr="003C5B68">
        <w:rPr>
          <w:rFonts w:asciiTheme="majorBidi" w:hAnsiTheme="majorBidi" w:cstheme="majorBidi"/>
          <w:sz w:val="24"/>
          <w:szCs w:val="24"/>
          <w:lang w:bidi="ar-SA"/>
        </w:rPr>
        <w:t xml:space="preserve">2008) dropped sodium alginate beads </w:t>
      </w:r>
      <w:r w:rsidR="005E0853" w:rsidRPr="003C5B68">
        <w:rPr>
          <w:rFonts w:asciiTheme="majorBidi" w:hAnsiTheme="majorBidi" w:cstheme="majorBidi"/>
          <w:sz w:val="24"/>
          <w:szCs w:val="24"/>
          <w:lang w:bidi="ar-SA"/>
        </w:rPr>
        <w:t xml:space="preserve">in </w:t>
      </w:r>
      <w:r w:rsidR="00175A33" w:rsidRPr="003C5B68">
        <w:rPr>
          <w:rFonts w:asciiTheme="majorBidi" w:hAnsiTheme="majorBidi" w:cstheme="majorBidi"/>
          <w:sz w:val="24"/>
          <w:szCs w:val="24"/>
          <w:lang w:bidi="ar-SA"/>
        </w:rPr>
        <w:t>100mM CaCl2 solution</w:t>
      </w:r>
      <w:r w:rsidR="005E0853" w:rsidRPr="003C5B68">
        <w:rPr>
          <w:rFonts w:asciiTheme="majorBidi" w:hAnsiTheme="majorBidi" w:cstheme="majorBidi"/>
          <w:sz w:val="24"/>
          <w:szCs w:val="24"/>
          <w:lang w:bidi="ar-SA"/>
        </w:rPr>
        <w:t xml:space="preserve"> for encapsulation of micro</w:t>
      </w:r>
      <w:r w:rsidR="00580363">
        <w:rPr>
          <w:rFonts w:asciiTheme="majorBidi" w:hAnsiTheme="majorBidi" w:cstheme="majorBidi"/>
          <w:sz w:val="24"/>
          <w:szCs w:val="24"/>
          <w:lang w:bidi="ar-SA"/>
        </w:rPr>
        <w:t xml:space="preserve"> </w:t>
      </w:r>
      <w:r w:rsidR="005E0853" w:rsidRPr="003C5B68">
        <w:rPr>
          <w:rFonts w:asciiTheme="majorBidi" w:hAnsiTheme="majorBidi" w:cstheme="majorBidi"/>
          <w:sz w:val="24"/>
          <w:szCs w:val="24"/>
          <w:lang w:bidi="ar-SA"/>
        </w:rPr>
        <w:t>shoots in</w:t>
      </w:r>
      <w:r w:rsidR="005E0853" w:rsidRPr="003C5B68">
        <w:rPr>
          <w:rFonts w:asciiTheme="majorBidi" w:hAnsiTheme="majorBidi" w:cstheme="majorBidi"/>
          <w:i/>
          <w:iCs/>
          <w:sz w:val="24"/>
          <w:szCs w:val="24"/>
          <w:lang w:bidi="ar-SA"/>
        </w:rPr>
        <w:t xml:space="preserve"> Musa </w:t>
      </w:r>
      <w:r w:rsidR="005E0853" w:rsidRPr="003C5B68">
        <w:rPr>
          <w:rFonts w:asciiTheme="majorBidi" w:hAnsiTheme="majorBidi" w:cstheme="majorBidi"/>
          <w:sz w:val="24"/>
          <w:szCs w:val="24"/>
          <w:lang w:bidi="ar-SA"/>
        </w:rPr>
        <w:t xml:space="preserve">sp. cv. ‘Grand </w:t>
      </w:r>
      <w:proofErr w:type="spellStart"/>
      <w:r w:rsidR="005E0853" w:rsidRPr="003C5B68">
        <w:rPr>
          <w:rFonts w:asciiTheme="majorBidi" w:hAnsiTheme="majorBidi" w:cstheme="majorBidi"/>
          <w:sz w:val="24"/>
          <w:szCs w:val="24"/>
          <w:lang w:bidi="ar-SA"/>
        </w:rPr>
        <w:t>Naine</w:t>
      </w:r>
      <w:proofErr w:type="spellEnd"/>
      <w:r w:rsidR="005E0853" w:rsidRPr="003C5B68">
        <w:rPr>
          <w:rFonts w:asciiTheme="majorBidi" w:hAnsiTheme="majorBidi" w:cstheme="majorBidi"/>
          <w:sz w:val="24"/>
          <w:szCs w:val="24"/>
          <w:lang w:bidi="ar-SA"/>
        </w:rPr>
        <w:t>.</w:t>
      </w:r>
    </w:p>
    <w:p w:rsidR="00484D0C" w:rsidRDefault="00E33BC0" w:rsidP="008F36C5">
      <w:pPr>
        <w:autoSpaceDE w:val="0"/>
        <w:autoSpaceDN w:val="0"/>
        <w:adjustRightInd w:val="0"/>
        <w:ind w:firstLine="720"/>
        <w:rPr>
          <w:rFonts w:asciiTheme="majorBidi" w:hAnsiTheme="majorBidi" w:cstheme="majorBidi"/>
          <w:sz w:val="24"/>
          <w:szCs w:val="24"/>
          <w:lang w:bidi="ar-SA"/>
        </w:rPr>
      </w:pPr>
      <w:r w:rsidRPr="003C5B68">
        <w:rPr>
          <w:rFonts w:asciiTheme="majorBidi" w:hAnsiTheme="majorBidi" w:cstheme="majorBidi"/>
          <w:sz w:val="24"/>
          <w:szCs w:val="24"/>
          <w:lang w:bidi="ar-SA"/>
        </w:rPr>
        <w:t>Conversion of encapsulated shoot tips into plantlets was significantly affected by the concentration of sodium alginate</w:t>
      </w:r>
      <w:r w:rsidR="00BD0B33" w:rsidRPr="003C5B68">
        <w:rPr>
          <w:rFonts w:asciiTheme="majorBidi" w:hAnsiTheme="majorBidi" w:cstheme="majorBidi"/>
          <w:sz w:val="24"/>
          <w:szCs w:val="24"/>
          <w:lang w:bidi="ar-SA"/>
        </w:rPr>
        <w:t xml:space="preserve">, calcium </w:t>
      </w:r>
      <w:r w:rsidR="00A36476" w:rsidRPr="003C5B68">
        <w:rPr>
          <w:rFonts w:asciiTheme="majorBidi" w:hAnsiTheme="majorBidi" w:cstheme="majorBidi"/>
          <w:sz w:val="24"/>
          <w:szCs w:val="24"/>
          <w:lang w:bidi="ar-SA"/>
        </w:rPr>
        <w:t>chloride</w:t>
      </w:r>
      <w:r w:rsidRPr="003C5B68">
        <w:rPr>
          <w:rFonts w:asciiTheme="majorBidi" w:hAnsiTheme="majorBidi" w:cstheme="majorBidi"/>
          <w:sz w:val="24"/>
          <w:szCs w:val="24"/>
          <w:lang w:bidi="ar-SA"/>
        </w:rPr>
        <w:t xml:space="preserve"> and planting media. A key factor for synthetic seed technology is </w:t>
      </w:r>
      <w:r w:rsidR="005E0853" w:rsidRPr="003C5B68">
        <w:rPr>
          <w:rFonts w:asciiTheme="majorBidi" w:hAnsiTheme="majorBidi" w:cstheme="majorBidi"/>
          <w:sz w:val="24"/>
          <w:szCs w:val="24"/>
          <w:lang w:bidi="ar-SA"/>
        </w:rPr>
        <w:t xml:space="preserve">the </w:t>
      </w:r>
      <w:r w:rsidRPr="003C5B68">
        <w:rPr>
          <w:rFonts w:asciiTheme="majorBidi" w:hAnsiTheme="majorBidi" w:cstheme="majorBidi"/>
          <w:sz w:val="24"/>
          <w:szCs w:val="24"/>
          <w:lang w:bidi="ar-SA"/>
        </w:rPr>
        <w:t xml:space="preserve">effects of various concentrations of sodium alginate </w:t>
      </w:r>
      <w:r w:rsidR="00660197" w:rsidRPr="003C5B68">
        <w:rPr>
          <w:rFonts w:asciiTheme="majorBidi" w:hAnsiTheme="majorBidi" w:cstheme="majorBidi"/>
          <w:sz w:val="24"/>
          <w:szCs w:val="24"/>
          <w:lang w:bidi="ar-SA"/>
        </w:rPr>
        <w:t xml:space="preserve">and calcium chloride </w:t>
      </w:r>
      <w:r w:rsidRPr="003C5B68">
        <w:rPr>
          <w:rFonts w:asciiTheme="majorBidi" w:hAnsiTheme="majorBidi" w:cstheme="majorBidi"/>
          <w:sz w:val="24"/>
          <w:szCs w:val="24"/>
          <w:lang w:bidi="ar-SA"/>
        </w:rPr>
        <w:t>on the texture, shape and size of the bead.</w:t>
      </w:r>
      <w:r w:rsidR="00580363">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 xml:space="preserve">It seems that the source of the alginate affects </w:t>
      </w:r>
      <w:r w:rsidR="005E0853" w:rsidRPr="003C5B68">
        <w:rPr>
          <w:rFonts w:asciiTheme="majorBidi" w:hAnsiTheme="majorBidi" w:cstheme="majorBidi"/>
          <w:sz w:val="24"/>
          <w:szCs w:val="24"/>
          <w:lang w:bidi="ar-SA"/>
        </w:rPr>
        <w:t xml:space="preserve">was </w:t>
      </w:r>
      <w:r w:rsidRPr="003C5B68">
        <w:rPr>
          <w:rFonts w:asciiTheme="majorBidi" w:hAnsiTheme="majorBidi" w:cstheme="majorBidi"/>
          <w:sz w:val="24"/>
          <w:szCs w:val="24"/>
          <w:lang w:bidi="ar-SA"/>
        </w:rPr>
        <w:t>the quality of capsules (Hassan</w:t>
      </w:r>
      <w:r w:rsidR="008F36C5">
        <w:rPr>
          <w:rFonts w:asciiTheme="majorBidi" w:hAnsiTheme="majorBidi" w:cstheme="majorBidi"/>
          <w:sz w:val="24"/>
          <w:szCs w:val="24"/>
          <w:lang w:bidi="ar-SA"/>
        </w:rPr>
        <w:t xml:space="preserve"> </w:t>
      </w:r>
      <w:r w:rsidRPr="003C5B68">
        <w:rPr>
          <w:rFonts w:asciiTheme="majorBidi" w:hAnsiTheme="majorBidi" w:cstheme="majorBidi"/>
          <w:sz w:val="24"/>
          <w:szCs w:val="24"/>
          <w:lang w:bidi="ar-SA"/>
        </w:rPr>
        <w:t>2003).</w:t>
      </w:r>
      <w:r w:rsidR="0066713A" w:rsidRPr="003C5B68">
        <w:rPr>
          <w:rFonts w:asciiTheme="majorBidi" w:hAnsiTheme="majorBidi" w:cstheme="majorBidi"/>
          <w:sz w:val="24"/>
          <w:szCs w:val="24"/>
          <w:lang w:bidi="ar-SA"/>
        </w:rPr>
        <w:t>S</w:t>
      </w:r>
      <w:r w:rsidR="00FA1958" w:rsidRPr="003C5B68">
        <w:rPr>
          <w:rFonts w:asciiTheme="majorBidi" w:hAnsiTheme="majorBidi" w:cstheme="majorBidi"/>
          <w:sz w:val="24"/>
          <w:szCs w:val="24"/>
          <w:lang w:bidi="ar-SA"/>
        </w:rPr>
        <w:t xml:space="preserve">odium alginate concentration, degree of viscosity of the alginate used, CaCl2 concentration are important parameters </w:t>
      </w:r>
      <w:r w:rsidR="005E0853" w:rsidRPr="003C5B68">
        <w:rPr>
          <w:rFonts w:asciiTheme="majorBidi" w:hAnsiTheme="majorBidi" w:cstheme="majorBidi"/>
          <w:sz w:val="24"/>
          <w:szCs w:val="24"/>
          <w:lang w:bidi="ar-SA"/>
        </w:rPr>
        <w:t xml:space="preserve">for </w:t>
      </w:r>
      <w:r w:rsidR="00FA1958" w:rsidRPr="003C5B68">
        <w:rPr>
          <w:rFonts w:asciiTheme="majorBidi" w:hAnsiTheme="majorBidi" w:cstheme="majorBidi"/>
          <w:sz w:val="24"/>
          <w:szCs w:val="24"/>
          <w:lang w:bidi="ar-SA"/>
        </w:rPr>
        <w:t>determining the permeability, resistance and hardness of the resulting beads and the subsequent success of the encapsulation method (Block</w:t>
      </w:r>
      <w:r w:rsidR="008F36C5">
        <w:rPr>
          <w:rFonts w:asciiTheme="majorBidi" w:hAnsiTheme="majorBidi" w:cstheme="majorBidi"/>
          <w:sz w:val="24"/>
          <w:szCs w:val="24"/>
          <w:lang w:bidi="ar-SA"/>
        </w:rPr>
        <w:t xml:space="preserve"> </w:t>
      </w:r>
      <w:r w:rsidR="00FA1958" w:rsidRPr="003C5B68">
        <w:rPr>
          <w:rFonts w:asciiTheme="majorBidi" w:hAnsiTheme="majorBidi" w:cstheme="majorBidi"/>
          <w:sz w:val="24"/>
          <w:szCs w:val="24"/>
          <w:lang w:bidi="ar-SA"/>
        </w:rPr>
        <w:t>2003).</w:t>
      </w:r>
    </w:p>
    <w:p w:rsidR="00484D0C" w:rsidRDefault="001B071A" w:rsidP="009C4AE1">
      <w:pPr>
        <w:autoSpaceDE w:val="0"/>
        <w:autoSpaceDN w:val="0"/>
        <w:adjustRightInd w:val="0"/>
        <w:rPr>
          <w:rFonts w:asciiTheme="majorBidi" w:hAnsiTheme="majorBidi" w:cstheme="majorBidi"/>
          <w:i/>
          <w:iCs/>
          <w:sz w:val="24"/>
          <w:szCs w:val="24"/>
        </w:rPr>
      </w:pPr>
      <w:r w:rsidRPr="003C5B68">
        <w:rPr>
          <w:rFonts w:asciiTheme="majorBidi" w:hAnsiTheme="majorBidi" w:cstheme="majorBidi"/>
          <w:i/>
          <w:iCs/>
          <w:sz w:val="24"/>
          <w:szCs w:val="24"/>
        </w:rPr>
        <w:t xml:space="preserve">Effects of </w:t>
      </w:r>
      <w:r w:rsidR="00706B69" w:rsidRPr="003C5B68">
        <w:rPr>
          <w:rFonts w:asciiTheme="majorBidi" w:hAnsiTheme="majorBidi" w:cstheme="majorBidi"/>
          <w:i/>
          <w:iCs/>
          <w:sz w:val="24"/>
          <w:szCs w:val="24"/>
        </w:rPr>
        <w:t xml:space="preserve">different </w:t>
      </w:r>
      <w:r w:rsidR="00231D09" w:rsidRPr="003C5B68">
        <w:rPr>
          <w:rFonts w:asciiTheme="majorBidi" w:hAnsiTheme="majorBidi" w:cstheme="majorBidi"/>
          <w:i/>
          <w:iCs/>
          <w:sz w:val="24"/>
          <w:szCs w:val="24"/>
        </w:rPr>
        <w:t>material</w:t>
      </w:r>
      <w:r w:rsidR="00706B69" w:rsidRPr="003C5B68">
        <w:rPr>
          <w:rFonts w:asciiTheme="majorBidi" w:hAnsiTheme="majorBidi" w:cstheme="majorBidi"/>
          <w:i/>
          <w:iCs/>
          <w:sz w:val="24"/>
          <w:szCs w:val="24"/>
        </w:rPr>
        <w:t xml:space="preserve"> used </w:t>
      </w:r>
      <w:r w:rsidR="005E0853" w:rsidRPr="003C5B68">
        <w:rPr>
          <w:rFonts w:asciiTheme="majorBidi" w:hAnsiTheme="majorBidi" w:cstheme="majorBidi"/>
          <w:i/>
          <w:iCs/>
          <w:sz w:val="24"/>
          <w:szCs w:val="24"/>
        </w:rPr>
        <w:t xml:space="preserve">to </w:t>
      </w:r>
      <w:r w:rsidR="00231D09" w:rsidRPr="003C5B68">
        <w:rPr>
          <w:rFonts w:asciiTheme="majorBidi" w:hAnsiTheme="majorBidi" w:cstheme="majorBidi"/>
          <w:i/>
          <w:iCs/>
          <w:sz w:val="24"/>
          <w:szCs w:val="24"/>
        </w:rPr>
        <w:t>prepare</w:t>
      </w:r>
      <w:r w:rsidR="00580363">
        <w:rPr>
          <w:rFonts w:asciiTheme="majorBidi" w:hAnsiTheme="majorBidi" w:cstheme="majorBidi"/>
          <w:i/>
          <w:iCs/>
          <w:sz w:val="24"/>
          <w:szCs w:val="24"/>
        </w:rPr>
        <w:t xml:space="preserve"> </w:t>
      </w:r>
      <w:r w:rsidR="005E0853" w:rsidRPr="003C5B68">
        <w:rPr>
          <w:rFonts w:asciiTheme="majorBidi" w:hAnsiTheme="majorBidi" w:cstheme="majorBidi"/>
          <w:i/>
          <w:iCs/>
          <w:sz w:val="24"/>
          <w:szCs w:val="24"/>
        </w:rPr>
        <w:t xml:space="preserve">the </w:t>
      </w:r>
      <w:r w:rsidR="00A33059" w:rsidRPr="003C5B68">
        <w:rPr>
          <w:rFonts w:asciiTheme="majorBidi" w:hAnsiTheme="majorBidi" w:cstheme="majorBidi"/>
          <w:i/>
          <w:iCs/>
          <w:sz w:val="24"/>
          <w:szCs w:val="24"/>
        </w:rPr>
        <w:t>sodium alginate</w:t>
      </w:r>
    </w:p>
    <w:p w:rsidR="00484D0C" w:rsidRDefault="00231D09" w:rsidP="006F7518">
      <w:pPr>
        <w:autoSpaceDE w:val="0"/>
        <w:autoSpaceDN w:val="0"/>
        <w:adjustRightInd w:val="0"/>
        <w:ind w:firstLine="720"/>
        <w:rPr>
          <w:rFonts w:asciiTheme="majorBidi" w:hAnsiTheme="majorBidi" w:cstheme="majorBidi"/>
          <w:sz w:val="24"/>
          <w:szCs w:val="24"/>
        </w:rPr>
      </w:pPr>
      <w:r w:rsidRPr="003C5B68">
        <w:rPr>
          <w:rFonts w:asciiTheme="majorBidi" w:hAnsiTheme="majorBidi" w:cstheme="majorBidi"/>
          <w:sz w:val="24"/>
          <w:szCs w:val="24"/>
        </w:rPr>
        <w:lastRenderedPageBreak/>
        <w:t xml:space="preserve">In this </w:t>
      </w:r>
      <w:r w:rsidR="0056609C" w:rsidRPr="003C5B68">
        <w:rPr>
          <w:rFonts w:asciiTheme="majorBidi" w:hAnsiTheme="majorBidi" w:cstheme="majorBidi"/>
          <w:sz w:val="24"/>
          <w:szCs w:val="24"/>
        </w:rPr>
        <w:t xml:space="preserve">research, we </w:t>
      </w:r>
      <w:r w:rsidR="00016A40" w:rsidRPr="003C5B68">
        <w:rPr>
          <w:rFonts w:asciiTheme="majorBidi" w:hAnsiTheme="majorBidi" w:cstheme="majorBidi"/>
          <w:sz w:val="24"/>
          <w:szCs w:val="24"/>
        </w:rPr>
        <w:t>tested distilled water</w:t>
      </w:r>
      <w:r w:rsidR="00066CC1" w:rsidRPr="003C5B68">
        <w:rPr>
          <w:rFonts w:asciiTheme="majorBidi" w:hAnsiTheme="majorBidi" w:cstheme="majorBidi"/>
          <w:sz w:val="24"/>
          <w:szCs w:val="24"/>
        </w:rPr>
        <w:t xml:space="preserve">, liquid free MS medium and MS medium supplemented </w:t>
      </w:r>
      <w:r w:rsidR="00BE6A66" w:rsidRPr="003C5B68">
        <w:rPr>
          <w:rFonts w:asciiTheme="majorBidi" w:hAnsiTheme="majorBidi" w:cstheme="majorBidi"/>
          <w:sz w:val="24"/>
          <w:szCs w:val="24"/>
        </w:rPr>
        <w:t xml:space="preserve">with 2.5% sucrose, </w:t>
      </w:r>
      <w:proofErr w:type="gramStart"/>
      <w:r w:rsidR="00BE6A66" w:rsidRPr="003C5B68">
        <w:rPr>
          <w:rFonts w:asciiTheme="majorBidi" w:hAnsiTheme="majorBidi" w:cstheme="majorBidi"/>
          <w:sz w:val="24"/>
          <w:szCs w:val="24"/>
        </w:rPr>
        <w:t>2 mgl</w:t>
      </w:r>
      <w:r w:rsidR="00BE6A66" w:rsidRPr="003C5B68">
        <w:rPr>
          <w:rFonts w:asciiTheme="majorBidi" w:hAnsiTheme="majorBidi" w:cstheme="majorBidi"/>
          <w:sz w:val="24"/>
          <w:szCs w:val="24"/>
          <w:vertAlign w:val="superscript"/>
        </w:rPr>
        <w:t>-1</w:t>
      </w:r>
      <w:r w:rsidR="00580363">
        <w:rPr>
          <w:rFonts w:asciiTheme="majorBidi" w:hAnsiTheme="majorBidi" w:cstheme="majorBidi"/>
          <w:sz w:val="24"/>
          <w:szCs w:val="24"/>
          <w:vertAlign w:val="superscript"/>
        </w:rPr>
        <w:t xml:space="preserve"> </w:t>
      </w:r>
      <w:r w:rsidR="00BE6A66" w:rsidRPr="003C5B68">
        <w:rPr>
          <w:rFonts w:asciiTheme="majorBidi" w:hAnsiTheme="majorBidi" w:cstheme="majorBidi"/>
          <w:sz w:val="24"/>
          <w:szCs w:val="24"/>
        </w:rPr>
        <w:t>BAP</w:t>
      </w:r>
      <w:proofErr w:type="gramEnd"/>
      <w:r w:rsidR="00BE6A66" w:rsidRPr="003C5B68">
        <w:rPr>
          <w:rFonts w:asciiTheme="majorBidi" w:hAnsiTheme="majorBidi" w:cstheme="majorBidi"/>
          <w:sz w:val="24"/>
          <w:szCs w:val="24"/>
        </w:rPr>
        <w:t xml:space="preserve"> and 2mgl</w:t>
      </w:r>
      <w:r w:rsidR="00BE6A66" w:rsidRPr="003C5B68">
        <w:rPr>
          <w:rFonts w:asciiTheme="majorBidi" w:hAnsiTheme="majorBidi" w:cstheme="majorBidi"/>
          <w:sz w:val="24"/>
          <w:szCs w:val="24"/>
          <w:vertAlign w:val="superscript"/>
        </w:rPr>
        <w:t>-1</w:t>
      </w:r>
      <w:r w:rsidR="008679DF" w:rsidRPr="003C5B68">
        <w:rPr>
          <w:rFonts w:asciiTheme="majorBidi" w:hAnsiTheme="majorBidi" w:cstheme="majorBidi"/>
          <w:sz w:val="24"/>
          <w:szCs w:val="24"/>
        </w:rPr>
        <w:t>IAA</w:t>
      </w:r>
      <w:r w:rsidR="009309AE" w:rsidRPr="00A45214">
        <w:rPr>
          <w:rFonts w:asciiTheme="majorBidi" w:hAnsiTheme="majorBidi" w:cstheme="majorBidi"/>
          <w:sz w:val="24"/>
          <w:szCs w:val="24"/>
        </w:rPr>
        <w:t xml:space="preserve">for sodium </w:t>
      </w:r>
      <w:r w:rsidR="005E0853" w:rsidRPr="003C5B68">
        <w:rPr>
          <w:rFonts w:asciiTheme="majorBidi" w:hAnsiTheme="majorBidi" w:cstheme="majorBidi"/>
          <w:sz w:val="24"/>
          <w:szCs w:val="24"/>
        </w:rPr>
        <w:t>alginate’s preparation</w:t>
      </w:r>
      <w:r w:rsidR="008679DF" w:rsidRPr="003C5B68">
        <w:rPr>
          <w:rFonts w:asciiTheme="majorBidi" w:hAnsiTheme="majorBidi" w:cstheme="majorBidi"/>
          <w:sz w:val="24"/>
          <w:szCs w:val="24"/>
        </w:rPr>
        <w:t>.</w:t>
      </w:r>
      <w:r w:rsidR="00580363">
        <w:rPr>
          <w:rFonts w:asciiTheme="majorBidi" w:hAnsiTheme="majorBidi" w:cstheme="majorBidi"/>
          <w:sz w:val="24"/>
          <w:szCs w:val="24"/>
        </w:rPr>
        <w:t xml:space="preserve"> </w:t>
      </w:r>
      <w:r w:rsidR="005E0853" w:rsidRPr="003C5B68">
        <w:rPr>
          <w:rFonts w:asciiTheme="majorBidi" w:hAnsiTheme="majorBidi" w:cstheme="majorBidi"/>
          <w:sz w:val="24"/>
          <w:szCs w:val="24"/>
        </w:rPr>
        <w:t xml:space="preserve">The analysis </w:t>
      </w:r>
      <w:r w:rsidR="00563A98" w:rsidRPr="003C5B68">
        <w:rPr>
          <w:rFonts w:asciiTheme="majorBidi" w:hAnsiTheme="majorBidi" w:cstheme="majorBidi"/>
          <w:sz w:val="24"/>
          <w:szCs w:val="24"/>
        </w:rPr>
        <w:t>of variance revealed that sprouting was significantly affected by planting medium.</w:t>
      </w:r>
      <w:r w:rsidR="00580363">
        <w:rPr>
          <w:rFonts w:asciiTheme="majorBidi" w:hAnsiTheme="majorBidi" w:cstheme="majorBidi"/>
          <w:sz w:val="24"/>
          <w:szCs w:val="24"/>
        </w:rPr>
        <w:t xml:space="preserve"> </w:t>
      </w:r>
      <w:r w:rsidR="005E0853" w:rsidRPr="003C5B68">
        <w:rPr>
          <w:rFonts w:asciiTheme="majorBidi" w:hAnsiTheme="majorBidi" w:cstheme="majorBidi"/>
          <w:sz w:val="24"/>
          <w:szCs w:val="24"/>
        </w:rPr>
        <w:t xml:space="preserve">Out of </w:t>
      </w:r>
      <w:r w:rsidR="00271AD7" w:rsidRPr="003C5B68">
        <w:rPr>
          <w:rFonts w:asciiTheme="majorBidi" w:hAnsiTheme="majorBidi" w:cstheme="majorBidi"/>
          <w:sz w:val="24"/>
          <w:szCs w:val="24"/>
        </w:rPr>
        <w:t xml:space="preserve">the three planting media evaluated, </w:t>
      </w:r>
      <w:r w:rsidR="005E0853" w:rsidRPr="003C5B68">
        <w:rPr>
          <w:rFonts w:asciiTheme="majorBidi" w:hAnsiTheme="majorBidi" w:cstheme="majorBidi"/>
          <w:sz w:val="24"/>
          <w:szCs w:val="24"/>
        </w:rPr>
        <w:t xml:space="preserve">the </w:t>
      </w:r>
      <w:r w:rsidR="00271AD7" w:rsidRPr="003C5B68">
        <w:rPr>
          <w:rFonts w:asciiTheme="majorBidi" w:hAnsiTheme="majorBidi" w:cstheme="majorBidi"/>
          <w:sz w:val="24"/>
          <w:szCs w:val="24"/>
        </w:rPr>
        <w:t xml:space="preserve">best percentage of sprouting was observed in </w:t>
      </w:r>
      <w:r w:rsidR="0028113C" w:rsidRPr="003C5B68">
        <w:rPr>
          <w:rFonts w:asciiTheme="majorBidi" w:hAnsiTheme="majorBidi" w:cstheme="majorBidi"/>
          <w:sz w:val="24"/>
          <w:szCs w:val="24"/>
        </w:rPr>
        <w:t>liquid free MS medium supplemented with 2.5% sucrose, 2 mg l</w:t>
      </w:r>
      <w:r w:rsidR="0028113C" w:rsidRPr="003C5B68">
        <w:rPr>
          <w:rFonts w:asciiTheme="majorBidi" w:hAnsiTheme="majorBidi" w:cstheme="majorBidi"/>
          <w:sz w:val="24"/>
          <w:szCs w:val="24"/>
          <w:vertAlign w:val="superscript"/>
        </w:rPr>
        <w:t>-1</w:t>
      </w:r>
      <w:r w:rsidR="0028113C" w:rsidRPr="003C5B68">
        <w:rPr>
          <w:rFonts w:asciiTheme="majorBidi" w:hAnsiTheme="majorBidi" w:cstheme="majorBidi"/>
          <w:sz w:val="24"/>
          <w:szCs w:val="24"/>
        </w:rPr>
        <w:t xml:space="preserve"> BAP and 2 mg l</w:t>
      </w:r>
      <w:r w:rsidR="0028113C" w:rsidRPr="003C5B68">
        <w:rPr>
          <w:rFonts w:asciiTheme="majorBidi" w:hAnsiTheme="majorBidi" w:cstheme="majorBidi"/>
          <w:sz w:val="24"/>
          <w:szCs w:val="24"/>
          <w:vertAlign w:val="superscript"/>
        </w:rPr>
        <w:t>-1</w:t>
      </w:r>
      <w:r w:rsidR="0028113C" w:rsidRPr="003C5B68">
        <w:rPr>
          <w:rFonts w:asciiTheme="majorBidi" w:hAnsiTheme="majorBidi" w:cstheme="majorBidi"/>
          <w:sz w:val="24"/>
          <w:szCs w:val="24"/>
        </w:rPr>
        <w:t xml:space="preserve"> IAA show highest recovery (70.2%) </w:t>
      </w:r>
      <w:r w:rsidR="00271AD7" w:rsidRPr="003C5B68">
        <w:rPr>
          <w:rFonts w:asciiTheme="majorBidi" w:hAnsiTheme="majorBidi" w:cstheme="majorBidi"/>
          <w:sz w:val="24"/>
          <w:szCs w:val="24"/>
        </w:rPr>
        <w:t xml:space="preserve">followed by </w:t>
      </w:r>
      <w:r w:rsidR="0028113C" w:rsidRPr="003C5B68">
        <w:rPr>
          <w:rFonts w:asciiTheme="majorBidi" w:hAnsiTheme="majorBidi" w:cstheme="majorBidi"/>
          <w:sz w:val="24"/>
          <w:szCs w:val="24"/>
        </w:rPr>
        <w:t>liquid free MS medium (63.19%)</w:t>
      </w:r>
      <w:r w:rsidR="008F36C5">
        <w:rPr>
          <w:rFonts w:asciiTheme="majorBidi" w:hAnsiTheme="majorBidi" w:cstheme="majorBidi"/>
          <w:sz w:val="24"/>
          <w:szCs w:val="24"/>
        </w:rPr>
        <w:t xml:space="preserve"> </w:t>
      </w:r>
      <w:r w:rsidR="0028113C" w:rsidRPr="003C5B68">
        <w:rPr>
          <w:rFonts w:asciiTheme="majorBidi" w:hAnsiTheme="majorBidi" w:cstheme="majorBidi"/>
          <w:sz w:val="24"/>
          <w:szCs w:val="24"/>
        </w:rPr>
        <w:t>and distilled water (62.16%</w:t>
      </w:r>
      <w:proofErr w:type="gramStart"/>
      <w:r w:rsidR="0028113C" w:rsidRPr="003C5B68">
        <w:rPr>
          <w:rFonts w:asciiTheme="majorBidi" w:hAnsiTheme="majorBidi" w:cstheme="majorBidi"/>
          <w:sz w:val="24"/>
          <w:szCs w:val="24"/>
        </w:rPr>
        <w:t>)(</w:t>
      </w:r>
      <w:proofErr w:type="gramEnd"/>
      <w:r w:rsidR="00DA6207" w:rsidRPr="003C5B68">
        <w:rPr>
          <w:rFonts w:asciiTheme="majorBidi" w:hAnsiTheme="majorBidi" w:cstheme="majorBidi"/>
          <w:sz w:val="24"/>
          <w:szCs w:val="24"/>
        </w:rPr>
        <w:t>Table</w:t>
      </w:r>
      <w:r w:rsidR="0028113C" w:rsidRPr="003C5B68">
        <w:rPr>
          <w:rFonts w:asciiTheme="majorBidi" w:hAnsiTheme="majorBidi" w:cstheme="majorBidi"/>
          <w:sz w:val="24"/>
          <w:szCs w:val="24"/>
        </w:rPr>
        <w:t>3)</w:t>
      </w:r>
      <w:r w:rsidR="00DA6207" w:rsidRPr="003C5B68">
        <w:rPr>
          <w:rFonts w:asciiTheme="majorBidi" w:hAnsiTheme="majorBidi" w:cstheme="majorBidi"/>
          <w:sz w:val="24"/>
          <w:szCs w:val="24"/>
        </w:rPr>
        <w:t xml:space="preserve">. </w:t>
      </w:r>
      <w:r w:rsidR="004F5C35" w:rsidRPr="003C5B68">
        <w:rPr>
          <w:rFonts w:asciiTheme="majorBidi" w:hAnsiTheme="majorBidi" w:cstheme="majorBidi"/>
          <w:sz w:val="24"/>
          <w:szCs w:val="24"/>
        </w:rPr>
        <w:t xml:space="preserve">Our result was </w:t>
      </w:r>
      <w:r w:rsidR="005E0853" w:rsidRPr="003C5B68">
        <w:rPr>
          <w:rFonts w:asciiTheme="majorBidi" w:hAnsiTheme="majorBidi" w:cstheme="majorBidi"/>
          <w:sz w:val="24"/>
          <w:szCs w:val="24"/>
        </w:rPr>
        <w:t>in agreement with that of</w:t>
      </w:r>
      <w:r w:rsidR="004F5C35" w:rsidRPr="003C5B68">
        <w:rPr>
          <w:rFonts w:asciiTheme="majorBidi" w:hAnsiTheme="majorBidi" w:cstheme="majorBidi"/>
          <w:sz w:val="24"/>
          <w:szCs w:val="24"/>
        </w:rPr>
        <w:t xml:space="preserve"> Hassan</w:t>
      </w:r>
      <w:r w:rsidR="005E0853" w:rsidRPr="003C5B68">
        <w:rPr>
          <w:rFonts w:asciiTheme="majorBidi" w:hAnsiTheme="majorBidi" w:cstheme="majorBidi"/>
          <w:sz w:val="24"/>
          <w:szCs w:val="24"/>
        </w:rPr>
        <w:t>’s</w:t>
      </w:r>
      <w:r w:rsidR="004F5C35" w:rsidRPr="003C5B68">
        <w:rPr>
          <w:rFonts w:asciiTheme="majorBidi" w:hAnsiTheme="majorBidi" w:cstheme="majorBidi"/>
          <w:sz w:val="24"/>
          <w:szCs w:val="24"/>
        </w:rPr>
        <w:t xml:space="preserve"> (</w:t>
      </w:r>
      <w:r w:rsidR="006F6E95" w:rsidRPr="003C5B68">
        <w:rPr>
          <w:rFonts w:asciiTheme="majorBidi" w:hAnsiTheme="majorBidi" w:cstheme="majorBidi"/>
          <w:sz w:val="24"/>
          <w:szCs w:val="24"/>
        </w:rPr>
        <w:t>200</w:t>
      </w:r>
      <w:r w:rsidR="006F6E95">
        <w:rPr>
          <w:rFonts w:asciiTheme="majorBidi" w:hAnsiTheme="majorBidi" w:cstheme="majorBidi"/>
          <w:sz w:val="24"/>
          <w:szCs w:val="24"/>
        </w:rPr>
        <w:t>3</w:t>
      </w:r>
      <w:r w:rsidR="004F5C35" w:rsidRPr="00A45214">
        <w:rPr>
          <w:rFonts w:asciiTheme="majorBidi" w:hAnsiTheme="majorBidi" w:cstheme="majorBidi"/>
          <w:sz w:val="24"/>
          <w:szCs w:val="24"/>
        </w:rPr>
        <w:t>) results</w:t>
      </w:r>
      <w:r w:rsidR="00264440" w:rsidRPr="003C5B68">
        <w:rPr>
          <w:rFonts w:asciiTheme="majorBidi" w:hAnsiTheme="majorBidi" w:cstheme="majorBidi"/>
          <w:sz w:val="24"/>
          <w:szCs w:val="24"/>
        </w:rPr>
        <w:t xml:space="preserve"> that </w:t>
      </w:r>
      <w:r w:rsidR="005E0853" w:rsidRPr="003C5B68">
        <w:rPr>
          <w:rFonts w:asciiTheme="majorBidi" w:hAnsiTheme="majorBidi" w:cstheme="majorBidi"/>
          <w:sz w:val="24"/>
          <w:szCs w:val="24"/>
        </w:rPr>
        <w:t xml:space="preserve">the </w:t>
      </w:r>
      <w:r w:rsidR="0095580C" w:rsidRPr="003C5B68">
        <w:rPr>
          <w:rFonts w:asciiTheme="majorBidi" w:hAnsiTheme="majorBidi" w:cstheme="majorBidi"/>
          <w:sz w:val="24"/>
          <w:szCs w:val="24"/>
        </w:rPr>
        <w:t>appearance</w:t>
      </w:r>
      <w:r w:rsidR="00580363">
        <w:rPr>
          <w:rFonts w:asciiTheme="majorBidi" w:hAnsiTheme="majorBidi" w:cstheme="majorBidi"/>
          <w:sz w:val="24"/>
          <w:szCs w:val="24"/>
        </w:rPr>
        <w:t xml:space="preserve"> </w:t>
      </w:r>
      <w:r w:rsidR="005E0853" w:rsidRPr="003C5B68">
        <w:rPr>
          <w:rFonts w:asciiTheme="majorBidi" w:hAnsiTheme="majorBidi" w:cstheme="majorBidi"/>
          <w:sz w:val="24"/>
          <w:szCs w:val="24"/>
        </w:rPr>
        <w:t xml:space="preserve">of </w:t>
      </w:r>
      <w:r w:rsidR="004F5C35" w:rsidRPr="003C5B68">
        <w:rPr>
          <w:rFonts w:asciiTheme="majorBidi" w:hAnsiTheme="majorBidi" w:cstheme="majorBidi"/>
          <w:sz w:val="24"/>
          <w:szCs w:val="24"/>
        </w:rPr>
        <w:t xml:space="preserve">encapsulated buds exhibit the best shoot development on </w:t>
      </w:r>
      <w:proofErr w:type="spellStart"/>
      <w:r w:rsidR="004F5C35" w:rsidRPr="003C5B68">
        <w:rPr>
          <w:rFonts w:asciiTheme="majorBidi" w:hAnsiTheme="majorBidi" w:cstheme="majorBidi"/>
          <w:sz w:val="24"/>
          <w:szCs w:val="24"/>
        </w:rPr>
        <w:t>Murashige</w:t>
      </w:r>
      <w:proofErr w:type="spellEnd"/>
      <w:r w:rsidR="004F5C35" w:rsidRPr="003C5B68">
        <w:rPr>
          <w:rFonts w:asciiTheme="majorBidi" w:hAnsiTheme="majorBidi" w:cstheme="majorBidi"/>
          <w:sz w:val="24"/>
          <w:szCs w:val="24"/>
        </w:rPr>
        <w:t xml:space="preserve"> and </w:t>
      </w:r>
      <w:proofErr w:type="spellStart"/>
      <w:r w:rsidR="004F5C35" w:rsidRPr="003C5B68">
        <w:rPr>
          <w:rFonts w:asciiTheme="majorBidi" w:hAnsiTheme="majorBidi" w:cstheme="majorBidi"/>
          <w:sz w:val="24"/>
          <w:szCs w:val="24"/>
        </w:rPr>
        <w:t>Skoog</w:t>
      </w:r>
      <w:proofErr w:type="spellEnd"/>
      <w:r w:rsidR="004F5C35" w:rsidRPr="003C5B68">
        <w:rPr>
          <w:rFonts w:asciiTheme="majorBidi" w:hAnsiTheme="majorBidi" w:cstheme="majorBidi"/>
          <w:sz w:val="24"/>
          <w:szCs w:val="24"/>
        </w:rPr>
        <w:t xml:space="preserve"> (MS) medium supplemented with 1.0 mg l</w:t>
      </w:r>
      <w:r w:rsidR="004F5C35" w:rsidRPr="003C5B68">
        <w:rPr>
          <w:rFonts w:asciiTheme="majorBidi" w:hAnsiTheme="majorBidi" w:cstheme="majorBidi"/>
          <w:sz w:val="24"/>
          <w:szCs w:val="24"/>
          <w:vertAlign w:val="superscript"/>
        </w:rPr>
        <w:t xml:space="preserve">-1 </w:t>
      </w:r>
      <w:r w:rsidR="004F5C35" w:rsidRPr="003C5B68">
        <w:rPr>
          <w:rFonts w:asciiTheme="majorBidi" w:hAnsiTheme="majorBidi" w:cstheme="majorBidi"/>
          <w:sz w:val="24"/>
          <w:szCs w:val="24"/>
        </w:rPr>
        <w:t>BAP, 40 mg l</w:t>
      </w:r>
      <w:r w:rsidR="004F5C35" w:rsidRPr="003C5B68">
        <w:rPr>
          <w:rFonts w:asciiTheme="majorBidi" w:hAnsiTheme="majorBidi" w:cstheme="majorBidi"/>
          <w:sz w:val="24"/>
          <w:szCs w:val="24"/>
          <w:vertAlign w:val="superscript"/>
        </w:rPr>
        <w:t xml:space="preserve">-1 </w:t>
      </w:r>
      <w:r w:rsidR="004F5C35" w:rsidRPr="003C5B68">
        <w:rPr>
          <w:rFonts w:asciiTheme="majorBidi" w:hAnsiTheme="majorBidi" w:cstheme="majorBidi"/>
          <w:sz w:val="24"/>
          <w:szCs w:val="24"/>
        </w:rPr>
        <w:t>adenine sulfate and 3.0 mg l</w:t>
      </w:r>
      <w:r w:rsidR="004F5C35" w:rsidRPr="003C5B68">
        <w:rPr>
          <w:rFonts w:asciiTheme="majorBidi" w:hAnsiTheme="majorBidi" w:cstheme="majorBidi"/>
          <w:sz w:val="24"/>
          <w:szCs w:val="24"/>
          <w:vertAlign w:val="superscript"/>
        </w:rPr>
        <w:t xml:space="preserve">-1 </w:t>
      </w:r>
      <w:r w:rsidR="004F5C35" w:rsidRPr="003C5B68">
        <w:rPr>
          <w:rFonts w:asciiTheme="majorBidi" w:hAnsiTheme="majorBidi" w:cstheme="majorBidi"/>
          <w:sz w:val="24"/>
          <w:szCs w:val="24"/>
        </w:rPr>
        <w:t>IAA and gelled with 0.8% bacteriological agar (73% +</w:t>
      </w:r>
      <w:r w:rsidR="004F5C35" w:rsidRPr="00A45214">
        <w:rPr>
          <w:rFonts w:asciiTheme="majorBidi" w:hAnsiTheme="majorBidi" w:cstheme="majorBidi"/>
          <w:sz w:val="24"/>
          <w:szCs w:val="24"/>
        </w:rPr>
        <w:t>5.17</w:t>
      </w:r>
      <w:r w:rsidR="004F5C35" w:rsidRPr="003C5B68">
        <w:rPr>
          <w:rFonts w:asciiTheme="majorBidi" w:hAnsiTheme="majorBidi" w:cstheme="majorBidi"/>
          <w:sz w:val="24"/>
          <w:szCs w:val="24"/>
        </w:rPr>
        <w:t>conversion)</w:t>
      </w:r>
      <w:r w:rsidR="005955B7" w:rsidRPr="003C5B68">
        <w:rPr>
          <w:rFonts w:asciiTheme="majorBidi" w:hAnsiTheme="majorBidi" w:cstheme="majorBidi"/>
          <w:sz w:val="24"/>
          <w:szCs w:val="24"/>
        </w:rPr>
        <w:t>.</w:t>
      </w:r>
      <w:r w:rsidR="00580363">
        <w:rPr>
          <w:rFonts w:asciiTheme="majorBidi" w:hAnsiTheme="majorBidi" w:cstheme="majorBidi"/>
          <w:sz w:val="24"/>
          <w:szCs w:val="24"/>
        </w:rPr>
        <w:t xml:space="preserve"> </w:t>
      </w:r>
      <w:proofErr w:type="spellStart"/>
      <w:r w:rsidR="005172CE" w:rsidRPr="003C5B68">
        <w:rPr>
          <w:rFonts w:asciiTheme="majorBidi" w:hAnsiTheme="majorBidi" w:cstheme="majorBidi"/>
          <w:sz w:val="24"/>
          <w:szCs w:val="24"/>
          <w:lang w:bidi="ar-SA"/>
        </w:rPr>
        <w:t>Halmagyi</w:t>
      </w:r>
      <w:proofErr w:type="spellEnd"/>
      <w:r w:rsidR="005172CE" w:rsidRPr="003C5B68">
        <w:rPr>
          <w:rFonts w:asciiTheme="majorBidi" w:hAnsiTheme="majorBidi" w:cstheme="majorBidi"/>
          <w:sz w:val="24"/>
          <w:szCs w:val="24"/>
          <w:lang w:bidi="ar-SA"/>
        </w:rPr>
        <w:t xml:space="preserve"> and </w:t>
      </w:r>
      <w:proofErr w:type="spellStart"/>
      <w:r w:rsidR="005172CE" w:rsidRPr="003C5B68">
        <w:rPr>
          <w:rFonts w:asciiTheme="majorBidi" w:hAnsiTheme="majorBidi" w:cstheme="majorBidi"/>
          <w:sz w:val="24"/>
          <w:szCs w:val="24"/>
          <w:lang w:bidi="ar-SA"/>
        </w:rPr>
        <w:t>Deliu</w:t>
      </w:r>
      <w:proofErr w:type="spellEnd"/>
      <w:r w:rsidR="005172CE" w:rsidRPr="003C5B68">
        <w:rPr>
          <w:rFonts w:asciiTheme="majorBidi" w:hAnsiTheme="majorBidi" w:cstheme="majorBidi"/>
          <w:sz w:val="24"/>
          <w:szCs w:val="24"/>
          <w:lang w:bidi="ar-SA"/>
        </w:rPr>
        <w:t xml:space="preserve"> (2007)</w:t>
      </w:r>
      <w:r w:rsidR="00977AFB" w:rsidRPr="003C5B68">
        <w:rPr>
          <w:rFonts w:asciiTheme="majorBidi" w:hAnsiTheme="majorBidi" w:cstheme="majorBidi"/>
          <w:sz w:val="24"/>
          <w:szCs w:val="24"/>
          <w:lang w:bidi="ar-SA"/>
        </w:rPr>
        <w:t xml:space="preserve"> used liquid MS medium for encapsulation of </w:t>
      </w:r>
      <w:r w:rsidR="00F35CC2" w:rsidRPr="003C5B68">
        <w:rPr>
          <w:rFonts w:asciiTheme="majorBidi" w:hAnsiTheme="majorBidi" w:cstheme="majorBidi"/>
          <w:i/>
          <w:iCs/>
          <w:sz w:val="24"/>
          <w:szCs w:val="24"/>
          <w:lang w:bidi="ar-SA"/>
        </w:rPr>
        <w:t xml:space="preserve">Dianthus </w:t>
      </w:r>
      <w:proofErr w:type="spellStart"/>
      <w:r w:rsidR="00F55383" w:rsidRPr="003C5B68">
        <w:rPr>
          <w:rFonts w:asciiTheme="majorBidi" w:hAnsiTheme="majorBidi" w:cstheme="majorBidi"/>
          <w:i/>
          <w:iCs/>
          <w:sz w:val="24"/>
          <w:szCs w:val="24"/>
          <w:lang w:bidi="ar-SA"/>
        </w:rPr>
        <w:t>caryophyllus</w:t>
      </w:r>
      <w:proofErr w:type="spellEnd"/>
      <w:r w:rsidR="006F7518">
        <w:rPr>
          <w:rFonts w:asciiTheme="majorBidi" w:hAnsiTheme="majorBidi" w:cstheme="majorBidi"/>
          <w:i/>
          <w:iCs/>
          <w:sz w:val="24"/>
          <w:szCs w:val="24"/>
          <w:lang w:bidi="ar-SA"/>
        </w:rPr>
        <w:t xml:space="preserve"> </w:t>
      </w:r>
      <w:r w:rsidR="00F55383" w:rsidRPr="003C5B68">
        <w:rPr>
          <w:rFonts w:asciiTheme="majorBidi" w:hAnsiTheme="majorBidi" w:cstheme="majorBidi"/>
          <w:sz w:val="24"/>
          <w:szCs w:val="24"/>
          <w:lang w:bidi="ar-SA"/>
        </w:rPr>
        <w:t>L.</w:t>
      </w:r>
      <w:r w:rsidR="000C0D8B" w:rsidRPr="003C5B68">
        <w:rPr>
          <w:rFonts w:asciiTheme="majorBidi" w:hAnsiTheme="majorBidi" w:cstheme="majorBidi"/>
          <w:sz w:val="24"/>
          <w:szCs w:val="24"/>
          <w:lang w:bidi="ar-SA"/>
        </w:rPr>
        <w:t xml:space="preserve"> shoot tips. </w:t>
      </w:r>
      <w:proofErr w:type="spellStart"/>
      <w:r w:rsidR="000C0D8B" w:rsidRPr="003C5B68">
        <w:rPr>
          <w:rFonts w:asciiTheme="majorBidi" w:hAnsiTheme="majorBidi" w:cstheme="majorBidi"/>
          <w:sz w:val="24"/>
          <w:szCs w:val="24"/>
          <w:lang w:bidi="ar-SA"/>
        </w:rPr>
        <w:t>Ganapathi</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r w:rsidR="001A063E" w:rsidRPr="003C5B68">
        <w:rPr>
          <w:rFonts w:asciiTheme="majorBidi" w:hAnsiTheme="majorBidi" w:cstheme="majorBidi"/>
          <w:sz w:val="24"/>
          <w:szCs w:val="24"/>
        </w:rPr>
        <w:t xml:space="preserve"> </w:t>
      </w:r>
      <w:r w:rsidR="000C0D8B" w:rsidRPr="003C5B68">
        <w:rPr>
          <w:rFonts w:asciiTheme="majorBidi" w:hAnsiTheme="majorBidi" w:cstheme="majorBidi"/>
          <w:sz w:val="24"/>
          <w:szCs w:val="24"/>
          <w:lang w:bidi="ar-SA"/>
        </w:rPr>
        <w:t>(2001) reported that among the different media f</w:t>
      </w:r>
      <w:r w:rsidR="00F35CC2" w:rsidRPr="003C5B68">
        <w:rPr>
          <w:rFonts w:asciiTheme="majorBidi" w:hAnsiTheme="majorBidi" w:cstheme="majorBidi"/>
          <w:sz w:val="24"/>
          <w:szCs w:val="24"/>
          <w:lang w:bidi="ar-SA"/>
        </w:rPr>
        <w:t>o</w:t>
      </w:r>
      <w:r w:rsidR="000C0D8B" w:rsidRPr="003C5B68">
        <w:rPr>
          <w:rFonts w:asciiTheme="majorBidi" w:hAnsiTheme="majorBidi" w:cstheme="majorBidi"/>
          <w:sz w:val="24"/>
          <w:szCs w:val="24"/>
          <w:lang w:bidi="ar-SA"/>
        </w:rPr>
        <w:t xml:space="preserve">r somatic embryos encapsulation, </w:t>
      </w:r>
      <w:r w:rsidR="000C0044" w:rsidRPr="003C5B68">
        <w:rPr>
          <w:rFonts w:asciiTheme="majorBidi" w:hAnsiTheme="majorBidi" w:cstheme="majorBidi"/>
          <w:sz w:val="24"/>
          <w:szCs w:val="24"/>
          <w:lang w:bidi="ar-SA"/>
        </w:rPr>
        <w:t xml:space="preserve">the </w:t>
      </w:r>
      <w:r w:rsidR="000C0D8B" w:rsidRPr="003C5B68">
        <w:rPr>
          <w:rFonts w:asciiTheme="majorBidi" w:hAnsiTheme="majorBidi" w:cstheme="majorBidi"/>
          <w:sz w:val="24"/>
          <w:szCs w:val="24"/>
          <w:lang w:bidi="ar-SA"/>
        </w:rPr>
        <w:t>MS medium with sucrose gave the maximum conversion (66%) into plantlets.</w:t>
      </w:r>
      <w:r w:rsidR="007276FB" w:rsidRPr="003C5B68">
        <w:rPr>
          <w:rFonts w:asciiTheme="majorBidi" w:hAnsiTheme="majorBidi" w:cstheme="majorBidi"/>
          <w:sz w:val="24"/>
          <w:szCs w:val="24"/>
          <w:lang w:bidi="ar-SA"/>
        </w:rPr>
        <w:t xml:space="preserve"> Sandoval-</w:t>
      </w:r>
      <w:proofErr w:type="spellStart"/>
      <w:r w:rsidR="007276FB" w:rsidRPr="003C5B68">
        <w:rPr>
          <w:rFonts w:asciiTheme="majorBidi" w:hAnsiTheme="majorBidi" w:cstheme="majorBidi"/>
          <w:sz w:val="24"/>
          <w:szCs w:val="24"/>
          <w:lang w:bidi="ar-SA"/>
        </w:rPr>
        <w:t>Yugar</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r w:rsidR="001A063E" w:rsidRPr="003C5B68">
        <w:rPr>
          <w:rFonts w:asciiTheme="majorBidi" w:hAnsiTheme="majorBidi" w:cstheme="majorBidi"/>
          <w:sz w:val="24"/>
          <w:szCs w:val="24"/>
        </w:rPr>
        <w:t xml:space="preserve"> </w:t>
      </w:r>
      <w:r w:rsidR="007276FB" w:rsidRPr="003C5B68">
        <w:rPr>
          <w:rFonts w:asciiTheme="majorBidi" w:hAnsiTheme="majorBidi" w:cstheme="majorBidi"/>
          <w:sz w:val="24"/>
          <w:szCs w:val="24"/>
          <w:lang w:bidi="ar-SA"/>
        </w:rPr>
        <w:t xml:space="preserve">(2008) stated </w:t>
      </w:r>
      <w:r w:rsidR="007276FB" w:rsidRPr="003C5B68">
        <w:rPr>
          <w:rFonts w:asciiTheme="majorBidi" w:hAnsiTheme="majorBidi" w:cstheme="majorBidi"/>
          <w:sz w:val="24"/>
          <w:szCs w:val="24"/>
        </w:rPr>
        <w:t>that encapsulated and non-encapsulated micro</w:t>
      </w:r>
      <w:r w:rsidR="00580363">
        <w:rPr>
          <w:rFonts w:asciiTheme="majorBidi" w:hAnsiTheme="majorBidi" w:cstheme="majorBidi"/>
          <w:sz w:val="24"/>
          <w:szCs w:val="24"/>
        </w:rPr>
        <w:t xml:space="preserve"> </w:t>
      </w:r>
      <w:r w:rsidR="007276FB" w:rsidRPr="003C5B68">
        <w:rPr>
          <w:rFonts w:asciiTheme="majorBidi" w:hAnsiTheme="majorBidi" w:cstheme="majorBidi"/>
          <w:sz w:val="24"/>
          <w:szCs w:val="24"/>
        </w:rPr>
        <w:t xml:space="preserve">shoots exhibited 100% germination in response to MS culture medium. The complex composition of endosperm makes difficult its reconstitution and the use of standard culture medium in the capsule may increase the conversion of the </w:t>
      </w:r>
      <w:proofErr w:type="spellStart"/>
      <w:r w:rsidR="007276FB" w:rsidRPr="003C5B68">
        <w:rPr>
          <w:rFonts w:asciiTheme="majorBidi" w:hAnsiTheme="majorBidi" w:cstheme="majorBidi"/>
          <w:sz w:val="24"/>
          <w:szCs w:val="24"/>
        </w:rPr>
        <w:t>propagule</w:t>
      </w:r>
      <w:proofErr w:type="spellEnd"/>
      <w:r w:rsidR="007276FB" w:rsidRPr="003C5B68">
        <w:rPr>
          <w:rFonts w:asciiTheme="majorBidi" w:hAnsiTheme="majorBidi" w:cstheme="majorBidi"/>
          <w:sz w:val="24"/>
          <w:szCs w:val="24"/>
        </w:rPr>
        <w:t xml:space="preserve"> to plantlets (</w:t>
      </w:r>
      <w:r w:rsidR="000C5828" w:rsidRPr="003C5B68">
        <w:rPr>
          <w:rFonts w:asciiTheme="majorBidi" w:hAnsiTheme="majorBidi" w:cstheme="majorBidi"/>
          <w:sz w:val="24"/>
          <w:szCs w:val="24"/>
        </w:rPr>
        <w:t>Sandoval-</w:t>
      </w:r>
      <w:proofErr w:type="spellStart"/>
      <w:r w:rsidR="000C5828" w:rsidRPr="003C5B68">
        <w:rPr>
          <w:rFonts w:asciiTheme="majorBidi" w:hAnsiTheme="majorBidi" w:cstheme="majorBidi"/>
          <w:sz w:val="24"/>
          <w:szCs w:val="24"/>
        </w:rPr>
        <w:t>Yugar</w:t>
      </w:r>
      <w:proofErr w:type="spellEnd"/>
      <w:r w:rsidR="006F7518">
        <w:rPr>
          <w:rFonts w:asciiTheme="majorBidi" w:hAnsiTheme="majorBidi" w:cstheme="majorBidi"/>
          <w:sz w:val="24"/>
          <w:szCs w:val="24"/>
        </w:rPr>
        <w:t xml:space="preserve"> </w:t>
      </w:r>
      <w:r w:rsidR="001A063E" w:rsidRPr="008F36C5">
        <w:rPr>
          <w:rFonts w:asciiTheme="majorBidi" w:hAnsiTheme="majorBidi" w:cstheme="majorBidi"/>
          <w:sz w:val="24"/>
          <w:szCs w:val="24"/>
        </w:rPr>
        <w:t>et al.</w:t>
      </w:r>
      <w:r w:rsidR="006F7518">
        <w:rPr>
          <w:rFonts w:asciiTheme="majorBidi" w:hAnsiTheme="majorBidi" w:cstheme="majorBidi"/>
          <w:sz w:val="24"/>
          <w:szCs w:val="24"/>
        </w:rPr>
        <w:t xml:space="preserve"> </w:t>
      </w:r>
      <w:r w:rsidR="000C5828" w:rsidRPr="003C5B68">
        <w:rPr>
          <w:rFonts w:asciiTheme="majorBidi" w:hAnsiTheme="majorBidi" w:cstheme="majorBidi"/>
          <w:sz w:val="24"/>
          <w:szCs w:val="24"/>
        </w:rPr>
        <w:t>2008</w:t>
      </w:r>
      <w:r w:rsidR="007276FB" w:rsidRPr="003C5B68">
        <w:rPr>
          <w:rFonts w:asciiTheme="majorBidi" w:hAnsiTheme="majorBidi" w:cstheme="majorBidi"/>
          <w:sz w:val="24"/>
          <w:szCs w:val="24"/>
        </w:rPr>
        <w:t xml:space="preserve">). This is in agreement with our results, where the addition of MS </w:t>
      </w:r>
      <w:r w:rsidR="000C0044" w:rsidRPr="003C5B68">
        <w:rPr>
          <w:rFonts w:asciiTheme="majorBidi" w:hAnsiTheme="majorBidi" w:cstheme="majorBidi"/>
          <w:sz w:val="24"/>
          <w:szCs w:val="24"/>
        </w:rPr>
        <w:t xml:space="preserve">increased the micro shoots conversion </w:t>
      </w:r>
      <w:r w:rsidR="007276FB" w:rsidRPr="003C5B68">
        <w:rPr>
          <w:rFonts w:asciiTheme="majorBidi" w:hAnsiTheme="majorBidi" w:cstheme="majorBidi"/>
          <w:sz w:val="24"/>
          <w:szCs w:val="24"/>
        </w:rPr>
        <w:t xml:space="preserve">in the alginate matrix together with </w:t>
      </w:r>
      <w:r w:rsidR="000C5828" w:rsidRPr="00A45214">
        <w:rPr>
          <w:rFonts w:asciiTheme="majorBidi" w:hAnsiTheme="majorBidi" w:cstheme="majorBidi"/>
          <w:sz w:val="24"/>
          <w:szCs w:val="24"/>
        </w:rPr>
        <w:t xml:space="preserve">2 mg l </w:t>
      </w:r>
      <w:r w:rsidR="000C5828" w:rsidRPr="003C5B68">
        <w:rPr>
          <w:rFonts w:asciiTheme="majorBidi" w:hAnsiTheme="majorBidi" w:cstheme="majorBidi"/>
          <w:sz w:val="24"/>
          <w:szCs w:val="24"/>
          <w:vertAlign w:val="superscript"/>
        </w:rPr>
        <w:t xml:space="preserve">-1 </w:t>
      </w:r>
      <w:r w:rsidR="000C5828" w:rsidRPr="003C5B68">
        <w:rPr>
          <w:rFonts w:asciiTheme="majorBidi" w:hAnsiTheme="majorBidi" w:cstheme="majorBidi"/>
          <w:sz w:val="24"/>
          <w:szCs w:val="24"/>
        </w:rPr>
        <w:t xml:space="preserve">BAP and 2 mg l </w:t>
      </w:r>
      <w:r w:rsidR="000C5828" w:rsidRPr="003C5B68">
        <w:rPr>
          <w:rFonts w:asciiTheme="majorBidi" w:hAnsiTheme="majorBidi" w:cstheme="majorBidi"/>
          <w:sz w:val="24"/>
          <w:szCs w:val="24"/>
          <w:vertAlign w:val="superscript"/>
        </w:rPr>
        <w:t xml:space="preserve">-1 </w:t>
      </w:r>
      <w:r w:rsidR="000C5828" w:rsidRPr="003C5B68">
        <w:rPr>
          <w:rFonts w:asciiTheme="majorBidi" w:hAnsiTheme="majorBidi" w:cstheme="majorBidi"/>
          <w:sz w:val="24"/>
          <w:szCs w:val="24"/>
        </w:rPr>
        <w:t>IAA</w:t>
      </w:r>
      <w:r w:rsidR="00580363">
        <w:rPr>
          <w:rFonts w:asciiTheme="majorBidi" w:hAnsiTheme="majorBidi" w:cstheme="majorBidi"/>
          <w:sz w:val="24"/>
          <w:szCs w:val="24"/>
        </w:rPr>
        <w:t xml:space="preserve"> </w:t>
      </w:r>
      <w:r w:rsidR="007276FB" w:rsidRPr="003C5B68">
        <w:rPr>
          <w:rFonts w:asciiTheme="majorBidi" w:hAnsiTheme="majorBidi" w:cstheme="majorBidi"/>
          <w:sz w:val="24"/>
          <w:szCs w:val="24"/>
        </w:rPr>
        <w:t>treatment</w:t>
      </w:r>
      <w:r w:rsidR="000C0044" w:rsidRPr="003C5B68">
        <w:rPr>
          <w:rFonts w:asciiTheme="majorBidi" w:hAnsiTheme="majorBidi" w:cstheme="majorBidi"/>
          <w:sz w:val="24"/>
          <w:szCs w:val="24"/>
        </w:rPr>
        <w:t xml:space="preserve">. </w:t>
      </w:r>
      <w:proofErr w:type="spellStart"/>
      <w:r w:rsidR="00670EEE" w:rsidRPr="003C5B68">
        <w:rPr>
          <w:rFonts w:asciiTheme="majorBidi" w:hAnsiTheme="majorBidi" w:cstheme="majorBidi"/>
          <w:sz w:val="24"/>
          <w:szCs w:val="24"/>
        </w:rPr>
        <w:t>Anand</w:t>
      </w:r>
      <w:proofErr w:type="spellEnd"/>
      <w:r w:rsidR="00670EEE" w:rsidRPr="003C5B68">
        <w:rPr>
          <w:rFonts w:asciiTheme="majorBidi" w:hAnsiTheme="majorBidi" w:cstheme="majorBidi"/>
          <w:sz w:val="24"/>
          <w:szCs w:val="24"/>
        </w:rPr>
        <w:t xml:space="preserve"> and </w:t>
      </w:r>
      <w:proofErr w:type="spellStart"/>
      <w:r w:rsidR="00670EEE" w:rsidRPr="003C5B68">
        <w:rPr>
          <w:rFonts w:asciiTheme="majorBidi" w:hAnsiTheme="majorBidi" w:cstheme="majorBidi"/>
          <w:sz w:val="24"/>
          <w:szCs w:val="24"/>
        </w:rPr>
        <w:t>Bansal</w:t>
      </w:r>
      <w:proofErr w:type="spellEnd"/>
      <w:r w:rsidR="00670EEE" w:rsidRPr="003C5B68">
        <w:rPr>
          <w:rFonts w:asciiTheme="majorBidi" w:hAnsiTheme="majorBidi" w:cstheme="majorBidi"/>
          <w:sz w:val="24"/>
          <w:szCs w:val="24"/>
        </w:rPr>
        <w:t xml:space="preserve"> (2002) believe that the presence of nutrients and plant growth regulators (PGRs) in the encapsulation matrix is more important than in the inoculation medium.</w:t>
      </w:r>
    </w:p>
    <w:p w:rsidR="00484D0C" w:rsidRDefault="00FD2106" w:rsidP="009C4AE1">
      <w:pPr>
        <w:autoSpaceDE w:val="0"/>
        <w:autoSpaceDN w:val="0"/>
        <w:adjustRightInd w:val="0"/>
        <w:rPr>
          <w:rFonts w:asciiTheme="majorBidi" w:hAnsiTheme="majorBidi" w:cstheme="majorBidi"/>
          <w:sz w:val="24"/>
          <w:szCs w:val="24"/>
        </w:rPr>
      </w:pPr>
      <w:r w:rsidRPr="003C5B68">
        <w:rPr>
          <w:rFonts w:asciiTheme="majorBidi" w:hAnsiTheme="majorBidi" w:cstheme="majorBidi"/>
          <w:sz w:val="24"/>
          <w:szCs w:val="24"/>
        </w:rPr>
        <w:t xml:space="preserve">The alginate matrix supplemented with </w:t>
      </w:r>
      <w:r w:rsidR="000D0643" w:rsidRPr="003C5B68">
        <w:rPr>
          <w:rFonts w:asciiTheme="majorBidi" w:hAnsiTheme="majorBidi" w:cstheme="majorBidi"/>
          <w:sz w:val="24"/>
          <w:szCs w:val="24"/>
        </w:rPr>
        <w:t>PGRs</w:t>
      </w:r>
      <w:r w:rsidRPr="003C5B68">
        <w:rPr>
          <w:rFonts w:asciiTheme="majorBidi" w:hAnsiTheme="majorBidi" w:cstheme="majorBidi"/>
          <w:sz w:val="24"/>
          <w:szCs w:val="24"/>
        </w:rPr>
        <w:t xml:space="preserve"> serves as an artificial </w:t>
      </w:r>
      <w:r w:rsidR="002C7B62" w:rsidRPr="00A45214">
        <w:rPr>
          <w:rFonts w:asciiTheme="majorBidi" w:hAnsiTheme="majorBidi" w:cstheme="majorBidi"/>
          <w:sz w:val="24"/>
          <w:szCs w:val="24"/>
        </w:rPr>
        <w:t>endosperm;</w:t>
      </w:r>
      <w:r w:rsidRPr="003C5B68">
        <w:rPr>
          <w:rFonts w:asciiTheme="majorBidi" w:hAnsiTheme="majorBidi" w:cstheme="majorBidi"/>
          <w:sz w:val="24"/>
          <w:szCs w:val="24"/>
        </w:rPr>
        <w:t xml:space="preserve"> thereby </w:t>
      </w:r>
      <w:r w:rsidR="00D11BB9" w:rsidRPr="003C5B68">
        <w:rPr>
          <w:rFonts w:asciiTheme="majorBidi" w:hAnsiTheme="majorBidi" w:cstheme="majorBidi"/>
          <w:sz w:val="24"/>
          <w:szCs w:val="24"/>
        </w:rPr>
        <w:t xml:space="preserve">the </w:t>
      </w:r>
      <w:r w:rsidRPr="003C5B68">
        <w:rPr>
          <w:rFonts w:asciiTheme="majorBidi" w:hAnsiTheme="majorBidi" w:cstheme="majorBidi"/>
          <w:sz w:val="24"/>
          <w:szCs w:val="24"/>
        </w:rPr>
        <w:t xml:space="preserve">nutrients </w:t>
      </w:r>
      <w:r w:rsidR="00D11BB9" w:rsidRPr="003C5B68">
        <w:rPr>
          <w:rFonts w:asciiTheme="majorBidi" w:hAnsiTheme="majorBidi" w:cstheme="majorBidi"/>
          <w:sz w:val="24"/>
          <w:szCs w:val="24"/>
        </w:rPr>
        <w:t xml:space="preserve">are supplied </w:t>
      </w:r>
      <w:r w:rsidRPr="003C5B68">
        <w:rPr>
          <w:rFonts w:asciiTheme="majorBidi" w:hAnsiTheme="majorBidi" w:cstheme="majorBidi"/>
          <w:sz w:val="24"/>
          <w:szCs w:val="24"/>
        </w:rPr>
        <w:t>to the encapsulated explants for plant regrowth (</w:t>
      </w:r>
      <w:proofErr w:type="spellStart"/>
      <w:r w:rsidRPr="003C5B68">
        <w:rPr>
          <w:rFonts w:asciiTheme="majorBidi" w:hAnsiTheme="majorBidi" w:cstheme="majorBidi"/>
          <w:sz w:val="24"/>
          <w:szCs w:val="24"/>
        </w:rPr>
        <w:t>Bapat</w:t>
      </w:r>
      <w:proofErr w:type="spellEnd"/>
      <w:r w:rsidRPr="003C5B68">
        <w:rPr>
          <w:rFonts w:asciiTheme="majorBidi" w:hAnsiTheme="majorBidi" w:cstheme="majorBidi"/>
          <w:sz w:val="24"/>
          <w:szCs w:val="24"/>
        </w:rPr>
        <w:t xml:space="preserve"> and </w:t>
      </w:r>
      <w:proofErr w:type="spellStart"/>
      <w:r w:rsidRPr="003C5B68">
        <w:rPr>
          <w:rFonts w:asciiTheme="majorBidi" w:hAnsiTheme="majorBidi" w:cstheme="majorBidi"/>
          <w:sz w:val="24"/>
          <w:szCs w:val="24"/>
        </w:rPr>
        <w:t>Rao</w:t>
      </w:r>
      <w:proofErr w:type="spellEnd"/>
      <w:r w:rsidRPr="003C5B68">
        <w:rPr>
          <w:rFonts w:asciiTheme="majorBidi" w:hAnsiTheme="majorBidi" w:cstheme="majorBidi"/>
          <w:sz w:val="24"/>
          <w:szCs w:val="24"/>
        </w:rPr>
        <w:t xml:space="preserve"> 1992;</w:t>
      </w:r>
      <w:r w:rsidR="006F2808">
        <w:rPr>
          <w:rFonts w:asciiTheme="majorBidi" w:hAnsiTheme="majorBidi" w:cstheme="majorBidi"/>
          <w:sz w:val="24"/>
          <w:szCs w:val="24"/>
        </w:rPr>
        <w:t xml:space="preserve"> </w:t>
      </w:r>
      <w:r w:rsidRPr="003C5B68">
        <w:rPr>
          <w:rFonts w:asciiTheme="majorBidi" w:hAnsiTheme="majorBidi" w:cstheme="majorBidi"/>
          <w:sz w:val="24"/>
          <w:szCs w:val="24"/>
        </w:rPr>
        <w:t xml:space="preserve">Nieves </w:t>
      </w:r>
      <w:r w:rsidR="001A063E" w:rsidRPr="008F36C5">
        <w:rPr>
          <w:rFonts w:asciiTheme="majorBidi" w:hAnsiTheme="majorBidi" w:cstheme="majorBidi"/>
          <w:sz w:val="24"/>
          <w:szCs w:val="24"/>
        </w:rPr>
        <w:t>et al</w:t>
      </w:r>
      <w:r w:rsidR="006F7518">
        <w:rPr>
          <w:rFonts w:asciiTheme="majorBidi" w:hAnsiTheme="majorBidi" w:cstheme="majorBidi"/>
          <w:sz w:val="24"/>
          <w:szCs w:val="24"/>
        </w:rPr>
        <w:t>.</w:t>
      </w:r>
      <w:r w:rsidR="001A063E" w:rsidRPr="00A45214">
        <w:rPr>
          <w:rFonts w:asciiTheme="majorBidi" w:hAnsiTheme="majorBidi" w:cstheme="majorBidi"/>
          <w:sz w:val="24"/>
          <w:szCs w:val="24"/>
        </w:rPr>
        <w:t xml:space="preserve"> </w:t>
      </w:r>
      <w:r w:rsidRPr="003C5B68">
        <w:rPr>
          <w:rFonts w:asciiTheme="majorBidi" w:hAnsiTheme="majorBidi" w:cstheme="majorBidi"/>
          <w:sz w:val="24"/>
          <w:szCs w:val="24"/>
        </w:rPr>
        <w:t>1998).</w:t>
      </w:r>
    </w:p>
    <w:p w:rsidR="00484D0C" w:rsidRDefault="00095F1E" w:rsidP="009C4AE1">
      <w:pPr>
        <w:autoSpaceDE w:val="0"/>
        <w:autoSpaceDN w:val="0"/>
        <w:adjustRightInd w:val="0"/>
        <w:rPr>
          <w:rFonts w:asciiTheme="majorBidi" w:hAnsiTheme="majorBidi" w:cstheme="majorBidi"/>
          <w:i/>
          <w:iCs/>
          <w:sz w:val="24"/>
          <w:szCs w:val="24"/>
        </w:rPr>
      </w:pPr>
      <w:r w:rsidRPr="00A45214">
        <w:rPr>
          <w:rFonts w:asciiTheme="majorBidi" w:hAnsiTheme="majorBidi" w:cstheme="majorBidi"/>
          <w:i/>
          <w:iCs/>
          <w:sz w:val="24"/>
          <w:szCs w:val="24"/>
        </w:rPr>
        <w:t>Effects of different rooting medium</w:t>
      </w:r>
    </w:p>
    <w:p w:rsidR="00484D0C" w:rsidRDefault="00D03CA2" w:rsidP="009C4AE1">
      <w:pPr>
        <w:autoSpaceDE w:val="0"/>
        <w:autoSpaceDN w:val="0"/>
        <w:adjustRightInd w:val="0"/>
        <w:ind w:firstLine="720"/>
        <w:rPr>
          <w:rFonts w:asciiTheme="majorBidi" w:hAnsiTheme="majorBidi" w:cstheme="majorBidi"/>
          <w:sz w:val="24"/>
          <w:szCs w:val="24"/>
          <w:lang w:bidi="ar-SA"/>
        </w:rPr>
      </w:pPr>
      <w:r w:rsidRPr="003C5B68">
        <w:rPr>
          <w:rFonts w:asciiTheme="majorBidi" w:hAnsiTheme="majorBidi" w:cstheme="majorBidi"/>
          <w:sz w:val="24"/>
          <w:szCs w:val="24"/>
        </w:rPr>
        <w:lastRenderedPageBreak/>
        <w:t>After 4 weeks</w:t>
      </w:r>
      <w:r w:rsidR="00580363">
        <w:rPr>
          <w:rFonts w:asciiTheme="majorBidi" w:hAnsiTheme="majorBidi" w:cstheme="majorBidi"/>
          <w:sz w:val="24"/>
          <w:szCs w:val="24"/>
        </w:rPr>
        <w:t xml:space="preserve"> </w:t>
      </w:r>
      <w:r w:rsidR="00D36998" w:rsidRPr="003C5B68">
        <w:rPr>
          <w:rFonts w:asciiTheme="majorBidi" w:hAnsiTheme="majorBidi" w:cstheme="majorBidi"/>
          <w:sz w:val="24"/>
          <w:szCs w:val="24"/>
        </w:rPr>
        <w:t>the en</w:t>
      </w:r>
      <w:r w:rsidR="00F272D7" w:rsidRPr="003C5B68">
        <w:rPr>
          <w:rFonts w:asciiTheme="majorBidi" w:hAnsiTheme="majorBidi" w:cstheme="majorBidi"/>
          <w:sz w:val="24"/>
          <w:szCs w:val="24"/>
        </w:rPr>
        <w:t>capsulated shoot</w:t>
      </w:r>
      <w:r w:rsidR="00457447" w:rsidRPr="003C5B68">
        <w:rPr>
          <w:rFonts w:asciiTheme="majorBidi" w:hAnsiTheme="majorBidi" w:cstheme="majorBidi"/>
          <w:sz w:val="24"/>
          <w:szCs w:val="24"/>
        </w:rPr>
        <w:t xml:space="preserve"> t</w:t>
      </w:r>
      <w:r w:rsidR="00F272D7" w:rsidRPr="003C5B68">
        <w:rPr>
          <w:rFonts w:asciiTheme="majorBidi" w:hAnsiTheme="majorBidi" w:cstheme="majorBidi"/>
          <w:sz w:val="24"/>
          <w:szCs w:val="24"/>
        </w:rPr>
        <w:t>i</w:t>
      </w:r>
      <w:r w:rsidR="00457447" w:rsidRPr="003C5B68">
        <w:rPr>
          <w:rFonts w:asciiTheme="majorBidi" w:hAnsiTheme="majorBidi" w:cstheme="majorBidi"/>
          <w:sz w:val="24"/>
          <w:szCs w:val="24"/>
        </w:rPr>
        <w:t xml:space="preserve">ps </w:t>
      </w:r>
      <w:r w:rsidR="00DD65C3" w:rsidRPr="003C5B68">
        <w:rPr>
          <w:rFonts w:asciiTheme="majorBidi" w:hAnsiTheme="majorBidi" w:cstheme="majorBidi"/>
          <w:sz w:val="24"/>
          <w:szCs w:val="24"/>
        </w:rPr>
        <w:t>produced</w:t>
      </w:r>
      <w:r w:rsidR="00EF6F8D" w:rsidRPr="003C5B68">
        <w:rPr>
          <w:rFonts w:asciiTheme="majorBidi" w:hAnsiTheme="majorBidi" w:cstheme="majorBidi"/>
          <w:sz w:val="24"/>
          <w:szCs w:val="24"/>
        </w:rPr>
        <w:t xml:space="preserve"> low root, then </w:t>
      </w:r>
      <w:r w:rsidR="00DD65C3" w:rsidRPr="003C5B68">
        <w:rPr>
          <w:rFonts w:asciiTheme="majorBidi" w:hAnsiTheme="majorBidi" w:cstheme="majorBidi"/>
          <w:sz w:val="24"/>
          <w:szCs w:val="24"/>
        </w:rPr>
        <w:t xml:space="preserve">for </w:t>
      </w:r>
      <w:r w:rsidR="00D36998" w:rsidRPr="003C5B68">
        <w:rPr>
          <w:rFonts w:asciiTheme="majorBidi" w:hAnsiTheme="majorBidi" w:cstheme="majorBidi"/>
          <w:sz w:val="24"/>
          <w:szCs w:val="24"/>
        </w:rPr>
        <w:t xml:space="preserve">increased </w:t>
      </w:r>
      <w:r w:rsidR="00DD65C3" w:rsidRPr="003C5B68">
        <w:rPr>
          <w:rFonts w:asciiTheme="majorBidi" w:hAnsiTheme="majorBidi" w:cstheme="majorBidi"/>
          <w:sz w:val="24"/>
          <w:szCs w:val="24"/>
        </w:rPr>
        <w:t>root induction</w:t>
      </w:r>
      <w:r w:rsidR="006D3DCF" w:rsidRPr="003C5B68">
        <w:rPr>
          <w:rFonts w:asciiTheme="majorBidi" w:hAnsiTheme="majorBidi" w:cstheme="majorBidi"/>
          <w:sz w:val="24"/>
          <w:szCs w:val="24"/>
        </w:rPr>
        <w:t xml:space="preserve">, </w:t>
      </w:r>
      <w:r w:rsidR="00D36998" w:rsidRPr="003C5B68">
        <w:rPr>
          <w:rFonts w:asciiTheme="majorBidi" w:hAnsiTheme="majorBidi" w:cstheme="majorBidi"/>
          <w:sz w:val="24"/>
          <w:szCs w:val="24"/>
        </w:rPr>
        <w:t xml:space="preserve">the </w:t>
      </w:r>
      <w:r w:rsidR="00FA20E8" w:rsidRPr="003C5B68">
        <w:rPr>
          <w:rFonts w:asciiTheme="majorBidi" w:hAnsiTheme="majorBidi" w:cstheme="majorBidi"/>
          <w:sz w:val="24"/>
          <w:szCs w:val="24"/>
          <w:lang w:bidi="ar-SA"/>
        </w:rPr>
        <w:t xml:space="preserve">proliferated </w:t>
      </w:r>
      <w:r w:rsidR="005352C8" w:rsidRPr="003C5B68">
        <w:rPr>
          <w:rFonts w:asciiTheme="majorBidi" w:hAnsiTheme="majorBidi" w:cstheme="majorBidi"/>
          <w:sz w:val="24"/>
          <w:szCs w:val="24"/>
          <w:lang w:bidi="ar-SA"/>
        </w:rPr>
        <w:t xml:space="preserve">rapeseed </w:t>
      </w:r>
      <w:r w:rsidR="00FA20E8" w:rsidRPr="003C5B68">
        <w:rPr>
          <w:rFonts w:asciiTheme="majorBidi" w:hAnsiTheme="majorBidi" w:cstheme="majorBidi"/>
          <w:sz w:val="24"/>
          <w:szCs w:val="24"/>
          <w:lang w:bidi="ar-SA"/>
        </w:rPr>
        <w:t xml:space="preserve">shoots were placed </w:t>
      </w:r>
      <w:r w:rsidR="00730880" w:rsidRPr="003C5B68">
        <w:rPr>
          <w:rFonts w:asciiTheme="majorBidi" w:hAnsiTheme="majorBidi" w:cstheme="majorBidi"/>
          <w:sz w:val="24"/>
          <w:szCs w:val="24"/>
          <w:lang w:bidi="ar-SA"/>
        </w:rPr>
        <w:t>in liquid</w:t>
      </w:r>
      <w:r w:rsidR="00FA20E8" w:rsidRPr="003C5B68">
        <w:rPr>
          <w:rFonts w:asciiTheme="majorBidi" w:hAnsiTheme="majorBidi" w:cstheme="majorBidi"/>
          <w:sz w:val="24"/>
          <w:szCs w:val="24"/>
          <w:lang w:bidi="ar-SA"/>
        </w:rPr>
        <w:t xml:space="preserve"> MS medium supplemented with</w:t>
      </w:r>
      <w:r w:rsidR="00730880" w:rsidRPr="003C5B68">
        <w:rPr>
          <w:rFonts w:asciiTheme="majorBidi" w:hAnsiTheme="majorBidi" w:cstheme="majorBidi"/>
          <w:sz w:val="24"/>
          <w:szCs w:val="24"/>
          <w:lang w:bidi="ar-SA"/>
        </w:rPr>
        <w:t xml:space="preserve"> three different concentration of IAA</w:t>
      </w:r>
      <w:r w:rsidR="00E84715" w:rsidRPr="003C5B68">
        <w:rPr>
          <w:rFonts w:asciiTheme="majorBidi" w:hAnsiTheme="majorBidi" w:cstheme="majorBidi"/>
          <w:sz w:val="24"/>
          <w:szCs w:val="24"/>
        </w:rPr>
        <w:t xml:space="preserve">. </w:t>
      </w:r>
      <w:r w:rsidR="0037002F" w:rsidRPr="003C5B68">
        <w:rPr>
          <w:rFonts w:asciiTheme="majorBidi" w:hAnsiTheme="majorBidi" w:cstheme="majorBidi"/>
          <w:sz w:val="24"/>
          <w:szCs w:val="24"/>
        </w:rPr>
        <w:t>The</w:t>
      </w:r>
      <w:r w:rsidR="00580363">
        <w:rPr>
          <w:rFonts w:asciiTheme="majorBidi" w:hAnsiTheme="majorBidi" w:cstheme="majorBidi"/>
          <w:sz w:val="24"/>
          <w:szCs w:val="24"/>
        </w:rPr>
        <w:t xml:space="preserve"> </w:t>
      </w:r>
      <w:r w:rsidR="00E1584B" w:rsidRPr="003C5B68">
        <w:rPr>
          <w:rFonts w:asciiTheme="majorBidi" w:hAnsiTheme="majorBidi" w:cstheme="majorBidi"/>
          <w:sz w:val="24"/>
          <w:szCs w:val="24"/>
        </w:rPr>
        <w:t xml:space="preserve">root formation </w:t>
      </w:r>
      <w:r w:rsidR="00D36998" w:rsidRPr="003C5B68">
        <w:rPr>
          <w:rFonts w:asciiTheme="majorBidi" w:hAnsiTheme="majorBidi" w:cstheme="majorBidi"/>
          <w:sz w:val="24"/>
          <w:szCs w:val="24"/>
        </w:rPr>
        <w:t xml:space="preserve">was </w:t>
      </w:r>
      <w:r w:rsidR="00E1584B" w:rsidRPr="003C5B68">
        <w:rPr>
          <w:rFonts w:asciiTheme="majorBidi" w:hAnsiTheme="majorBidi" w:cstheme="majorBidi"/>
          <w:sz w:val="24"/>
          <w:szCs w:val="24"/>
        </w:rPr>
        <w:t>increased</w:t>
      </w:r>
      <w:r w:rsidR="00580363">
        <w:rPr>
          <w:rFonts w:asciiTheme="majorBidi" w:hAnsiTheme="majorBidi" w:cstheme="majorBidi"/>
          <w:sz w:val="24"/>
          <w:szCs w:val="24"/>
        </w:rPr>
        <w:t xml:space="preserve"> </w:t>
      </w:r>
      <w:r w:rsidR="0037002F" w:rsidRPr="003C5B68">
        <w:rPr>
          <w:rFonts w:asciiTheme="majorBidi" w:hAnsiTheme="majorBidi" w:cstheme="majorBidi"/>
          <w:sz w:val="24"/>
          <w:szCs w:val="24"/>
        </w:rPr>
        <w:t>following two 2 weeks.</w:t>
      </w:r>
      <w:r w:rsidR="00580363">
        <w:rPr>
          <w:rFonts w:asciiTheme="majorBidi" w:hAnsiTheme="majorBidi" w:cstheme="majorBidi"/>
          <w:sz w:val="24"/>
          <w:szCs w:val="24"/>
        </w:rPr>
        <w:t xml:space="preserve"> </w:t>
      </w:r>
      <w:r w:rsidR="0037002F" w:rsidRPr="003C5B68">
        <w:rPr>
          <w:rFonts w:asciiTheme="majorBidi" w:hAnsiTheme="majorBidi" w:cstheme="majorBidi"/>
          <w:sz w:val="24"/>
          <w:szCs w:val="24"/>
        </w:rPr>
        <w:t xml:space="preserve">The analysis </w:t>
      </w:r>
      <w:r w:rsidR="00F336B6" w:rsidRPr="003C5B68">
        <w:rPr>
          <w:rFonts w:asciiTheme="majorBidi" w:hAnsiTheme="majorBidi" w:cstheme="majorBidi"/>
          <w:sz w:val="24"/>
          <w:szCs w:val="24"/>
        </w:rPr>
        <w:t>illustrate</w:t>
      </w:r>
      <w:r w:rsidR="00880175" w:rsidRPr="003C5B68">
        <w:rPr>
          <w:rFonts w:asciiTheme="majorBidi" w:hAnsiTheme="majorBidi" w:cstheme="majorBidi"/>
          <w:sz w:val="24"/>
          <w:szCs w:val="24"/>
        </w:rPr>
        <w:t xml:space="preserve">d </w:t>
      </w:r>
      <w:r w:rsidR="00CC0DE3" w:rsidRPr="003C5B68">
        <w:rPr>
          <w:rFonts w:asciiTheme="majorBidi" w:hAnsiTheme="majorBidi" w:cstheme="majorBidi"/>
          <w:sz w:val="24"/>
          <w:szCs w:val="24"/>
        </w:rPr>
        <w:t xml:space="preserve">that, </w:t>
      </w:r>
      <w:r w:rsidR="0037002F" w:rsidRPr="003C5B68">
        <w:rPr>
          <w:rFonts w:asciiTheme="majorBidi" w:hAnsiTheme="majorBidi" w:cstheme="majorBidi"/>
          <w:sz w:val="24"/>
          <w:szCs w:val="24"/>
        </w:rPr>
        <w:t xml:space="preserve">there </w:t>
      </w:r>
      <w:r w:rsidR="00880175" w:rsidRPr="003C5B68">
        <w:rPr>
          <w:rFonts w:asciiTheme="majorBidi" w:hAnsiTheme="majorBidi" w:cstheme="majorBidi"/>
          <w:sz w:val="24"/>
          <w:szCs w:val="24"/>
        </w:rPr>
        <w:t>was</w:t>
      </w:r>
      <w:r w:rsidR="00CC0DE3" w:rsidRPr="003C5B68">
        <w:rPr>
          <w:rFonts w:asciiTheme="majorBidi" w:hAnsiTheme="majorBidi" w:cstheme="majorBidi"/>
          <w:sz w:val="24"/>
          <w:szCs w:val="24"/>
        </w:rPr>
        <w:t xml:space="preserve"> significant </w:t>
      </w:r>
      <w:r w:rsidR="00FB42DE" w:rsidRPr="003C5B68">
        <w:rPr>
          <w:rFonts w:asciiTheme="majorBidi" w:hAnsiTheme="majorBidi" w:cstheme="majorBidi"/>
          <w:sz w:val="24"/>
          <w:szCs w:val="24"/>
        </w:rPr>
        <w:t>difference</w:t>
      </w:r>
      <w:r w:rsidR="00580363">
        <w:rPr>
          <w:rFonts w:asciiTheme="majorBidi" w:hAnsiTheme="majorBidi" w:cstheme="majorBidi"/>
          <w:sz w:val="24"/>
          <w:szCs w:val="24"/>
        </w:rPr>
        <w:t xml:space="preserve"> </w:t>
      </w:r>
      <w:r w:rsidR="0037002F" w:rsidRPr="003C5B68">
        <w:rPr>
          <w:rFonts w:asciiTheme="majorBidi" w:hAnsiTheme="majorBidi" w:cstheme="majorBidi"/>
          <w:sz w:val="24"/>
          <w:szCs w:val="24"/>
        </w:rPr>
        <w:t xml:space="preserve">among several concentrations of IAA </w:t>
      </w:r>
      <w:r w:rsidR="00502FAC" w:rsidRPr="003C5B68">
        <w:rPr>
          <w:rFonts w:asciiTheme="majorBidi" w:hAnsiTheme="majorBidi" w:cstheme="majorBidi"/>
          <w:sz w:val="24"/>
          <w:szCs w:val="24"/>
        </w:rPr>
        <w:t xml:space="preserve">and </w:t>
      </w:r>
      <w:r w:rsidR="007E6AA5" w:rsidRPr="003C5B68">
        <w:rPr>
          <w:rFonts w:asciiTheme="majorBidi" w:hAnsiTheme="majorBidi" w:cstheme="majorBidi"/>
          <w:sz w:val="24"/>
          <w:szCs w:val="24"/>
        </w:rPr>
        <w:t xml:space="preserve">the </w:t>
      </w:r>
      <w:r w:rsidR="00502FAC" w:rsidRPr="003C5B68">
        <w:rPr>
          <w:rFonts w:asciiTheme="majorBidi" w:hAnsiTheme="majorBidi" w:cstheme="majorBidi"/>
          <w:sz w:val="24"/>
          <w:szCs w:val="24"/>
        </w:rPr>
        <w:t xml:space="preserve">maximum root formation </w:t>
      </w:r>
      <w:r w:rsidR="007E6AA5" w:rsidRPr="003C5B68">
        <w:rPr>
          <w:rFonts w:asciiTheme="majorBidi" w:hAnsiTheme="majorBidi" w:cstheme="majorBidi"/>
          <w:sz w:val="24"/>
          <w:szCs w:val="24"/>
        </w:rPr>
        <w:t xml:space="preserve">was </w:t>
      </w:r>
      <w:r w:rsidR="00502FAC" w:rsidRPr="003C5B68">
        <w:rPr>
          <w:rFonts w:asciiTheme="majorBidi" w:hAnsiTheme="majorBidi" w:cstheme="majorBidi"/>
          <w:sz w:val="24"/>
          <w:szCs w:val="24"/>
        </w:rPr>
        <w:t>obtained from</w:t>
      </w:r>
      <w:r w:rsidR="005E474D" w:rsidRPr="003C5B68">
        <w:rPr>
          <w:rFonts w:asciiTheme="majorBidi" w:hAnsiTheme="majorBidi" w:cstheme="majorBidi"/>
          <w:sz w:val="24"/>
          <w:szCs w:val="24"/>
        </w:rPr>
        <w:t>3</w:t>
      </w:r>
      <w:r w:rsidR="002B53D2" w:rsidRPr="003C5B68">
        <w:rPr>
          <w:rFonts w:asciiTheme="majorBidi" w:hAnsiTheme="majorBidi" w:cstheme="majorBidi"/>
          <w:sz w:val="24"/>
          <w:szCs w:val="24"/>
        </w:rPr>
        <w:t>% calcium chloride</w:t>
      </w:r>
      <w:r w:rsidR="005E474D" w:rsidRPr="003C5B68">
        <w:rPr>
          <w:rFonts w:asciiTheme="majorBidi" w:hAnsiTheme="majorBidi" w:cstheme="majorBidi"/>
          <w:sz w:val="24"/>
          <w:szCs w:val="24"/>
        </w:rPr>
        <w:t xml:space="preserve"> (90%</w:t>
      </w:r>
      <w:proofErr w:type="gramStart"/>
      <w:r w:rsidR="005E474D" w:rsidRPr="003C5B68">
        <w:rPr>
          <w:rFonts w:asciiTheme="majorBidi" w:hAnsiTheme="majorBidi" w:cstheme="majorBidi"/>
          <w:sz w:val="24"/>
          <w:szCs w:val="24"/>
        </w:rPr>
        <w:t>)</w:t>
      </w:r>
      <w:r w:rsidR="00871029" w:rsidRPr="003C5B68">
        <w:rPr>
          <w:rFonts w:asciiTheme="majorBidi" w:hAnsiTheme="majorBidi" w:cstheme="majorBidi"/>
          <w:sz w:val="24"/>
          <w:szCs w:val="24"/>
        </w:rPr>
        <w:t>(</w:t>
      </w:r>
      <w:proofErr w:type="gramEnd"/>
      <w:r w:rsidR="00871029" w:rsidRPr="003C5B68">
        <w:rPr>
          <w:rFonts w:asciiTheme="majorBidi" w:hAnsiTheme="majorBidi" w:cstheme="majorBidi"/>
          <w:sz w:val="24"/>
          <w:szCs w:val="24"/>
        </w:rPr>
        <w:t>Table 4).</w:t>
      </w:r>
      <w:r w:rsidR="000E5F36" w:rsidRPr="003C5B68">
        <w:rPr>
          <w:rFonts w:asciiTheme="majorBidi" w:hAnsiTheme="majorBidi" w:cstheme="majorBidi"/>
          <w:sz w:val="24"/>
          <w:szCs w:val="24"/>
          <w:lang w:bidi="ar-SA"/>
        </w:rPr>
        <w:t>In many species an appropriate root induction treatment should be integrated with the encapsulation protocols</w:t>
      </w:r>
      <w:r w:rsidR="00F336B6" w:rsidRPr="003C5B68">
        <w:rPr>
          <w:rFonts w:asciiTheme="majorBidi" w:hAnsiTheme="majorBidi" w:cstheme="majorBidi"/>
          <w:sz w:val="24"/>
          <w:szCs w:val="24"/>
          <w:lang w:bidi="ar-SA"/>
        </w:rPr>
        <w:t xml:space="preserve"> (Hasan and Takagi</w:t>
      </w:r>
      <w:r w:rsidR="001A063E" w:rsidRPr="003C5B68">
        <w:rPr>
          <w:rFonts w:asciiTheme="majorBidi" w:hAnsiTheme="majorBidi" w:cstheme="majorBidi"/>
          <w:sz w:val="24"/>
          <w:szCs w:val="24"/>
          <w:lang w:bidi="ar-SA"/>
        </w:rPr>
        <w:t>,</w:t>
      </w:r>
      <w:r w:rsidR="00F439F9" w:rsidRPr="003C5B68">
        <w:rPr>
          <w:rFonts w:asciiTheme="majorBidi" w:hAnsiTheme="majorBidi" w:cstheme="majorBidi"/>
          <w:sz w:val="24"/>
          <w:szCs w:val="24"/>
          <w:lang w:bidi="ar-SA"/>
        </w:rPr>
        <w:t xml:space="preserve"> 1995; </w:t>
      </w:r>
      <w:r w:rsidR="00F336B6" w:rsidRPr="003C5B68">
        <w:rPr>
          <w:rFonts w:asciiTheme="majorBidi" w:hAnsiTheme="majorBidi" w:cstheme="majorBidi"/>
          <w:sz w:val="24"/>
          <w:szCs w:val="24"/>
          <w:lang w:bidi="ar-SA"/>
        </w:rPr>
        <w:t xml:space="preserve">Maruyama </w:t>
      </w:r>
      <w:r w:rsidR="001A063E" w:rsidRPr="00E970BB">
        <w:rPr>
          <w:rFonts w:asciiTheme="majorBidi" w:hAnsiTheme="majorBidi" w:cstheme="majorBidi"/>
          <w:i/>
          <w:iCs/>
          <w:sz w:val="24"/>
          <w:szCs w:val="24"/>
        </w:rPr>
        <w:t>et al</w:t>
      </w:r>
      <w:r w:rsidR="006F7518">
        <w:rPr>
          <w:rFonts w:asciiTheme="majorBidi" w:hAnsiTheme="majorBidi" w:cstheme="majorBidi"/>
          <w:sz w:val="24"/>
          <w:szCs w:val="24"/>
        </w:rPr>
        <w:t>.</w:t>
      </w:r>
      <w:r w:rsidR="001A063E" w:rsidRPr="003C5B68">
        <w:rPr>
          <w:rFonts w:asciiTheme="majorBidi" w:hAnsiTheme="majorBidi" w:cstheme="majorBidi"/>
          <w:sz w:val="24"/>
          <w:szCs w:val="24"/>
        </w:rPr>
        <w:t xml:space="preserve"> </w:t>
      </w:r>
      <w:r w:rsidR="00F336B6" w:rsidRPr="003C5B68">
        <w:rPr>
          <w:rFonts w:asciiTheme="majorBidi" w:hAnsiTheme="majorBidi" w:cstheme="majorBidi"/>
          <w:sz w:val="24"/>
          <w:szCs w:val="24"/>
          <w:lang w:bidi="ar-SA"/>
        </w:rPr>
        <w:t>1997)</w:t>
      </w:r>
      <w:r w:rsidR="000E5F36" w:rsidRPr="003C5B68">
        <w:rPr>
          <w:rFonts w:asciiTheme="majorBidi" w:hAnsiTheme="majorBidi" w:cstheme="majorBidi"/>
          <w:sz w:val="24"/>
          <w:szCs w:val="24"/>
          <w:lang w:bidi="ar-SA"/>
        </w:rPr>
        <w:t xml:space="preserve">. </w:t>
      </w:r>
      <w:proofErr w:type="spellStart"/>
      <w:r w:rsidR="00943BB3" w:rsidRPr="003C5B68">
        <w:rPr>
          <w:rFonts w:asciiTheme="majorBidi" w:hAnsiTheme="majorBidi" w:cstheme="majorBidi"/>
          <w:sz w:val="24"/>
          <w:szCs w:val="24"/>
          <w:lang w:bidi="ar-SA"/>
        </w:rPr>
        <w:t>Gangopadhyay</w:t>
      </w:r>
      <w:proofErr w:type="spellEnd"/>
      <w:r w:rsidR="006F7518">
        <w:rPr>
          <w:rFonts w:asciiTheme="majorBidi" w:hAnsiTheme="majorBidi" w:cstheme="majorBidi"/>
          <w:sz w:val="24"/>
          <w:szCs w:val="24"/>
          <w:lang w:bidi="ar-SA"/>
        </w:rPr>
        <w:t xml:space="preserve"> </w:t>
      </w:r>
      <w:r w:rsidR="001A063E" w:rsidRPr="008F36C5">
        <w:rPr>
          <w:rFonts w:asciiTheme="majorBidi" w:hAnsiTheme="majorBidi" w:cstheme="majorBidi"/>
          <w:sz w:val="24"/>
          <w:szCs w:val="24"/>
        </w:rPr>
        <w:t>et al.</w:t>
      </w:r>
      <w:r w:rsidR="001A063E" w:rsidRPr="003C5B68">
        <w:rPr>
          <w:rFonts w:asciiTheme="majorBidi" w:hAnsiTheme="majorBidi" w:cstheme="majorBidi"/>
          <w:sz w:val="24"/>
          <w:szCs w:val="24"/>
        </w:rPr>
        <w:t xml:space="preserve"> </w:t>
      </w:r>
      <w:r w:rsidR="00943BB3" w:rsidRPr="003C5B68">
        <w:rPr>
          <w:rFonts w:asciiTheme="majorBidi" w:hAnsiTheme="majorBidi" w:cstheme="majorBidi"/>
          <w:sz w:val="24"/>
          <w:szCs w:val="24"/>
          <w:lang w:bidi="ar-SA"/>
        </w:rPr>
        <w:t>(2005)</w:t>
      </w:r>
      <w:r w:rsidR="007E6AA5" w:rsidRPr="003C5B68">
        <w:rPr>
          <w:rFonts w:asciiTheme="majorBidi" w:hAnsiTheme="majorBidi" w:cstheme="majorBidi"/>
          <w:sz w:val="24"/>
          <w:szCs w:val="24"/>
          <w:lang w:bidi="ar-SA"/>
        </w:rPr>
        <w:t>,</w:t>
      </w:r>
      <w:r w:rsidR="008F36C5">
        <w:rPr>
          <w:rFonts w:asciiTheme="majorBidi" w:hAnsiTheme="majorBidi" w:cstheme="majorBidi"/>
          <w:sz w:val="24"/>
          <w:szCs w:val="24"/>
          <w:lang w:bidi="ar-SA"/>
        </w:rPr>
        <w:t xml:space="preserve"> </w:t>
      </w:r>
      <w:r w:rsidR="00F030A1" w:rsidRPr="003C5B68">
        <w:rPr>
          <w:rFonts w:asciiTheme="majorBidi" w:hAnsiTheme="majorBidi" w:cstheme="majorBidi"/>
          <w:sz w:val="24"/>
          <w:szCs w:val="24"/>
          <w:lang w:bidi="ar-SA"/>
        </w:rPr>
        <w:t>used</w:t>
      </w:r>
      <w:r w:rsidR="00943BB3" w:rsidRPr="003C5B68">
        <w:rPr>
          <w:rFonts w:asciiTheme="majorBidi" w:hAnsiTheme="majorBidi" w:cstheme="majorBidi"/>
          <w:sz w:val="24"/>
          <w:szCs w:val="24"/>
          <w:lang w:bidi="ar-SA"/>
        </w:rPr>
        <w:t xml:space="preserve"> liquid</w:t>
      </w:r>
      <w:r w:rsidR="00580363">
        <w:rPr>
          <w:rFonts w:asciiTheme="majorBidi" w:hAnsiTheme="majorBidi" w:cstheme="majorBidi"/>
          <w:sz w:val="24"/>
          <w:szCs w:val="24"/>
          <w:lang w:bidi="ar-SA"/>
        </w:rPr>
        <w:t xml:space="preserve"> </w:t>
      </w:r>
      <w:r w:rsidR="00383A6F" w:rsidRPr="003C5B68">
        <w:rPr>
          <w:rFonts w:asciiTheme="majorBidi" w:hAnsiTheme="majorBidi" w:cstheme="majorBidi"/>
          <w:sz w:val="24"/>
          <w:szCs w:val="24"/>
          <w:lang w:bidi="ar-SA"/>
        </w:rPr>
        <w:t xml:space="preserve">MS </w:t>
      </w:r>
      <w:r w:rsidR="00943BB3" w:rsidRPr="003C5B68">
        <w:rPr>
          <w:rFonts w:asciiTheme="majorBidi" w:hAnsiTheme="majorBidi" w:cstheme="majorBidi"/>
          <w:sz w:val="24"/>
          <w:szCs w:val="24"/>
          <w:lang w:bidi="ar-SA"/>
        </w:rPr>
        <w:t xml:space="preserve">medium </w:t>
      </w:r>
      <w:r w:rsidR="00B07386" w:rsidRPr="003C5B68">
        <w:rPr>
          <w:rFonts w:asciiTheme="majorBidi" w:hAnsiTheme="majorBidi" w:cstheme="majorBidi"/>
          <w:sz w:val="24"/>
          <w:szCs w:val="24"/>
          <w:lang w:bidi="ar-SA"/>
        </w:rPr>
        <w:t xml:space="preserve">supplemented </w:t>
      </w:r>
      <w:r w:rsidR="00943BB3" w:rsidRPr="003C5B68">
        <w:rPr>
          <w:rFonts w:asciiTheme="majorBidi" w:hAnsiTheme="majorBidi" w:cstheme="majorBidi"/>
          <w:sz w:val="24"/>
          <w:szCs w:val="24"/>
          <w:lang w:bidi="ar-SA"/>
        </w:rPr>
        <w:t xml:space="preserve">with 0.01 </w:t>
      </w:r>
      <w:proofErr w:type="spellStart"/>
      <w:r w:rsidR="00943BB3" w:rsidRPr="003C5B68">
        <w:rPr>
          <w:rFonts w:asciiTheme="majorBidi" w:hAnsiTheme="majorBidi" w:cstheme="majorBidi"/>
          <w:sz w:val="24"/>
          <w:szCs w:val="24"/>
          <w:lang w:bidi="ar-SA"/>
        </w:rPr>
        <w:t>mM</w:t>
      </w:r>
      <w:proofErr w:type="spellEnd"/>
      <w:r w:rsidR="00943BB3" w:rsidRPr="003C5B68">
        <w:rPr>
          <w:rFonts w:asciiTheme="majorBidi" w:hAnsiTheme="majorBidi" w:cstheme="majorBidi"/>
          <w:sz w:val="24"/>
          <w:szCs w:val="24"/>
          <w:lang w:bidi="ar-SA"/>
        </w:rPr>
        <w:t xml:space="preserve"> IBA (indole-3-butyric acid) and 0.002 </w:t>
      </w:r>
      <w:proofErr w:type="spellStart"/>
      <w:r w:rsidR="00943BB3" w:rsidRPr="003C5B68">
        <w:rPr>
          <w:rFonts w:asciiTheme="majorBidi" w:hAnsiTheme="majorBidi" w:cstheme="majorBidi"/>
          <w:sz w:val="24"/>
          <w:szCs w:val="24"/>
          <w:lang w:bidi="ar-SA"/>
        </w:rPr>
        <w:t>mM</w:t>
      </w:r>
      <w:proofErr w:type="spellEnd"/>
      <w:r w:rsidR="00580363">
        <w:rPr>
          <w:rFonts w:asciiTheme="majorBidi" w:hAnsiTheme="majorBidi" w:cstheme="majorBidi"/>
          <w:sz w:val="24"/>
          <w:szCs w:val="24"/>
          <w:lang w:bidi="ar-SA"/>
        </w:rPr>
        <w:t xml:space="preserve"> </w:t>
      </w:r>
      <w:r w:rsidR="00AC074E" w:rsidRPr="003C5B68">
        <w:rPr>
          <w:rFonts w:asciiTheme="majorBidi" w:hAnsiTheme="majorBidi" w:cstheme="majorBidi"/>
          <w:sz w:val="24"/>
          <w:szCs w:val="24"/>
          <w:lang w:bidi="ar-SA"/>
        </w:rPr>
        <w:t>kinetin</w:t>
      </w:r>
      <w:r w:rsidR="007E6AA5" w:rsidRPr="003C5B68">
        <w:rPr>
          <w:rFonts w:asciiTheme="majorBidi" w:hAnsiTheme="majorBidi" w:cstheme="majorBidi"/>
          <w:sz w:val="24"/>
          <w:szCs w:val="24"/>
          <w:lang w:bidi="ar-SA"/>
        </w:rPr>
        <w:t xml:space="preserve"> for root induction in encapsulated pineapple shoot tips</w:t>
      </w:r>
      <w:r w:rsidR="00943BB3" w:rsidRPr="003C5B68">
        <w:rPr>
          <w:rFonts w:asciiTheme="majorBidi" w:hAnsiTheme="majorBidi" w:cstheme="majorBidi"/>
          <w:sz w:val="24"/>
          <w:szCs w:val="24"/>
          <w:lang w:bidi="ar-SA"/>
        </w:rPr>
        <w:t>.</w:t>
      </w:r>
    </w:p>
    <w:p w:rsidR="00484D0C" w:rsidRDefault="005F7B61" w:rsidP="009C4AE1">
      <w:pPr>
        <w:pStyle w:val="BodyText"/>
        <w:spacing w:after="60" w:line="480" w:lineRule="auto"/>
        <w:ind w:firstLine="0"/>
        <w:rPr>
          <w:rFonts w:asciiTheme="majorBidi" w:eastAsiaTheme="minorHAnsi" w:hAnsiTheme="majorBidi" w:cstheme="majorBidi"/>
          <w:sz w:val="24"/>
          <w:szCs w:val="24"/>
          <w:lang w:val="en-US" w:eastAsia="en-US"/>
        </w:rPr>
      </w:pPr>
      <w:r w:rsidRPr="003C5B68">
        <w:rPr>
          <w:rFonts w:asciiTheme="majorBidi" w:eastAsiaTheme="minorHAnsi" w:hAnsiTheme="majorBidi" w:cstheme="majorBidi"/>
          <w:sz w:val="24"/>
          <w:szCs w:val="24"/>
          <w:lang w:val="en-US" w:eastAsia="en-US"/>
        </w:rPr>
        <w:t xml:space="preserve">To best of our knowledge, this is first report for encapsulation of </w:t>
      </w:r>
      <w:r w:rsidRPr="003C5B68">
        <w:rPr>
          <w:rFonts w:asciiTheme="majorBidi" w:eastAsiaTheme="minorHAnsi" w:hAnsiTheme="majorBidi" w:cstheme="majorBidi"/>
          <w:i/>
          <w:iCs/>
          <w:sz w:val="24"/>
          <w:szCs w:val="24"/>
          <w:lang w:val="en-US" w:eastAsia="en-US"/>
        </w:rPr>
        <w:t xml:space="preserve">Brassica </w:t>
      </w:r>
      <w:proofErr w:type="spellStart"/>
      <w:r w:rsidRPr="003C5B68">
        <w:rPr>
          <w:rFonts w:asciiTheme="majorBidi" w:eastAsiaTheme="minorHAnsi" w:hAnsiTheme="majorBidi" w:cstheme="majorBidi"/>
          <w:i/>
          <w:iCs/>
          <w:sz w:val="24"/>
          <w:szCs w:val="24"/>
          <w:lang w:val="en-US" w:eastAsia="en-US"/>
        </w:rPr>
        <w:t>napus</w:t>
      </w:r>
      <w:proofErr w:type="spellEnd"/>
      <w:r w:rsidRPr="003C5B68">
        <w:rPr>
          <w:rFonts w:asciiTheme="majorBidi" w:eastAsiaTheme="minorHAnsi" w:hAnsiTheme="majorBidi" w:cstheme="majorBidi"/>
          <w:sz w:val="24"/>
          <w:szCs w:val="24"/>
          <w:lang w:val="en-US" w:eastAsia="en-US"/>
        </w:rPr>
        <w:t xml:space="preserve"> L shoot tips into an alginate matrix followed by successful in vitro regeneration. The results obtained could be considered as a prerequisite for exploring the encapsulation technique for development of a procedure for production of synthetic seeds from non-embryonic explants in Rapeseed.</w:t>
      </w:r>
    </w:p>
    <w:p w:rsidR="00484D0C" w:rsidRDefault="005E0A2D" w:rsidP="009C4AE1">
      <w:pPr>
        <w:pStyle w:val="BodyText"/>
        <w:spacing w:after="60" w:line="480" w:lineRule="auto"/>
        <w:ind w:firstLine="79"/>
        <w:rPr>
          <w:rFonts w:asciiTheme="majorBidi" w:eastAsiaTheme="minorHAnsi" w:hAnsiTheme="majorBidi" w:cstheme="majorBidi"/>
          <w:sz w:val="24"/>
          <w:szCs w:val="24"/>
          <w:lang w:val="en-US" w:eastAsia="en-US"/>
        </w:rPr>
      </w:pPr>
      <w:r w:rsidRPr="004D424D">
        <w:rPr>
          <w:rFonts w:asciiTheme="majorBidi" w:eastAsiaTheme="minorHAnsi" w:hAnsiTheme="majorBidi" w:cstheme="majorBidi"/>
          <w:i/>
          <w:iCs/>
          <w:sz w:val="24"/>
          <w:szCs w:val="24"/>
          <w:lang w:val="en-US" w:eastAsia="en-US"/>
        </w:rPr>
        <w:t>Somatic embryos encapsulation</w:t>
      </w:r>
      <w:r>
        <w:rPr>
          <w:rFonts w:asciiTheme="majorBidi" w:eastAsiaTheme="minorHAnsi" w:hAnsiTheme="majorBidi" w:cstheme="majorBidi"/>
          <w:sz w:val="24"/>
          <w:szCs w:val="24"/>
          <w:lang w:val="en-US" w:eastAsia="en-US"/>
        </w:rPr>
        <w:t>:</w:t>
      </w:r>
    </w:p>
    <w:p w:rsidR="00D803B4" w:rsidRDefault="005E0A2D" w:rsidP="00D803B4">
      <w:pPr>
        <w:spacing w:after="100"/>
        <w:ind w:firstLine="360"/>
      </w:pPr>
      <w:r w:rsidRPr="005E0A2D">
        <w:rPr>
          <w:rFonts w:asciiTheme="majorBidi" w:hAnsiTheme="majorBidi" w:cstheme="majorBidi"/>
          <w:sz w:val="24"/>
          <w:szCs w:val="24"/>
        </w:rPr>
        <w:t xml:space="preserve">The effect of the length of storage periods at 4 </w:t>
      </w:r>
      <w:proofErr w:type="spellStart"/>
      <w:r w:rsidRPr="003C5B68">
        <w:rPr>
          <w:rFonts w:asciiTheme="majorBidi" w:hAnsiTheme="majorBidi" w:cstheme="majorBidi"/>
          <w:sz w:val="24"/>
          <w:szCs w:val="24"/>
          <w:vertAlign w:val="superscript"/>
        </w:rPr>
        <w:t>o</w:t>
      </w:r>
      <w:r w:rsidRPr="005E0A2D">
        <w:rPr>
          <w:rFonts w:asciiTheme="majorBidi" w:hAnsiTheme="majorBidi" w:cstheme="majorBidi"/>
          <w:sz w:val="24"/>
          <w:szCs w:val="24"/>
        </w:rPr>
        <w:t>C</w:t>
      </w:r>
      <w:proofErr w:type="spellEnd"/>
      <w:r w:rsidRPr="005E0A2D">
        <w:rPr>
          <w:rFonts w:asciiTheme="majorBidi" w:hAnsiTheme="majorBidi" w:cstheme="majorBidi"/>
          <w:sz w:val="24"/>
          <w:szCs w:val="24"/>
        </w:rPr>
        <w:t xml:space="preserve"> on subsequent development of ESEs was evaluated. Immediately after storage the ESEs were cultured in gelled MS medium. Encapsulation and subsequent plant recovery are illustrated in Figure </w:t>
      </w:r>
      <w:r w:rsidR="00B02859">
        <w:rPr>
          <w:rFonts w:asciiTheme="majorBidi" w:hAnsiTheme="majorBidi" w:cstheme="majorBidi"/>
          <w:sz w:val="24"/>
          <w:szCs w:val="24"/>
        </w:rPr>
        <w:t>3</w:t>
      </w:r>
      <w:r w:rsidRPr="005E0A2D">
        <w:rPr>
          <w:rFonts w:asciiTheme="majorBidi" w:hAnsiTheme="majorBidi" w:cstheme="majorBidi"/>
          <w:sz w:val="24"/>
          <w:szCs w:val="24"/>
        </w:rPr>
        <w:t xml:space="preserve">.  During the germination process, the encapsulated, ivory-colored embryos turned green. After 7-9 d, roots emerged through the alginate coat. Formation of secondary embryos was observed at the root pole.  The effect of storage period (temperature 4º C,   RH 70%) on formation of root and shoot of encapsulated somatic embryos was significant (Figure </w:t>
      </w:r>
      <w:r w:rsidR="00B02859">
        <w:rPr>
          <w:rFonts w:asciiTheme="majorBidi" w:hAnsiTheme="majorBidi" w:cstheme="majorBidi"/>
          <w:sz w:val="24"/>
          <w:szCs w:val="24"/>
        </w:rPr>
        <w:t>4</w:t>
      </w:r>
      <w:r w:rsidRPr="005E0A2D">
        <w:rPr>
          <w:rFonts w:asciiTheme="majorBidi" w:hAnsiTheme="majorBidi" w:cstheme="majorBidi"/>
          <w:sz w:val="24"/>
          <w:szCs w:val="24"/>
        </w:rPr>
        <w:t>). Analysis of variance of data showed that 40 days of cold storage of encapsulated somatic embryos caused significant reduction in plantlet recovery (P =</w:t>
      </w:r>
      <w:r w:rsidR="008F36C5">
        <w:rPr>
          <w:rFonts w:asciiTheme="majorBidi" w:hAnsiTheme="majorBidi" w:cstheme="majorBidi"/>
          <w:sz w:val="24"/>
          <w:szCs w:val="24"/>
        </w:rPr>
        <w:t xml:space="preserve"> </w:t>
      </w:r>
      <w:r w:rsidRPr="005E0A2D">
        <w:rPr>
          <w:rFonts w:asciiTheme="majorBidi" w:hAnsiTheme="majorBidi" w:cstheme="majorBidi"/>
          <w:sz w:val="24"/>
          <w:szCs w:val="24"/>
        </w:rPr>
        <w:t xml:space="preserve">0.05). The highest percentage of germination of the ESEs was obtained after storage for 10 days (55.5%) whereas the lowest (11.1%) was observed after 40 days of cold storage (Table </w:t>
      </w:r>
      <w:r w:rsidR="00B02859">
        <w:rPr>
          <w:rFonts w:asciiTheme="majorBidi" w:hAnsiTheme="majorBidi" w:cstheme="majorBidi"/>
          <w:sz w:val="24"/>
          <w:szCs w:val="24"/>
        </w:rPr>
        <w:t>5</w:t>
      </w:r>
      <w:r w:rsidRPr="005E0A2D">
        <w:rPr>
          <w:rFonts w:asciiTheme="majorBidi" w:hAnsiTheme="majorBidi" w:cstheme="majorBidi"/>
          <w:sz w:val="24"/>
          <w:szCs w:val="24"/>
        </w:rPr>
        <w:t xml:space="preserve">). The growth rate (shoot length mm) of encapsulated somatic embryos varied over time.  It was very slow during the </w:t>
      </w:r>
      <w:r w:rsidRPr="005E0A2D">
        <w:rPr>
          <w:rFonts w:asciiTheme="majorBidi" w:hAnsiTheme="majorBidi" w:cstheme="majorBidi"/>
          <w:sz w:val="24"/>
          <w:szCs w:val="24"/>
        </w:rPr>
        <w:lastRenderedPageBreak/>
        <w:t xml:space="preserve">first week, then, it considerably increased, and then it decreased 12 days after culture initiation (Figure </w:t>
      </w:r>
      <w:r w:rsidR="00B02859">
        <w:rPr>
          <w:rFonts w:asciiTheme="majorBidi" w:hAnsiTheme="majorBidi" w:cstheme="majorBidi"/>
          <w:sz w:val="24"/>
          <w:szCs w:val="24"/>
        </w:rPr>
        <w:t>5</w:t>
      </w:r>
      <w:r w:rsidRPr="005E0A2D">
        <w:rPr>
          <w:rFonts w:asciiTheme="majorBidi" w:hAnsiTheme="majorBidi" w:cstheme="majorBidi"/>
          <w:sz w:val="24"/>
          <w:szCs w:val="24"/>
        </w:rPr>
        <w:t xml:space="preserve">). Root formation varied from 72.4% to 52.8%, the highest percentage of root formation was obtained after 10 days, and the lowest was recorded for 30 and 40 days of storage. The 30 and 40 days cold storage also resulted in drastic reduction of the root development and conversion levels (Table </w:t>
      </w:r>
      <w:r w:rsidR="00B02859">
        <w:rPr>
          <w:rFonts w:asciiTheme="majorBidi" w:hAnsiTheme="majorBidi" w:cstheme="majorBidi"/>
          <w:sz w:val="24"/>
          <w:szCs w:val="24"/>
        </w:rPr>
        <w:t>6</w:t>
      </w:r>
      <w:r w:rsidRPr="005E0A2D">
        <w:rPr>
          <w:rFonts w:asciiTheme="majorBidi" w:hAnsiTheme="majorBidi" w:cstheme="majorBidi"/>
          <w:sz w:val="24"/>
          <w:szCs w:val="24"/>
        </w:rPr>
        <w:t>).</w:t>
      </w:r>
      <w:r w:rsidRPr="006F1475">
        <w:rPr>
          <w:rFonts w:ascii="Times New Roman" w:eastAsia="Times New Roman" w:hAnsi="Times New Roman" w:cs="Times New Roman"/>
          <w:sz w:val="24"/>
          <w:szCs w:val="24"/>
        </w:rPr>
        <w:t xml:space="preserve">The regeneration data from the experiment with encapsulated somatic embryos in rapeseed were similar to the results obtained with </w:t>
      </w:r>
      <w:r w:rsidRPr="006F1475">
        <w:rPr>
          <w:rFonts w:ascii="Times New Roman" w:eastAsia="Times New Roman" w:hAnsi="Times New Roman" w:cs="Times New Roman"/>
          <w:i/>
          <w:iCs/>
          <w:sz w:val="24"/>
          <w:szCs w:val="24"/>
        </w:rPr>
        <w:t xml:space="preserve">Citrus </w:t>
      </w:r>
      <w:proofErr w:type="spellStart"/>
      <w:r w:rsidRPr="006F1475">
        <w:rPr>
          <w:rFonts w:ascii="Times New Roman" w:eastAsia="Times New Roman" w:hAnsi="Times New Roman" w:cs="Times New Roman"/>
          <w:i/>
          <w:iCs/>
          <w:color w:val="000000"/>
          <w:sz w:val="24"/>
          <w:szCs w:val="24"/>
        </w:rPr>
        <w:t>reticulata</w:t>
      </w:r>
      <w:proofErr w:type="spellEnd"/>
      <w:r w:rsidRPr="006F1475">
        <w:rPr>
          <w:rFonts w:ascii="Times New Roman" w:eastAsia="Times New Roman" w:hAnsi="Times New Roman" w:cs="Times New Roman"/>
          <w:color w:val="000000"/>
          <w:sz w:val="24"/>
          <w:szCs w:val="24"/>
        </w:rPr>
        <w:t xml:space="preserve"> by </w:t>
      </w:r>
      <w:proofErr w:type="spellStart"/>
      <w:r w:rsidRPr="006F1475">
        <w:rPr>
          <w:rFonts w:ascii="Times New Roman" w:eastAsia="Times New Roman" w:hAnsi="Times New Roman" w:cs="Times New Roman"/>
          <w:color w:val="000000"/>
          <w:sz w:val="24"/>
          <w:szCs w:val="24"/>
        </w:rPr>
        <w:t>Antonietta</w:t>
      </w:r>
      <w:proofErr w:type="spellEnd"/>
      <w:r w:rsidR="006F7518">
        <w:rPr>
          <w:rFonts w:ascii="Times New Roman" w:eastAsia="Times New Roman" w:hAnsi="Times New Roman" w:cs="Times New Roman"/>
          <w:color w:val="000000"/>
          <w:sz w:val="24"/>
          <w:szCs w:val="24"/>
        </w:rPr>
        <w:t xml:space="preserve"> </w:t>
      </w:r>
      <w:r w:rsidRPr="008F36C5">
        <w:rPr>
          <w:rFonts w:ascii="Times New Roman" w:eastAsia="Times New Roman" w:hAnsi="Times New Roman" w:cs="Times New Roman"/>
          <w:sz w:val="24"/>
          <w:szCs w:val="24"/>
        </w:rPr>
        <w:t>et al.</w:t>
      </w:r>
      <w:r w:rsidRPr="006F1475">
        <w:rPr>
          <w:rFonts w:ascii="Times New Roman" w:eastAsia="Times New Roman" w:hAnsi="Times New Roman" w:cs="Times New Roman"/>
          <w:sz w:val="24"/>
          <w:szCs w:val="24"/>
        </w:rPr>
        <w:t xml:space="preserve"> (2007). </w:t>
      </w:r>
      <w:r w:rsidRPr="006F1475">
        <w:rPr>
          <w:rFonts w:ascii="Times New Roman" w:eastAsia="Times New Roman" w:hAnsi="Times New Roman" w:cs="Times New Roman"/>
          <w:color w:val="000000"/>
          <w:sz w:val="24"/>
          <w:szCs w:val="24"/>
        </w:rPr>
        <w:t xml:space="preserve">Similarly, the conversion frequency of encapsulated nodal segments of </w:t>
      </w:r>
      <w:proofErr w:type="spellStart"/>
      <w:r w:rsidRPr="006F1475">
        <w:rPr>
          <w:rFonts w:ascii="Times New Roman" w:eastAsia="Times New Roman" w:hAnsi="Times New Roman" w:cs="Times New Roman"/>
          <w:i/>
          <w:iCs/>
          <w:color w:val="000000"/>
          <w:sz w:val="24"/>
          <w:szCs w:val="24"/>
        </w:rPr>
        <w:t>Punica</w:t>
      </w:r>
      <w:proofErr w:type="spellEnd"/>
      <w:r w:rsidR="008F36C5">
        <w:rPr>
          <w:rFonts w:ascii="Times New Roman" w:eastAsia="Times New Roman" w:hAnsi="Times New Roman" w:cs="Times New Roman"/>
          <w:i/>
          <w:iCs/>
          <w:color w:val="000000"/>
          <w:sz w:val="24"/>
          <w:szCs w:val="24"/>
        </w:rPr>
        <w:t xml:space="preserve"> </w:t>
      </w:r>
      <w:proofErr w:type="spellStart"/>
      <w:r w:rsidRPr="006F1475">
        <w:rPr>
          <w:rFonts w:ascii="Times New Roman" w:eastAsia="Times New Roman" w:hAnsi="Times New Roman" w:cs="Times New Roman"/>
          <w:i/>
          <w:iCs/>
          <w:color w:val="000000"/>
          <w:sz w:val="24"/>
          <w:szCs w:val="24"/>
        </w:rPr>
        <w:t>granatum</w:t>
      </w:r>
      <w:proofErr w:type="spellEnd"/>
      <w:r w:rsidRPr="006F1475">
        <w:rPr>
          <w:rFonts w:ascii="Times New Roman" w:eastAsia="Times New Roman" w:hAnsi="Times New Roman" w:cs="Times New Roman"/>
          <w:color w:val="000000"/>
          <w:sz w:val="24"/>
          <w:szCs w:val="24"/>
        </w:rPr>
        <w:t xml:space="preserve"> also declined markedly following storage at low temperature (</w:t>
      </w:r>
      <w:proofErr w:type="spellStart"/>
      <w:r w:rsidRPr="006F1475">
        <w:rPr>
          <w:rFonts w:ascii="Times New Roman" w:eastAsia="Times New Roman" w:hAnsi="Times New Roman" w:cs="Times New Roman"/>
          <w:color w:val="000000"/>
          <w:sz w:val="24"/>
          <w:szCs w:val="24"/>
        </w:rPr>
        <w:t>Naik</w:t>
      </w:r>
      <w:proofErr w:type="spellEnd"/>
      <w:r w:rsidRPr="006F1475">
        <w:rPr>
          <w:rFonts w:ascii="Times New Roman" w:eastAsia="Times New Roman" w:hAnsi="Times New Roman" w:cs="Times New Roman"/>
          <w:color w:val="000000"/>
          <w:sz w:val="24"/>
          <w:szCs w:val="24"/>
        </w:rPr>
        <w:t xml:space="preserve"> and Chand 2006). It seems that 10 days cold storage kept the ESEs quiescent and contributed to a better maturation and accumulation of reserve compounds like storage proteins and carbohydrates in the growing points resulting</w:t>
      </w:r>
      <w:r w:rsidRPr="006F1475">
        <w:rPr>
          <w:rFonts w:ascii="Times New Roman" w:eastAsia="Times New Roman" w:hAnsi="Times New Roman" w:cs="Times New Roman"/>
          <w:sz w:val="24"/>
          <w:szCs w:val="24"/>
        </w:rPr>
        <w:t xml:space="preserve"> in improvement of the </w:t>
      </w:r>
      <w:r w:rsidRPr="006F1475">
        <w:rPr>
          <w:rFonts w:ascii="Times New Roman" w:eastAsia="Times New Roman" w:hAnsi="Times New Roman" w:cs="Times New Roman"/>
          <w:color w:val="000000"/>
          <w:sz w:val="24"/>
          <w:szCs w:val="24"/>
        </w:rPr>
        <w:t>conversion frequency</w:t>
      </w:r>
      <w:r w:rsidR="00C4576A">
        <w:rPr>
          <w:rFonts w:ascii="Times New Roman" w:eastAsia="Times New Roman" w:hAnsi="Times New Roman" w:cs="Times New Roman"/>
          <w:color w:val="000000"/>
          <w:sz w:val="24"/>
          <w:szCs w:val="24"/>
        </w:rPr>
        <w:t>.</w:t>
      </w:r>
      <w:r w:rsidR="00580363">
        <w:rPr>
          <w:rFonts w:ascii="Times New Roman" w:eastAsia="Times New Roman" w:hAnsi="Times New Roman" w:cs="Times New Roman"/>
          <w:color w:val="000000"/>
          <w:sz w:val="24"/>
          <w:szCs w:val="24"/>
        </w:rPr>
        <w:t xml:space="preserve"> </w:t>
      </w:r>
      <w:r w:rsidRPr="006F1475">
        <w:rPr>
          <w:rFonts w:ascii="Times New Roman" w:eastAsia="Times New Roman" w:hAnsi="Times New Roman" w:cs="Times New Roman"/>
          <w:sz w:val="24"/>
          <w:szCs w:val="24"/>
        </w:rPr>
        <w:t xml:space="preserve">An interesting feature of the ESEs was their ability to retain their sprouting potential even after storage of 40 days at 4°C.  </w:t>
      </w:r>
      <w:proofErr w:type="spellStart"/>
      <w:r w:rsidRPr="006F1475">
        <w:rPr>
          <w:rFonts w:ascii="Times New Roman" w:eastAsia="Times New Roman" w:hAnsi="Times New Roman" w:cs="Times New Roman"/>
          <w:sz w:val="24"/>
          <w:szCs w:val="24"/>
        </w:rPr>
        <w:t>Bekheet</w:t>
      </w:r>
      <w:proofErr w:type="spellEnd"/>
      <w:r w:rsidRPr="006F1475">
        <w:rPr>
          <w:rFonts w:ascii="Times New Roman" w:eastAsia="Times New Roman" w:hAnsi="Times New Roman" w:cs="Times New Roman"/>
          <w:sz w:val="24"/>
          <w:szCs w:val="24"/>
        </w:rPr>
        <w:t xml:space="preserve"> (2006) noted that storage of encapsulated </w:t>
      </w:r>
      <w:proofErr w:type="spellStart"/>
      <w:r w:rsidRPr="006F1475">
        <w:rPr>
          <w:rFonts w:ascii="Times New Roman" w:eastAsia="Times New Roman" w:hAnsi="Times New Roman" w:cs="Times New Roman"/>
          <w:sz w:val="24"/>
          <w:szCs w:val="24"/>
        </w:rPr>
        <w:t>bulblets</w:t>
      </w:r>
      <w:proofErr w:type="spellEnd"/>
      <w:r w:rsidRPr="006F1475">
        <w:rPr>
          <w:rFonts w:ascii="Times New Roman" w:eastAsia="Times New Roman" w:hAnsi="Times New Roman" w:cs="Times New Roman"/>
          <w:sz w:val="24"/>
          <w:szCs w:val="24"/>
        </w:rPr>
        <w:t xml:space="preserve"> of garlic at 15 ºC was more effective than storage at 25 ºC. Rise in survival and conversion rates of encapsulated embryos after cold storage was also demonstrated for other plant species, such as </w:t>
      </w:r>
      <w:r w:rsidRPr="006F1475">
        <w:rPr>
          <w:rFonts w:ascii="Times New Roman" w:eastAsia="Times New Roman" w:hAnsi="Times New Roman" w:cs="Times New Roman"/>
          <w:i/>
          <w:iCs/>
          <w:sz w:val="24"/>
          <w:szCs w:val="24"/>
        </w:rPr>
        <w:t xml:space="preserve">Paulownia </w:t>
      </w:r>
      <w:proofErr w:type="spellStart"/>
      <w:r w:rsidRPr="006F1475">
        <w:rPr>
          <w:rFonts w:ascii="Times New Roman" w:eastAsia="Times New Roman" w:hAnsi="Times New Roman" w:cs="Times New Roman"/>
          <w:i/>
          <w:iCs/>
          <w:sz w:val="24"/>
          <w:szCs w:val="24"/>
        </w:rPr>
        <w:t>elongata</w:t>
      </w:r>
      <w:proofErr w:type="spellEnd"/>
      <w:r w:rsidRPr="006F1475">
        <w:rPr>
          <w:rFonts w:ascii="Times New Roman" w:eastAsia="Times New Roman" w:hAnsi="Times New Roman" w:cs="Times New Roman"/>
          <w:sz w:val="24"/>
          <w:szCs w:val="24"/>
        </w:rPr>
        <w:t xml:space="preserve"> and </w:t>
      </w:r>
      <w:proofErr w:type="spellStart"/>
      <w:r w:rsidRPr="006F1475">
        <w:rPr>
          <w:rFonts w:ascii="Times New Roman" w:eastAsia="Times New Roman" w:hAnsi="Times New Roman" w:cs="Times New Roman"/>
          <w:i/>
          <w:iCs/>
          <w:sz w:val="24"/>
          <w:szCs w:val="24"/>
        </w:rPr>
        <w:t>Quercusrobur</w:t>
      </w:r>
      <w:proofErr w:type="spellEnd"/>
      <w:r w:rsidRPr="006F1475">
        <w:rPr>
          <w:rFonts w:ascii="Times New Roman" w:eastAsia="Times New Roman" w:hAnsi="Times New Roman" w:cs="Times New Roman"/>
          <w:sz w:val="24"/>
          <w:szCs w:val="24"/>
        </w:rPr>
        <w:t xml:space="preserve"> L. (</w:t>
      </w:r>
      <w:proofErr w:type="spellStart"/>
      <w:r w:rsidRPr="006F1475">
        <w:rPr>
          <w:rFonts w:ascii="Times New Roman" w:eastAsia="Times New Roman" w:hAnsi="Times New Roman" w:cs="Times New Roman"/>
          <w:sz w:val="24"/>
          <w:szCs w:val="24"/>
        </w:rPr>
        <w:t>Ipekci</w:t>
      </w:r>
      <w:proofErr w:type="spellEnd"/>
      <w:r w:rsidRPr="006F1475">
        <w:rPr>
          <w:rFonts w:ascii="Times New Roman" w:eastAsia="Times New Roman" w:hAnsi="Times New Roman" w:cs="Times New Roman"/>
          <w:sz w:val="24"/>
          <w:szCs w:val="24"/>
        </w:rPr>
        <w:t xml:space="preserve"> and</w:t>
      </w:r>
      <w:r w:rsidR="0058036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Gouzukirmizi</w:t>
      </w:r>
      <w:proofErr w:type="spellEnd"/>
      <w:r>
        <w:rPr>
          <w:rFonts w:ascii="Times New Roman" w:eastAsia="Times New Roman" w:hAnsi="Times New Roman" w:cs="Times New Roman"/>
          <w:sz w:val="24"/>
          <w:szCs w:val="24"/>
        </w:rPr>
        <w:t xml:space="preserve"> 2003</w:t>
      </w:r>
      <w:r w:rsidRPr="006F1475">
        <w:rPr>
          <w:rFonts w:ascii="Times New Roman" w:eastAsia="Times New Roman" w:hAnsi="Times New Roman" w:cs="Times New Roman"/>
          <w:sz w:val="24"/>
          <w:szCs w:val="24"/>
        </w:rPr>
        <w:t xml:space="preserve">). </w:t>
      </w:r>
      <w:proofErr w:type="spellStart"/>
      <w:r w:rsidRPr="006F1475">
        <w:rPr>
          <w:rFonts w:ascii="Times New Roman" w:eastAsia="Times New Roman" w:hAnsi="Times New Roman" w:cs="Times New Roman"/>
          <w:sz w:val="24"/>
          <w:szCs w:val="24"/>
        </w:rPr>
        <w:t>Machii</w:t>
      </w:r>
      <w:proofErr w:type="spellEnd"/>
      <w:r w:rsidRPr="006F1475">
        <w:rPr>
          <w:rFonts w:ascii="Times New Roman" w:eastAsia="Times New Roman" w:hAnsi="Times New Roman" w:cs="Times New Roman"/>
          <w:sz w:val="24"/>
          <w:szCs w:val="24"/>
        </w:rPr>
        <w:t xml:space="preserve"> and Yamanouchi (1993) observed root development in the synthetic seeds of mulberry only when these were stored at 4 °C for 30 days </w:t>
      </w:r>
      <w:r w:rsidRPr="006F1475">
        <w:rPr>
          <w:rFonts w:ascii="Times New Roman" w:eastAsia="Times New Roman" w:hAnsi="Times New Roman" w:cs="Times New Roman"/>
          <w:color w:val="000000"/>
          <w:sz w:val="24"/>
          <w:szCs w:val="24"/>
        </w:rPr>
        <w:t xml:space="preserve">before sowing. </w:t>
      </w:r>
      <w:r w:rsidRPr="006F1475">
        <w:rPr>
          <w:rFonts w:ascii="Times New Roman" w:eastAsia="Times New Roman" w:hAnsi="Times New Roman" w:cs="Times New Roman"/>
          <w:sz w:val="24"/>
          <w:szCs w:val="24"/>
        </w:rPr>
        <w:t>The alginate matrix supplemented with MS medium and 2 mg L</w:t>
      </w:r>
      <w:r w:rsidRPr="006F1475">
        <w:rPr>
          <w:rFonts w:ascii="Times New Roman" w:eastAsia="Times New Roman" w:hAnsi="Times New Roman" w:cs="Times New Roman"/>
          <w:sz w:val="24"/>
          <w:szCs w:val="24"/>
          <w:vertAlign w:val="superscript"/>
        </w:rPr>
        <w:t>-1</w:t>
      </w:r>
      <w:r w:rsidRPr="006F1475">
        <w:rPr>
          <w:rFonts w:ascii="Times New Roman" w:eastAsia="Times New Roman" w:hAnsi="Times New Roman" w:cs="Times New Roman"/>
          <w:sz w:val="24"/>
          <w:szCs w:val="24"/>
        </w:rPr>
        <w:t xml:space="preserve"> BAP + 2 mg L</w:t>
      </w:r>
      <w:r w:rsidRPr="006F1475">
        <w:rPr>
          <w:rFonts w:ascii="Times New Roman" w:eastAsia="Times New Roman" w:hAnsi="Times New Roman" w:cs="Times New Roman"/>
          <w:sz w:val="24"/>
          <w:szCs w:val="24"/>
          <w:vertAlign w:val="superscript"/>
        </w:rPr>
        <w:t>-1</w:t>
      </w:r>
      <w:r w:rsidRPr="006F1475">
        <w:rPr>
          <w:rFonts w:ascii="Times New Roman" w:eastAsia="Times New Roman" w:hAnsi="Times New Roman" w:cs="Times New Roman"/>
          <w:sz w:val="24"/>
          <w:szCs w:val="24"/>
        </w:rPr>
        <w:t xml:space="preserve"> IAA serves as an artificial endosperm and is necessary for cold storage after dehydration and encapsulation; it, also increases the stability of membranes under severe dehydration.  The decline in plant recovery from stored encapsulated vegetative </w:t>
      </w:r>
      <w:proofErr w:type="spellStart"/>
      <w:r w:rsidRPr="006F1475">
        <w:rPr>
          <w:rFonts w:ascii="Times New Roman" w:eastAsia="Times New Roman" w:hAnsi="Times New Roman" w:cs="Times New Roman"/>
          <w:sz w:val="24"/>
          <w:szCs w:val="24"/>
        </w:rPr>
        <w:t>propagules</w:t>
      </w:r>
      <w:proofErr w:type="spellEnd"/>
      <w:r w:rsidRPr="006F1475">
        <w:rPr>
          <w:rFonts w:ascii="Times New Roman" w:eastAsia="Times New Roman" w:hAnsi="Times New Roman" w:cs="Times New Roman"/>
          <w:sz w:val="24"/>
          <w:szCs w:val="24"/>
        </w:rPr>
        <w:t xml:space="preserve"> may be due to oxygen deficiencies in the calcium alginate bead </w:t>
      </w:r>
      <w:r w:rsidRPr="006F1475">
        <w:rPr>
          <w:rFonts w:ascii="Times New Roman" w:eastAsia="Times New Roman" w:hAnsi="Times New Roman" w:cs="Times New Roman"/>
          <w:color w:val="000000"/>
          <w:sz w:val="24"/>
          <w:szCs w:val="24"/>
        </w:rPr>
        <w:t>(</w:t>
      </w:r>
      <w:proofErr w:type="spellStart"/>
      <w:r w:rsidRPr="006F1475">
        <w:rPr>
          <w:rFonts w:ascii="Times New Roman" w:eastAsia="Times New Roman" w:hAnsi="Times New Roman" w:cs="Times New Roman"/>
          <w:color w:val="000000"/>
          <w:sz w:val="24"/>
          <w:szCs w:val="24"/>
        </w:rPr>
        <w:t>Redenbaugh</w:t>
      </w:r>
      <w:proofErr w:type="spellEnd"/>
      <w:r w:rsidR="006F7518">
        <w:rPr>
          <w:rFonts w:ascii="Times New Roman" w:eastAsia="Times New Roman" w:hAnsi="Times New Roman" w:cs="Times New Roman"/>
          <w:color w:val="000000"/>
          <w:sz w:val="24"/>
          <w:szCs w:val="24"/>
        </w:rPr>
        <w:t xml:space="preserve"> </w:t>
      </w:r>
      <w:r w:rsidRPr="008F36C5">
        <w:rPr>
          <w:rFonts w:ascii="Times New Roman" w:eastAsia="Times New Roman" w:hAnsi="Times New Roman" w:cs="Times New Roman"/>
          <w:sz w:val="24"/>
          <w:szCs w:val="24"/>
        </w:rPr>
        <w:t>et al.</w:t>
      </w:r>
      <w:r w:rsidRPr="006F1475">
        <w:rPr>
          <w:rFonts w:ascii="Times New Roman" w:eastAsia="Times New Roman" w:hAnsi="Times New Roman" w:cs="Times New Roman"/>
          <w:color w:val="000000"/>
          <w:sz w:val="24"/>
          <w:szCs w:val="24"/>
        </w:rPr>
        <w:t xml:space="preserve"> 1991). The technique of sodium alginate, due to the stimulatory </w:t>
      </w:r>
      <w:r w:rsidRPr="006F1475">
        <w:rPr>
          <w:rFonts w:ascii="Times New Roman" w:eastAsia="Times New Roman" w:hAnsi="Times New Roman" w:cs="Times New Roman"/>
          <w:sz w:val="24"/>
          <w:szCs w:val="24"/>
        </w:rPr>
        <w:t>effect, in encapsulation matrix is</w:t>
      </w:r>
      <w:proofErr w:type="gramStart"/>
      <w:r w:rsidRPr="006F1475">
        <w:rPr>
          <w:rFonts w:ascii="Times New Roman" w:eastAsia="Times New Roman" w:hAnsi="Times New Roman" w:cs="Times New Roman"/>
          <w:sz w:val="24"/>
          <w:szCs w:val="24"/>
        </w:rPr>
        <w:t>  reinforces</w:t>
      </w:r>
      <w:proofErr w:type="gramEnd"/>
      <w:r w:rsidRPr="006F1475">
        <w:rPr>
          <w:rFonts w:ascii="Times New Roman" w:eastAsia="Times New Roman" w:hAnsi="Times New Roman" w:cs="Times New Roman"/>
          <w:sz w:val="24"/>
          <w:szCs w:val="24"/>
        </w:rPr>
        <w:t>  the  tolerance of  the tissues to the cold storage.</w:t>
      </w:r>
    </w:p>
    <w:p w:rsidR="00D803B4" w:rsidRDefault="00D803B4">
      <w:pPr>
        <w:spacing w:after="200" w:line="276" w:lineRule="auto"/>
        <w:jc w:val="left"/>
      </w:pPr>
      <w:r>
        <w:br w:type="page"/>
      </w:r>
    </w:p>
    <w:p w:rsidR="00690876" w:rsidRDefault="00690876" w:rsidP="00690876">
      <w:pPr>
        <w:pStyle w:val="BodyText"/>
        <w:spacing w:after="60" w:line="480" w:lineRule="auto"/>
        <w:jc w:val="left"/>
        <w:rPr>
          <w:rFonts w:asciiTheme="majorBidi" w:eastAsia="Times New Roman" w:hAnsiTheme="majorBidi" w:cstheme="majorBidi"/>
          <w:b/>
          <w:bCs/>
          <w:color w:val="000000"/>
          <w:sz w:val="24"/>
          <w:szCs w:val="24"/>
        </w:rPr>
      </w:pPr>
      <w:r w:rsidRPr="003C5B68">
        <w:rPr>
          <w:rFonts w:asciiTheme="majorBidi" w:eastAsia="Times New Roman" w:hAnsiTheme="majorBidi" w:cstheme="majorBidi"/>
          <w:b/>
          <w:bCs/>
          <w:color w:val="000000"/>
          <w:sz w:val="24"/>
          <w:szCs w:val="24"/>
        </w:rPr>
        <w:lastRenderedPageBreak/>
        <w:t>Reference</w:t>
      </w:r>
    </w:p>
    <w:p w:rsidR="004C3EF1" w:rsidRDefault="008B3C2D"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Anand</w:t>
      </w:r>
      <w:proofErr w:type="spellEnd"/>
      <w:r w:rsidR="004C3EF1">
        <w:rPr>
          <w:rFonts w:asciiTheme="majorBidi" w:eastAsia="Times New Roman" w:hAnsiTheme="majorBidi" w:cstheme="majorBidi"/>
          <w:sz w:val="24"/>
          <w:szCs w:val="24"/>
          <w:lang w:val="en-GB" w:eastAsia="zh-CN" w:bidi="ar-SA"/>
        </w:rPr>
        <w:t xml:space="preserve"> Y., Bansal Y. K. (2002)</w:t>
      </w:r>
      <w:r>
        <w:rPr>
          <w:rFonts w:asciiTheme="majorBidi" w:eastAsia="Times New Roman" w:hAnsiTheme="majorBidi" w:cstheme="majorBidi"/>
          <w:sz w:val="24"/>
          <w:szCs w:val="24"/>
          <w:lang w:val="en-GB" w:eastAsia="zh-CN" w:bidi="ar-SA"/>
        </w:rPr>
        <w:t xml:space="preserve">. </w:t>
      </w:r>
      <w:r w:rsidR="004C3EF1">
        <w:rPr>
          <w:rFonts w:asciiTheme="majorBidi" w:eastAsia="Times New Roman" w:hAnsiTheme="majorBidi" w:cstheme="majorBidi"/>
          <w:sz w:val="24"/>
          <w:szCs w:val="24"/>
          <w:lang w:val="en-GB" w:eastAsia="zh-CN" w:bidi="ar-SA"/>
        </w:rPr>
        <w:t xml:space="preserve">Synthetic Seeds: A Novel Approach of in Vitro Plantlet Formation in </w:t>
      </w:r>
      <w:proofErr w:type="spellStart"/>
      <w:r w:rsidR="004C3EF1">
        <w:rPr>
          <w:rFonts w:asciiTheme="majorBidi" w:eastAsia="Times New Roman" w:hAnsiTheme="majorBidi" w:cstheme="majorBidi"/>
          <w:sz w:val="24"/>
          <w:szCs w:val="24"/>
          <w:lang w:val="en-GB" w:eastAsia="zh-CN" w:bidi="ar-SA"/>
        </w:rPr>
        <w:t>Vasaka</w:t>
      </w:r>
      <w:proofErr w:type="spellEnd"/>
      <w:r w:rsidR="004C3EF1">
        <w:rPr>
          <w:rFonts w:asciiTheme="majorBidi" w:eastAsia="Times New Roman" w:hAnsiTheme="majorBidi" w:cstheme="majorBidi"/>
          <w:sz w:val="24"/>
          <w:szCs w:val="24"/>
          <w:lang w:val="en-GB" w:eastAsia="zh-CN" w:bidi="ar-SA"/>
        </w:rPr>
        <w:t xml:space="preserve"> (</w:t>
      </w:r>
      <w:proofErr w:type="spellStart"/>
      <w:r w:rsidR="004C3EF1">
        <w:rPr>
          <w:rFonts w:asciiTheme="majorBidi" w:eastAsia="Times New Roman" w:hAnsiTheme="majorBidi" w:cstheme="majorBidi"/>
          <w:i/>
          <w:iCs/>
          <w:sz w:val="24"/>
          <w:szCs w:val="24"/>
          <w:lang w:val="en-GB" w:eastAsia="zh-CN" w:bidi="ar-SA"/>
        </w:rPr>
        <w:t>AdhatodavasicaNees</w:t>
      </w:r>
      <w:proofErr w:type="spellEnd"/>
      <w:r w:rsidR="004C3EF1">
        <w:rPr>
          <w:rFonts w:asciiTheme="majorBidi" w:eastAsia="Times New Roman" w:hAnsiTheme="majorBidi" w:cstheme="majorBidi"/>
          <w:sz w:val="24"/>
          <w:szCs w:val="24"/>
          <w:lang w:val="en-GB" w:eastAsia="zh-CN" w:bidi="ar-SA"/>
        </w:rPr>
        <w:t>.). Biotechnology, 19(3):159- 162.</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Antonietta</w:t>
      </w:r>
      <w:proofErr w:type="spellEnd"/>
      <w:r>
        <w:rPr>
          <w:rFonts w:asciiTheme="majorBidi" w:eastAsia="Times New Roman" w:hAnsiTheme="majorBidi" w:cstheme="majorBidi"/>
          <w:sz w:val="24"/>
          <w:szCs w:val="24"/>
          <w:lang w:val="en-GB" w:eastAsia="zh-CN" w:bidi="ar-SA"/>
        </w:rPr>
        <w:t xml:space="preserve"> G. M.</w:t>
      </w:r>
      <w:proofErr w:type="gramStart"/>
      <w:r>
        <w:rPr>
          <w:rFonts w:asciiTheme="majorBidi" w:eastAsia="Times New Roman" w:hAnsiTheme="majorBidi" w:cstheme="majorBidi"/>
          <w:sz w:val="24"/>
          <w:szCs w:val="24"/>
          <w:lang w:val="en-GB" w:eastAsia="zh-CN" w:bidi="ar-SA"/>
        </w:rPr>
        <w:t>,  Ahmad</w:t>
      </w:r>
      <w:proofErr w:type="gramEnd"/>
      <w:r w:rsidR="009064B9">
        <w:rPr>
          <w:rFonts w:asciiTheme="majorBidi" w:eastAsia="Times New Roman" w:hAnsiTheme="majorBidi" w:cstheme="majorBidi"/>
          <w:sz w:val="24"/>
          <w:szCs w:val="24"/>
          <w:lang w:val="en-GB" w:eastAsia="zh-CN" w:bidi="ar-SA"/>
        </w:rPr>
        <w:t xml:space="preserve"> H. I., Maurizio M. Alvaro S. (2007).</w:t>
      </w:r>
      <w:r>
        <w:rPr>
          <w:rFonts w:asciiTheme="majorBidi" w:eastAsia="Times New Roman" w:hAnsiTheme="majorBidi" w:cstheme="majorBidi"/>
          <w:sz w:val="24"/>
          <w:szCs w:val="24"/>
          <w:lang w:val="en-GB" w:eastAsia="zh-CN" w:bidi="ar-SA"/>
        </w:rPr>
        <w:t xml:space="preserve"> Preliminary research on conversion of encapsulated somatic embryos of </w:t>
      </w:r>
      <w:r>
        <w:rPr>
          <w:rFonts w:asciiTheme="majorBidi" w:eastAsia="Times New Roman" w:hAnsiTheme="majorBidi" w:cstheme="majorBidi"/>
          <w:i/>
          <w:iCs/>
          <w:sz w:val="24"/>
          <w:szCs w:val="24"/>
          <w:lang w:val="en-GB" w:eastAsia="zh-CN" w:bidi="ar-SA"/>
        </w:rPr>
        <w:t xml:space="preserve">Citrus </w:t>
      </w:r>
      <w:proofErr w:type="spellStart"/>
      <w:r>
        <w:rPr>
          <w:rFonts w:asciiTheme="majorBidi" w:eastAsia="Times New Roman" w:hAnsiTheme="majorBidi" w:cstheme="majorBidi"/>
          <w:i/>
          <w:iCs/>
          <w:sz w:val="24"/>
          <w:szCs w:val="24"/>
          <w:lang w:val="en-GB" w:eastAsia="zh-CN" w:bidi="ar-SA"/>
        </w:rPr>
        <w:t>reticulata</w:t>
      </w:r>
      <w:proofErr w:type="spellEnd"/>
      <w:r>
        <w:rPr>
          <w:rFonts w:asciiTheme="majorBidi" w:eastAsia="Times New Roman" w:hAnsiTheme="majorBidi" w:cstheme="majorBidi"/>
          <w:i/>
          <w:iCs/>
          <w:sz w:val="24"/>
          <w:szCs w:val="24"/>
          <w:lang w:val="en-GB" w:eastAsia="zh-CN" w:bidi="ar-SA"/>
        </w:rPr>
        <w:t xml:space="preserve"> Blanco,</w:t>
      </w:r>
      <w:r>
        <w:rPr>
          <w:rFonts w:asciiTheme="majorBidi" w:eastAsia="Times New Roman" w:hAnsiTheme="majorBidi" w:cstheme="majorBidi"/>
          <w:sz w:val="24"/>
          <w:szCs w:val="24"/>
          <w:lang w:val="en-GB" w:eastAsia="zh-CN" w:bidi="ar-SA"/>
        </w:rPr>
        <w:t xml:space="preserve"> cv. </w:t>
      </w:r>
      <w:proofErr w:type="spellStart"/>
      <w:r>
        <w:rPr>
          <w:rFonts w:asciiTheme="majorBidi" w:eastAsia="Times New Roman" w:hAnsiTheme="majorBidi" w:cstheme="majorBidi"/>
          <w:sz w:val="24"/>
          <w:szCs w:val="24"/>
          <w:lang w:val="en-GB" w:eastAsia="zh-CN" w:bidi="ar-SA"/>
        </w:rPr>
        <w:t>MandarinoTardivo</w:t>
      </w:r>
      <w:proofErr w:type="spellEnd"/>
      <w:r>
        <w:rPr>
          <w:rFonts w:asciiTheme="majorBidi" w:eastAsia="Times New Roman" w:hAnsiTheme="majorBidi" w:cstheme="majorBidi"/>
          <w:sz w:val="24"/>
          <w:szCs w:val="24"/>
          <w:lang w:val="en-GB" w:eastAsia="zh-CN" w:bidi="ar-SA"/>
        </w:rPr>
        <w:t xml:space="preserve"> di </w:t>
      </w:r>
      <w:proofErr w:type="spellStart"/>
      <w:r>
        <w:rPr>
          <w:rFonts w:asciiTheme="majorBidi" w:eastAsia="Times New Roman" w:hAnsiTheme="majorBidi" w:cstheme="majorBidi"/>
          <w:sz w:val="24"/>
          <w:szCs w:val="24"/>
          <w:lang w:val="en-GB" w:eastAsia="zh-CN" w:bidi="ar-SA"/>
        </w:rPr>
        <w:t>Ciaculli</w:t>
      </w:r>
      <w:proofErr w:type="spellEnd"/>
      <w:r>
        <w:rPr>
          <w:rFonts w:asciiTheme="majorBidi" w:eastAsia="Times New Roman" w:hAnsiTheme="majorBidi" w:cstheme="majorBidi"/>
          <w:sz w:val="24"/>
          <w:szCs w:val="24"/>
          <w:lang w:val="en-GB" w:eastAsia="zh-CN" w:bidi="ar-SA"/>
        </w:rPr>
        <w:t xml:space="preserve">. Plant Cell </w:t>
      </w:r>
      <w:proofErr w:type="spellStart"/>
      <w:r>
        <w:rPr>
          <w:rFonts w:asciiTheme="majorBidi" w:eastAsia="Times New Roman" w:hAnsiTheme="majorBidi" w:cstheme="majorBidi"/>
          <w:sz w:val="24"/>
          <w:szCs w:val="24"/>
          <w:lang w:val="en-GB" w:eastAsia="zh-CN" w:bidi="ar-SA"/>
        </w:rPr>
        <w:t>Tiss.Organ</w:t>
      </w:r>
      <w:proofErr w:type="spellEnd"/>
      <w:r>
        <w:rPr>
          <w:rFonts w:asciiTheme="majorBidi" w:eastAsia="Times New Roman" w:hAnsiTheme="majorBidi" w:cstheme="majorBidi"/>
          <w:sz w:val="24"/>
          <w:szCs w:val="24"/>
          <w:lang w:val="en-GB" w:eastAsia="zh-CN" w:bidi="ar-SA"/>
        </w:rPr>
        <w:t xml:space="preserve"> Cult., 88:117–120.</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Ara</w:t>
      </w:r>
      <w:proofErr w:type="spellEnd"/>
      <w:r>
        <w:rPr>
          <w:rFonts w:asciiTheme="majorBidi" w:eastAsia="Times New Roman" w:hAnsiTheme="majorBidi" w:cstheme="majorBidi"/>
          <w:sz w:val="24"/>
          <w:szCs w:val="24"/>
          <w:lang w:val="en-GB" w:eastAsia="zh-CN" w:bidi="ar-SA"/>
        </w:rPr>
        <w:t xml:space="preserve"> H.</w:t>
      </w:r>
      <w:proofErr w:type="gramStart"/>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Jaiswal</w:t>
      </w:r>
      <w:proofErr w:type="spellEnd"/>
      <w:proofErr w:type="gramEnd"/>
      <w:r>
        <w:rPr>
          <w:rFonts w:asciiTheme="majorBidi" w:eastAsia="Times New Roman" w:hAnsiTheme="majorBidi" w:cstheme="majorBidi"/>
          <w:sz w:val="24"/>
          <w:szCs w:val="24"/>
          <w:lang w:val="en-GB" w:eastAsia="zh-CN" w:bidi="ar-SA"/>
        </w:rPr>
        <w:t xml:space="preserve"> U., </w:t>
      </w:r>
      <w:proofErr w:type="spellStart"/>
      <w:r>
        <w:rPr>
          <w:rFonts w:asciiTheme="majorBidi" w:eastAsia="Times New Roman" w:hAnsiTheme="majorBidi" w:cstheme="majorBidi"/>
          <w:sz w:val="24"/>
          <w:szCs w:val="24"/>
          <w:lang w:val="en-GB" w:eastAsia="zh-CN" w:bidi="ar-SA"/>
        </w:rPr>
        <w:t>Jaiswal</w:t>
      </w:r>
      <w:proofErr w:type="spellEnd"/>
      <w:r>
        <w:rPr>
          <w:rFonts w:asciiTheme="majorBidi" w:eastAsia="Times New Roman" w:hAnsiTheme="majorBidi" w:cstheme="majorBidi"/>
          <w:sz w:val="24"/>
          <w:szCs w:val="24"/>
          <w:lang w:val="en-GB" w:eastAsia="zh-CN" w:bidi="ar-SA"/>
        </w:rPr>
        <w:t xml:space="preserve"> V. S.  (2000)</w:t>
      </w:r>
      <w:r w:rsidR="009064B9">
        <w:rPr>
          <w:rFonts w:asciiTheme="majorBidi" w:eastAsia="Times New Roman" w:hAnsiTheme="majorBidi" w:cstheme="majorBidi"/>
          <w:sz w:val="24"/>
          <w:szCs w:val="24"/>
          <w:lang w:val="en-GB" w:eastAsia="zh-CN" w:bidi="ar-SA"/>
        </w:rPr>
        <w:t xml:space="preserve">. </w:t>
      </w:r>
      <w:r>
        <w:rPr>
          <w:rFonts w:asciiTheme="majorBidi" w:eastAsia="Times New Roman" w:hAnsiTheme="majorBidi" w:cstheme="majorBidi"/>
          <w:sz w:val="24"/>
          <w:szCs w:val="24"/>
          <w:lang w:val="en-GB" w:eastAsia="zh-CN" w:bidi="ar-SA"/>
        </w:rPr>
        <w:t xml:space="preserve">Synthetic seed: prospects and limitations. </w:t>
      </w:r>
      <w:proofErr w:type="spellStart"/>
      <w:proofErr w:type="gramStart"/>
      <w:r>
        <w:rPr>
          <w:rFonts w:asciiTheme="majorBidi" w:eastAsia="Times New Roman" w:hAnsiTheme="majorBidi" w:cstheme="majorBidi"/>
          <w:sz w:val="24"/>
          <w:szCs w:val="24"/>
          <w:lang w:val="en-GB" w:eastAsia="zh-CN" w:bidi="ar-SA"/>
        </w:rPr>
        <w:t>Curr</w:t>
      </w:r>
      <w:proofErr w:type="spellEnd"/>
      <w:r>
        <w:rPr>
          <w:rFonts w:asciiTheme="majorBidi" w:eastAsia="Times New Roman" w:hAnsiTheme="majorBidi" w:cstheme="majorBidi"/>
          <w:sz w:val="24"/>
          <w:szCs w:val="24"/>
          <w:lang w:val="en-GB" w:eastAsia="zh-CN" w:bidi="ar-SA"/>
        </w:rPr>
        <w:t>.</w:t>
      </w:r>
      <w:proofErr w:type="gramEnd"/>
      <w:r>
        <w:rPr>
          <w:rFonts w:asciiTheme="majorBidi" w:eastAsia="Times New Roman" w:hAnsiTheme="majorBidi" w:cstheme="majorBidi"/>
          <w:sz w:val="24"/>
          <w:szCs w:val="24"/>
          <w:lang w:val="en-GB" w:eastAsia="zh-CN" w:bidi="ar-SA"/>
        </w:rPr>
        <w:t xml:space="preserve"> Sci., 78: 1438–1444.</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r>
        <w:rPr>
          <w:rFonts w:asciiTheme="majorBidi" w:eastAsia="Times New Roman" w:hAnsiTheme="majorBidi" w:cstheme="majorBidi"/>
          <w:sz w:val="24"/>
          <w:szCs w:val="24"/>
          <w:lang w:val="en-GB" w:eastAsia="zh-CN" w:bidi="ar-SA"/>
        </w:rPr>
        <w:t>BAJAJ, Y. P. S. (</w:t>
      </w:r>
      <w:proofErr w:type="spellStart"/>
      <w:proofErr w:type="gramStart"/>
      <w:r>
        <w:rPr>
          <w:rFonts w:asciiTheme="majorBidi" w:eastAsia="Times New Roman" w:hAnsiTheme="majorBidi" w:cstheme="majorBidi"/>
          <w:sz w:val="24"/>
          <w:szCs w:val="24"/>
          <w:lang w:val="en-GB" w:eastAsia="zh-CN" w:bidi="ar-SA"/>
        </w:rPr>
        <w:t>ed</w:t>
      </w:r>
      <w:proofErr w:type="spellEnd"/>
      <w:proofErr w:type="gramEnd"/>
      <w:r>
        <w:rPr>
          <w:rFonts w:asciiTheme="majorBidi" w:eastAsia="Times New Roman" w:hAnsiTheme="majorBidi" w:cstheme="majorBidi"/>
          <w:sz w:val="24"/>
          <w:szCs w:val="24"/>
          <w:lang w:val="en-GB" w:eastAsia="zh-CN" w:bidi="ar-SA"/>
        </w:rPr>
        <w:t xml:space="preserve">). </w:t>
      </w:r>
      <w:proofErr w:type="gramStart"/>
      <w:r>
        <w:rPr>
          <w:rFonts w:asciiTheme="majorBidi" w:eastAsia="Times New Roman" w:hAnsiTheme="majorBidi" w:cstheme="majorBidi"/>
          <w:sz w:val="24"/>
          <w:szCs w:val="24"/>
          <w:lang w:val="en-GB" w:eastAsia="zh-CN" w:bidi="ar-SA"/>
        </w:rPr>
        <w:t>(1995)</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Somatic embryogenesis and synthetic seed I.</w:t>
      </w:r>
      <w:proofErr w:type="gramEnd"/>
      <w:r>
        <w:rPr>
          <w:rFonts w:asciiTheme="majorBidi" w:eastAsia="Times New Roman" w:hAnsiTheme="majorBidi" w:cstheme="majorBidi"/>
          <w:sz w:val="24"/>
          <w:szCs w:val="24"/>
          <w:lang w:val="en-GB" w:eastAsia="zh-CN" w:bidi="ar-SA"/>
        </w:rPr>
        <w:t xml:space="preserve"> In: Biotechnology in agriculture and forestry, </w:t>
      </w:r>
      <w:proofErr w:type="spellStart"/>
      <w:r>
        <w:rPr>
          <w:rFonts w:asciiTheme="majorBidi" w:eastAsia="Times New Roman" w:hAnsiTheme="majorBidi" w:cstheme="majorBidi"/>
          <w:sz w:val="24"/>
          <w:szCs w:val="24"/>
          <w:lang w:val="en-GB" w:eastAsia="zh-CN" w:bidi="ar-SA"/>
        </w:rPr>
        <w:t>vol</w:t>
      </w:r>
      <w:proofErr w:type="spellEnd"/>
      <w:r>
        <w:rPr>
          <w:rFonts w:asciiTheme="majorBidi" w:eastAsia="Times New Roman" w:hAnsiTheme="majorBidi" w:cstheme="majorBidi"/>
          <w:sz w:val="24"/>
          <w:szCs w:val="24"/>
          <w:lang w:val="en-GB" w:eastAsia="zh-CN" w:bidi="ar-SA"/>
        </w:rPr>
        <w:t xml:space="preserve"> 30. </w:t>
      </w:r>
      <w:proofErr w:type="gramStart"/>
      <w:r>
        <w:rPr>
          <w:rFonts w:asciiTheme="majorBidi" w:eastAsia="Times New Roman" w:hAnsiTheme="majorBidi" w:cstheme="majorBidi"/>
          <w:sz w:val="24"/>
          <w:szCs w:val="24"/>
          <w:lang w:val="en-GB" w:eastAsia="zh-CN" w:bidi="ar-SA"/>
        </w:rPr>
        <w:t>Springer, Berlin-</w:t>
      </w:r>
      <w:proofErr w:type="spellStart"/>
      <w:r>
        <w:rPr>
          <w:rFonts w:asciiTheme="majorBidi" w:eastAsia="Times New Roman" w:hAnsiTheme="majorBidi" w:cstheme="majorBidi"/>
          <w:sz w:val="24"/>
          <w:szCs w:val="24"/>
          <w:lang w:val="en-GB" w:eastAsia="zh-CN" w:bidi="ar-SA"/>
        </w:rPr>
        <w:t>Heildelberg</w:t>
      </w:r>
      <w:proofErr w:type="spellEnd"/>
      <w:r>
        <w:rPr>
          <w:rFonts w:asciiTheme="majorBidi" w:eastAsia="Times New Roman" w:hAnsiTheme="majorBidi" w:cstheme="majorBidi"/>
          <w:sz w:val="24"/>
          <w:szCs w:val="24"/>
          <w:lang w:val="en-GB" w:eastAsia="zh-CN" w:bidi="ar-SA"/>
        </w:rPr>
        <w:t>- New York.</w:t>
      </w:r>
      <w:proofErr w:type="gramEnd"/>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Bapat</w:t>
      </w:r>
      <w:proofErr w:type="gramStart"/>
      <w:r>
        <w:rPr>
          <w:rFonts w:ascii="Times New Roman" w:eastAsia="Calibri" w:hAnsi="Times New Roman" w:cs="Times New Roman"/>
          <w:sz w:val="24"/>
          <w:szCs w:val="24"/>
        </w:rPr>
        <w:t>,V</w:t>
      </w:r>
      <w:proofErr w:type="spellEnd"/>
      <w:proofErr w:type="gramEnd"/>
      <w:r>
        <w:rPr>
          <w:rFonts w:ascii="Times New Roman" w:eastAsia="Calibri" w:hAnsi="Times New Roman" w:cs="Times New Roman"/>
          <w:sz w:val="24"/>
          <w:szCs w:val="24"/>
        </w:rPr>
        <w:t>. A., Rao P. S. (1992):  Plantlet regeneration from encapsulated and non-encapsulated desiccated somatic embryos of forest tree: sandalwood (</w:t>
      </w:r>
      <w:proofErr w:type="spellStart"/>
      <w:r>
        <w:rPr>
          <w:rFonts w:ascii="Times New Roman" w:eastAsia="Calibri" w:hAnsi="Times New Roman" w:cs="Times New Roman"/>
          <w:i/>
          <w:iCs/>
          <w:sz w:val="24"/>
          <w:szCs w:val="24"/>
        </w:rPr>
        <w:t>Santulum</w:t>
      </w:r>
      <w:proofErr w:type="spellEnd"/>
      <w:r>
        <w:rPr>
          <w:rFonts w:ascii="Times New Roman" w:eastAsia="Calibri" w:hAnsi="Times New Roman" w:cs="Times New Roman"/>
          <w:i/>
          <w:iCs/>
          <w:sz w:val="24"/>
          <w:szCs w:val="24"/>
        </w:rPr>
        <w:t xml:space="preserve"> album</w:t>
      </w:r>
      <w:r>
        <w:rPr>
          <w:rFonts w:ascii="Times New Roman" w:eastAsia="Calibri" w:hAnsi="Times New Roman" w:cs="Times New Roman"/>
          <w:sz w:val="24"/>
          <w:szCs w:val="24"/>
        </w:rPr>
        <w:t xml:space="preserve"> L).  J  Plant BiochemBiotechnol.</w:t>
      </w:r>
      <w:proofErr w:type="gramStart"/>
      <w:r>
        <w:rPr>
          <w:rFonts w:ascii="Times New Roman" w:eastAsia="Calibri" w:hAnsi="Times New Roman" w:cs="Times New Roman"/>
          <w:sz w:val="24"/>
          <w:szCs w:val="24"/>
        </w:rPr>
        <w:t>,1:109</w:t>
      </w:r>
      <w:proofErr w:type="gramEnd"/>
      <w:r>
        <w:rPr>
          <w:rFonts w:ascii="Times New Roman" w:eastAsia="Calibri" w:hAnsi="Times New Roman" w:cs="Times New Roman"/>
          <w:sz w:val="24"/>
          <w:szCs w:val="24"/>
        </w:rPr>
        <w:t>–113</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proofErr w:type="gramStart"/>
      <w:r>
        <w:rPr>
          <w:rFonts w:asciiTheme="majorBidi" w:eastAsia="Times New Roman" w:hAnsiTheme="majorBidi" w:cstheme="majorBidi"/>
          <w:sz w:val="24"/>
          <w:szCs w:val="24"/>
          <w:lang w:val="en-GB" w:eastAsia="zh-CN" w:bidi="ar-SA"/>
        </w:rPr>
        <w:t>Bekheet</w:t>
      </w:r>
      <w:proofErr w:type="spellEnd"/>
      <w:r>
        <w:rPr>
          <w:rFonts w:asciiTheme="majorBidi" w:eastAsia="Times New Roman" w:hAnsiTheme="majorBidi" w:cstheme="majorBidi"/>
          <w:sz w:val="24"/>
          <w:szCs w:val="24"/>
          <w:lang w:val="en-GB" w:eastAsia="zh-CN" w:bidi="ar-SA"/>
        </w:rPr>
        <w:t xml:space="preserve">  SH.A</w:t>
      </w:r>
      <w:proofErr w:type="gramEnd"/>
      <w:r>
        <w:rPr>
          <w:rFonts w:asciiTheme="majorBidi" w:eastAsia="Times New Roman" w:hAnsiTheme="majorBidi" w:cstheme="majorBidi"/>
          <w:sz w:val="24"/>
          <w:szCs w:val="24"/>
          <w:lang w:val="en-GB" w:eastAsia="zh-CN" w:bidi="ar-SA"/>
        </w:rPr>
        <w:t>.(2006)</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A synthetic seed method through encapsulation of in vitro proliferated </w:t>
      </w:r>
      <w:proofErr w:type="spellStart"/>
      <w:r>
        <w:rPr>
          <w:rFonts w:asciiTheme="majorBidi" w:eastAsia="Times New Roman" w:hAnsiTheme="majorBidi" w:cstheme="majorBidi"/>
          <w:sz w:val="24"/>
          <w:szCs w:val="24"/>
          <w:lang w:val="en-GB" w:eastAsia="zh-CN" w:bidi="ar-SA"/>
        </w:rPr>
        <w:t>bulblets</w:t>
      </w:r>
      <w:proofErr w:type="spellEnd"/>
      <w:r>
        <w:rPr>
          <w:rFonts w:asciiTheme="majorBidi" w:eastAsia="Times New Roman" w:hAnsiTheme="majorBidi" w:cstheme="majorBidi"/>
          <w:sz w:val="24"/>
          <w:szCs w:val="24"/>
          <w:lang w:val="en-GB" w:eastAsia="zh-CN" w:bidi="ar-SA"/>
        </w:rPr>
        <w:t xml:space="preserve"> of garlic (</w:t>
      </w:r>
      <w:r>
        <w:rPr>
          <w:rFonts w:asciiTheme="majorBidi" w:eastAsia="Times New Roman" w:hAnsiTheme="majorBidi" w:cstheme="majorBidi"/>
          <w:i/>
          <w:iCs/>
          <w:sz w:val="24"/>
          <w:szCs w:val="24"/>
          <w:lang w:val="en-GB" w:eastAsia="zh-CN" w:bidi="ar-SA"/>
        </w:rPr>
        <w:t xml:space="preserve">Allium </w:t>
      </w:r>
      <w:proofErr w:type="spellStart"/>
      <w:r>
        <w:rPr>
          <w:rFonts w:asciiTheme="majorBidi" w:eastAsia="Times New Roman" w:hAnsiTheme="majorBidi" w:cstheme="majorBidi"/>
          <w:i/>
          <w:iCs/>
          <w:sz w:val="24"/>
          <w:szCs w:val="24"/>
          <w:lang w:val="en-GB" w:eastAsia="zh-CN" w:bidi="ar-SA"/>
        </w:rPr>
        <w:t>sativum</w:t>
      </w:r>
      <w:proofErr w:type="spellEnd"/>
      <w:r>
        <w:rPr>
          <w:rFonts w:asciiTheme="majorBidi" w:eastAsia="Times New Roman" w:hAnsiTheme="majorBidi" w:cstheme="majorBidi"/>
          <w:sz w:val="24"/>
          <w:szCs w:val="24"/>
          <w:lang w:val="en-GB" w:eastAsia="zh-CN" w:bidi="ar-SA"/>
        </w:rPr>
        <w:t xml:space="preserve"> L.).Arab J. </w:t>
      </w:r>
      <w:proofErr w:type="gramStart"/>
      <w:r>
        <w:rPr>
          <w:rFonts w:asciiTheme="majorBidi" w:eastAsia="Times New Roman" w:hAnsiTheme="majorBidi" w:cstheme="majorBidi"/>
          <w:sz w:val="24"/>
          <w:szCs w:val="24"/>
          <w:lang w:val="en-GB" w:eastAsia="zh-CN" w:bidi="ar-SA"/>
        </w:rPr>
        <w:t>Biotech.,</w:t>
      </w:r>
      <w:proofErr w:type="gramEnd"/>
      <w:r>
        <w:rPr>
          <w:rFonts w:asciiTheme="majorBidi" w:eastAsia="Times New Roman" w:hAnsiTheme="majorBidi" w:cstheme="majorBidi"/>
          <w:sz w:val="24"/>
          <w:szCs w:val="24"/>
          <w:lang w:val="en-GB" w:eastAsia="zh-CN" w:bidi="ar-SA"/>
        </w:rPr>
        <w:t xml:space="preserve"> 9(3): 415-426</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Blandino</w:t>
      </w:r>
      <w:proofErr w:type="gramStart"/>
      <w:r>
        <w:rPr>
          <w:rFonts w:asciiTheme="majorBidi" w:eastAsia="Times New Roman" w:hAnsiTheme="majorBidi" w:cstheme="majorBidi"/>
          <w:sz w:val="24"/>
          <w:szCs w:val="24"/>
          <w:lang w:val="en-GB" w:eastAsia="zh-CN" w:bidi="ar-SA"/>
        </w:rPr>
        <w:t>,A</w:t>
      </w:r>
      <w:proofErr w:type="spellEnd"/>
      <w:proofErr w:type="gram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Macyas</w:t>
      </w:r>
      <w:proofErr w:type="spellEnd"/>
      <w:r>
        <w:rPr>
          <w:rFonts w:asciiTheme="majorBidi" w:eastAsia="Times New Roman" w:hAnsiTheme="majorBidi" w:cstheme="majorBidi"/>
          <w:sz w:val="24"/>
          <w:szCs w:val="24"/>
          <w:lang w:val="en-GB" w:eastAsia="zh-CN" w:bidi="ar-SA"/>
        </w:rPr>
        <w:t xml:space="preserve"> M., </w:t>
      </w:r>
      <w:proofErr w:type="spellStart"/>
      <w:r>
        <w:rPr>
          <w:rFonts w:asciiTheme="majorBidi" w:eastAsia="Times New Roman" w:hAnsiTheme="majorBidi" w:cstheme="majorBidi"/>
          <w:sz w:val="24"/>
          <w:szCs w:val="24"/>
          <w:lang w:val="en-GB" w:eastAsia="zh-CN" w:bidi="ar-SA"/>
        </w:rPr>
        <w:t>Cantero</w:t>
      </w:r>
      <w:proofErr w:type="spellEnd"/>
      <w:r>
        <w:rPr>
          <w:rFonts w:asciiTheme="majorBidi" w:eastAsia="Times New Roman" w:hAnsiTheme="majorBidi" w:cstheme="majorBidi"/>
          <w:sz w:val="24"/>
          <w:szCs w:val="24"/>
          <w:lang w:val="en-GB" w:eastAsia="zh-CN" w:bidi="ar-SA"/>
        </w:rPr>
        <w:t xml:space="preserve"> D. (2000): Glucose oxidase release from calcium alginate gel capsules. </w:t>
      </w:r>
      <w:proofErr w:type="spellStart"/>
      <w:r>
        <w:rPr>
          <w:rFonts w:asciiTheme="majorBidi" w:eastAsia="Times New Roman" w:hAnsiTheme="majorBidi" w:cstheme="majorBidi"/>
          <w:sz w:val="24"/>
          <w:szCs w:val="24"/>
          <w:lang w:val="en-GB" w:eastAsia="zh-CN" w:bidi="ar-SA"/>
        </w:rPr>
        <w:t>Enz.Mic</w:t>
      </w:r>
      <w:proofErr w:type="spellEnd"/>
      <w:r>
        <w:rPr>
          <w:rFonts w:asciiTheme="majorBidi" w:eastAsia="Times New Roman" w:hAnsiTheme="majorBidi" w:cstheme="majorBidi"/>
          <w:sz w:val="24"/>
          <w:szCs w:val="24"/>
          <w:lang w:val="en-GB" w:eastAsia="zh-CN" w:bidi="ar-SA"/>
        </w:rPr>
        <w:t>. Tech., 27:319–324.</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gramStart"/>
      <w:r>
        <w:rPr>
          <w:rFonts w:asciiTheme="majorBidi" w:eastAsia="Times New Roman" w:hAnsiTheme="majorBidi" w:cstheme="majorBidi"/>
          <w:sz w:val="24"/>
          <w:szCs w:val="24"/>
          <w:lang w:val="en-GB" w:eastAsia="zh-CN" w:bidi="ar-SA"/>
        </w:rPr>
        <w:t>Block W. (2003)</w:t>
      </w:r>
      <w:r w:rsidR="009064B9">
        <w:rPr>
          <w:rFonts w:asciiTheme="majorBidi" w:eastAsia="Times New Roman" w:hAnsiTheme="majorBidi" w:cstheme="majorBidi"/>
          <w:sz w:val="24"/>
          <w:szCs w:val="24"/>
          <w:lang w:val="en-GB" w:eastAsia="zh-CN" w:bidi="ar-SA"/>
        </w:rPr>
        <w:t>.</w:t>
      </w:r>
      <w:proofErr w:type="gramEnd"/>
      <w:r>
        <w:rPr>
          <w:rFonts w:asciiTheme="majorBidi" w:eastAsia="Times New Roman" w:hAnsiTheme="majorBidi" w:cstheme="majorBidi"/>
          <w:sz w:val="24"/>
          <w:szCs w:val="24"/>
          <w:lang w:val="en-GB" w:eastAsia="zh-CN" w:bidi="ar-SA"/>
        </w:rPr>
        <w:t xml:space="preserve"> Water status and thermal analysis of alginate beads used in cryopreservation of plant </w:t>
      </w:r>
      <w:proofErr w:type="spellStart"/>
      <w:r>
        <w:rPr>
          <w:rFonts w:asciiTheme="majorBidi" w:eastAsia="Times New Roman" w:hAnsiTheme="majorBidi" w:cstheme="majorBidi"/>
          <w:sz w:val="24"/>
          <w:szCs w:val="24"/>
          <w:lang w:val="en-GB" w:eastAsia="zh-CN" w:bidi="ar-SA"/>
        </w:rPr>
        <w:t>germplasm</w:t>
      </w:r>
      <w:proofErr w:type="spell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Cryobiol</w:t>
      </w:r>
      <w:proofErr w:type="spellEnd"/>
      <w:r>
        <w:rPr>
          <w:rFonts w:asciiTheme="majorBidi" w:eastAsia="Times New Roman" w:hAnsiTheme="majorBidi" w:cstheme="majorBidi"/>
          <w:sz w:val="24"/>
          <w:szCs w:val="24"/>
          <w:lang w:val="en-GB" w:eastAsia="zh-CN" w:bidi="ar-SA"/>
        </w:rPr>
        <w:t>, 47:59–72</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Danso</w:t>
      </w:r>
      <w:proofErr w:type="spellEnd"/>
      <w:r>
        <w:rPr>
          <w:rFonts w:asciiTheme="majorBidi" w:eastAsia="Times New Roman" w:hAnsiTheme="majorBidi" w:cstheme="majorBidi"/>
          <w:sz w:val="24"/>
          <w:szCs w:val="24"/>
          <w:lang w:val="en-GB" w:eastAsia="zh-CN" w:bidi="ar-SA"/>
        </w:rPr>
        <w:t xml:space="preserve"> K. E.</w:t>
      </w:r>
      <w:proofErr w:type="gramStart"/>
      <w:r>
        <w:rPr>
          <w:rFonts w:asciiTheme="majorBidi" w:eastAsia="Times New Roman" w:hAnsiTheme="majorBidi" w:cstheme="majorBidi"/>
          <w:sz w:val="24"/>
          <w:szCs w:val="24"/>
          <w:lang w:val="en-GB" w:eastAsia="zh-CN" w:bidi="ar-SA"/>
        </w:rPr>
        <w:t>,  Ford</w:t>
      </w:r>
      <w:proofErr w:type="gramEnd"/>
      <w:r>
        <w:rPr>
          <w:rFonts w:asciiTheme="majorBidi" w:eastAsia="Times New Roman" w:hAnsiTheme="majorBidi" w:cstheme="majorBidi"/>
          <w:sz w:val="24"/>
          <w:szCs w:val="24"/>
          <w:lang w:val="en-GB" w:eastAsia="zh-CN" w:bidi="ar-SA"/>
        </w:rPr>
        <w:t>-Lloyd  B. V. (2003)</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Encapsulation of nodal cuttings and shoot tips for storage and exchange of cassava </w:t>
      </w:r>
      <w:proofErr w:type="spellStart"/>
      <w:r>
        <w:rPr>
          <w:rFonts w:asciiTheme="majorBidi" w:eastAsia="Times New Roman" w:hAnsiTheme="majorBidi" w:cstheme="majorBidi"/>
          <w:sz w:val="24"/>
          <w:szCs w:val="24"/>
          <w:lang w:val="en-GB" w:eastAsia="zh-CN" w:bidi="ar-SA"/>
        </w:rPr>
        <w:t>germplasm</w:t>
      </w:r>
      <w:proofErr w:type="spellEnd"/>
      <w:r>
        <w:rPr>
          <w:rFonts w:asciiTheme="majorBidi" w:eastAsia="Times New Roman" w:hAnsiTheme="majorBidi" w:cstheme="majorBidi"/>
          <w:sz w:val="24"/>
          <w:szCs w:val="24"/>
          <w:lang w:val="en-GB" w:eastAsia="zh-CN" w:bidi="ar-SA"/>
        </w:rPr>
        <w:t>. Plant Cell Rep., 21: 718–725.</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r>
        <w:rPr>
          <w:rFonts w:asciiTheme="majorBidi" w:eastAsia="Times New Roman" w:hAnsiTheme="majorBidi" w:cstheme="majorBidi"/>
          <w:sz w:val="24"/>
          <w:szCs w:val="24"/>
          <w:lang w:val="en-GB" w:eastAsia="zh-CN" w:bidi="ar-SA"/>
        </w:rPr>
        <w:t xml:space="preserve">Duncan D. B.  (1955):  Multiple </w:t>
      </w:r>
      <w:proofErr w:type="gramStart"/>
      <w:r>
        <w:rPr>
          <w:rFonts w:asciiTheme="majorBidi" w:eastAsia="Times New Roman" w:hAnsiTheme="majorBidi" w:cstheme="majorBidi"/>
          <w:sz w:val="24"/>
          <w:szCs w:val="24"/>
          <w:lang w:val="en-GB" w:eastAsia="zh-CN" w:bidi="ar-SA"/>
        </w:rPr>
        <w:t>range</w:t>
      </w:r>
      <w:proofErr w:type="gramEnd"/>
      <w:r>
        <w:rPr>
          <w:rFonts w:asciiTheme="majorBidi" w:eastAsia="Times New Roman" w:hAnsiTheme="majorBidi" w:cstheme="majorBidi"/>
          <w:sz w:val="24"/>
          <w:szCs w:val="24"/>
          <w:lang w:val="en-GB" w:eastAsia="zh-CN" w:bidi="ar-SA"/>
        </w:rPr>
        <w:t xml:space="preserve"> and multiple F test. Biometrics, 11, 1–42.</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Ganapathi</w:t>
      </w:r>
      <w:proofErr w:type="spellEnd"/>
      <w:r>
        <w:rPr>
          <w:rFonts w:asciiTheme="majorBidi" w:eastAsia="Times New Roman" w:hAnsiTheme="majorBidi" w:cstheme="majorBidi"/>
          <w:sz w:val="24"/>
          <w:szCs w:val="24"/>
          <w:lang w:val="en-GB" w:eastAsia="zh-CN" w:bidi="ar-SA"/>
        </w:rPr>
        <w:t xml:space="preserve">, T. R., </w:t>
      </w:r>
      <w:proofErr w:type="spellStart"/>
      <w:r>
        <w:rPr>
          <w:rFonts w:asciiTheme="majorBidi" w:eastAsia="Times New Roman" w:hAnsiTheme="majorBidi" w:cstheme="majorBidi"/>
          <w:sz w:val="24"/>
          <w:szCs w:val="24"/>
          <w:lang w:val="en-GB" w:eastAsia="zh-CN" w:bidi="ar-SA"/>
        </w:rPr>
        <w:t>Srinivas</w:t>
      </w:r>
      <w:proofErr w:type="spellEnd"/>
      <w:r>
        <w:rPr>
          <w:rFonts w:asciiTheme="majorBidi" w:eastAsia="Times New Roman" w:hAnsiTheme="majorBidi" w:cstheme="majorBidi"/>
          <w:sz w:val="24"/>
          <w:szCs w:val="24"/>
          <w:lang w:val="en-GB" w:eastAsia="zh-CN" w:bidi="ar-SA"/>
        </w:rPr>
        <w:t xml:space="preserve"> L.</w:t>
      </w:r>
      <w:proofErr w:type="gramStart"/>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Suprasanna</w:t>
      </w:r>
      <w:proofErr w:type="spellEnd"/>
      <w:proofErr w:type="gramEnd"/>
      <w:r>
        <w:rPr>
          <w:rFonts w:asciiTheme="majorBidi" w:eastAsia="Times New Roman" w:hAnsiTheme="majorBidi" w:cstheme="majorBidi"/>
          <w:sz w:val="24"/>
          <w:szCs w:val="24"/>
          <w:lang w:val="en-GB" w:eastAsia="zh-CN" w:bidi="ar-SA"/>
        </w:rPr>
        <w:t xml:space="preserve"> P., </w:t>
      </w:r>
      <w:proofErr w:type="spellStart"/>
      <w:r>
        <w:rPr>
          <w:rFonts w:asciiTheme="majorBidi" w:eastAsia="Times New Roman" w:hAnsiTheme="majorBidi" w:cstheme="majorBidi"/>
          <w:sz w:val="24"/>
          <w:szCs w:val="24"/>
          <w:lang w:val="en-GB" w:eastAsia="zh-CN" w:bidi="ar-SA"/>
        </w:rPr>
        <w:t>Bapat</w:t>
      </w:r>
      <w:proofErr w:type="spellEnd"/>
      <w:r>
        <w:rPr>
          <w:rFonts w:asciiTheme="majorBidi" w:eastAsia="Times New Roman" w:hAnsiTheme="majorBidi" w:cstheme="majorBidi"/>
          <w:sz w:val="24"/>
          <w:szCs w:val="24"/>
          <w:lang w:val="en-GB" w:eastAsia="zh-CN" w:bidi="ar-SA"/>
        </w:rPr>
        <w:t xml:space="preserve"> V. A. (2001)</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Regeneration of plants from alginate-encapsulated somatic embryos of banana cv. </w:t>
      </w:r>
      <w:proofErr w:type="spellStart"/>
      <w:r>
        <w:rPr>
          <w:rFonts w:asciiTheme="majorBidi" w:eastAsia="Times New Roman" w:hAnsiTheme="majorBidi" w:cstheme="majorBidi"/>
          <w:sz w:val="24"/>
          <w:szCs w:val="24"/>
          <w:lang w:val="en-GB" w:eastAsia="zh-CN" w:bidi="ar-SA"/>
        </w:rPr>
        <w:t>Rasthali</w:t>
      </w:r>
      <w:proofErr w:type="spell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i/>
          <w:iCs/>
          <w:sz w:val="24"/>
          <w:szCs w:val="24"/>
          <w:lang w:val="en-GB" w:eastAsia="zh-CN" w:bidi="ar-SA"/>
        </w:rPr>
        <w:t>musa</w:t>
      </w:r>
      <w:proofErr w:type="spellEnd"/>
      <w:r>
        <w:rPr>
          <w:rFonts w:asciiTheme="majorBidi" w:eastAsia="Times New Roman" w:hAnsiTheme="majorBidi" w:cstheme="majorBidi"/>
          <w:i/>
          <w:iCs/>
          <w:sz w:val="24"/>
          <w:szCs w:val="24"/>
          <w:lang w:val="en-GB" w:eastAsia="zh-CN" w:bidi="ar-SA"/>
        </w:rPr>
        <w:t xml:space="preserve"> spp</w:t>
      </w:r>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Aab</w:t>
      </w:r>
      <w:proofErr w:type="spellEnd"/>
      <w:r>
        <w:rPr>
          <w:rFonts w:asciiTheme="majorBidi" w:eastAsia="Times New Roman" w:hAnsiTheme="majorBidi" w:cstheme="majorBidi"/>
          <w:sz w:val="24"/>
          <w:szCs w:val="24"/>
          <w:lang w:val="en-GB" w:eastAsia="zh-CN" w:bidi="ar-SA"/>
        </w:rPr>
        <w:t xml:space="preserve"> group).In Vitro Cell. Dev. Biol.–Plant, 37:178-181.</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Gangopadhyay</w:t>
      </w:r>
      <w:proofErr w:type="spellEnd"/>
      <w:r>
        <w:rPr>
          <w:rFonts w:asciiTheme="majorBidi" w:eastAsia="Times New Roman" w:hAnsiTheme="majorBidi" w:cstheme="majorBidi"/>
          <w:sz w:val="24"/>
          <w:szCs w:val="24"/>
          <w:lang w:val="en-GB" w:eastAsia="zh-CN" w:bidi="ar-SA"/>
        </w:rPr>
        <w:t xml:space="preserve">, G., </w:t>
      </w:r>
      <w:proofErr w:type="spellStart"/>
      <w:r>
        <w:rPr>
          <w:rFonts w:asciiTheme="majorBidi" w:eastAsia="Times New Roman" w:hAnsiTheme="majorBidi" w:cstheme="majorBidi"/>
          <w:sz w:val="24"/>
          <w:szCs w:val="24"/>
          <w:lang w:val="en-GB" w:eastAsia="zh-CN" w:bidi="ar-SA"/>
        </w:rPr>
        <w:t>Bandyopadhyay</w:t>
      </w:r>
      <w:proofErr w:type="spellEnd"/>
      <w:r>
        <w:rPr>
          <w:rFonts w:asciiTheme="majorBidi" w:eastAsia="Times New Roman" w:hAnsiTheme="majorBidi" w:cstheme="majorBidi"/>
          <w:sz w:val="24"/>
          <w:szCs w:val="24"/>
          <w:lang w:val="en-GB" w:eastAsia="zh-CN" w:bidi="ar-SA"/>
        </w:rPr>
        <w:t xml:space="preserve"> T., </w:t>
      </w:r>
      <w:proofErr w:type="spellStart"/>
      <w:r>
        <w:rPr>
          <w:rFonts w:asciiTheme="majorBidi" w:eastAsia="Times New Roman" w:hAnsiTheme="majorBidi" w:cstheme="majorBidi"/>
          <w:sz w:val="24"/>
          <w:szCs w:val="24"/>
          <w:lang w:val="en-GB" w:eastAsia="zh-CN" w:bidi="ar-SA"/>
        </w:rPr>
        <w:t>Poddarr</w:t>
      </w:r>
      <w:proofErr w:type="spellEnd"/>
      <w:r>
        <w:rPr>
          <w:rFonts w:asciiTheme="majorBidi" w:eastAsia="Times New Roman" w:hAnsiTheme="majorBidi" w:cstheme="majorBidi"/>
          <w:sz w:val="24"/>
          <w:szCs w:val="24"/>
          <w:lang w:val="en-GB" w:eastAsia="zh-CN" w:bidi="ar-SA"/>
        </w:rPr>
        <w:t xml:space="preserve">  R., </w:t>
      </w:r>
      <w:proofErr w:type="spellStart"/>
      <w:r>
        <w:rPr>
          <w:rFonts w:asciiTheme="majorBidi" w:eastAsia="Times New Roman" w:hAnsiTheme="majorBidi" w:cstheme="majorBidi"/>
          <w:sz w:val="24"/>
          <w:szCs w:val="24"/>
          <w:lang w:val="en-GB" w:eastAsia="zh-CN" w:bidi="ar-SA"/>
        </w:rPr>
        <w:t>Gangopadhya</w:t>
      </w:r>
      <w:r w:rsidR="009064B9">
        <w:rPr>
          <w:rFonts w:asciiTheme="majorBidi" w:eastAsia="Times New Roman" w:hAnsiTheme="majorBidi" w:cstheme="majorBidi"/>
          <w:sz w:val="24"/>
          <w:szCs w:val="24"/>
          <w:lang w:val="en-GB" w:eastAsia="zh-CN" w:bidi="ar-SA"/>
        </w:rPr>
        <w:t>y</w:t>
      </w:r>
      <w:proofErr w:type="spellEnd"/>
      <w:r w:rsidR="009064B9">
        <w:rPr>
          <w:rFonts w:asciiTheme="majorBidi" w:eastAsia="Times New Roman" w:hAnsiTheme="majorBidi" w:cstheme="majorBidi"/>
          <w:sz w:val="24"/>
          <w:szCs w:val="24"/>
          <w:lang w:val="en-GB" w:eastAsia="zh-CN" w:bidi="ar-SA"/>
        </w:rPr>
        <w:t xml:space="preserve"> S. B., Mukherjee K. K. (2005).</w:t>
      </w:r>
      <w:r>
        <w:rPr>
          <w:rFonts w:asciiTheme="majorBidi" w:eastAsia="Times New Roman" w:hAnsiTheme="majorBidi" w:cstheme="majorBidi"/>
          <w:sz w:val="24"/>
          <w:szCs w:val="24"/>
          <w:lang w:val="en-GB" w:eastAsia="zh-CN" w:bidi="ar-SA"/>
        </w:rPr>
        <w:t xml:space="preserve"> Encapsulation of pineapple micro shoots in alginate beads for temporary storage. Current Science, 88(6): 927-977.</w:t>
      </w:r>
    </w:p>
    <w:p w:rsidR="004C3EF1" w:rsidRDefault="009064B9"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Halmagyi</w:t>
      </w:r>
      <w:proofErr w:type="spellEnd"/>
      <w:r>
        <w:rPr>
          <w:rFonts w:asciiTheme="majorBidi" w:eastAsia="Times New Roman" w:hAnsiTheme="majorBidi" w:cstheme="majorBidi"/>
          <w:sz w:val="24"/>
          <w:szCs w:val="24"/>
          <w:lang w:val="en-GB" w:eastAsia="zh-CN" w:bidi="ar-SA"/>
        </w:rPr>
        <w:t xml:space="preserve">, A., </w:t>
      </w:r>
      <w:proofErr w:type="spellStart"/>
      <w:r>
        <w:rPr>
          <w:rFonts w:asciiTheme="majorBidi" w:eastAsia="Times New Roman" w:hAnsiTheme="majorBidi" w:cstheme="majorBidi"/>
          <w:sz w:val="24"/>
          <w:szCs w:val="24"/>
          <w:lang w:val="en-GB" w:eastAsia="zh-CN" w:bidi="ar-SA"/>
        </w:rPr>
        <w:t>Deliu</w:t>
      </w:r>
      <w:proofErr w:type="spellEnd"/>
      <w:r>
        <w:rPr>
          <w:rFonts w:asciiTheme="majorBidi" w:eastAsia="Times New Roman" w:hAnsiTheme="majorBidi" w:cstheme="majorBidi"/>
          <w:sz w:val="24"/>
          <w:szCs w:val="24"/>
          <w:lang w:val="en-GB" w:eastAsia="zh-CN" w:bidi="ar-SA"/>
        </w:rPr>
        <w:t xml:space="preserve"> C. (2007).</w:t>
      </w:r>
      <w:r w:rsidR="004C3EF1">
        <w:rPr>
          <w:rFonts w:asciiTheme="majorBidi" w:eastAsia="Times New Roman" w:hAnsiTheme="majorBidi" w:cstheme="majorBidi"/>
          <w:sz w:val="24"/>
          <w:szCs w:val="24"/>
          <w:lang w:val="en-GB" w:eastAsia="zh-CN" w:bidi="ar-SA"/>
        </w:rPr>
        <w:t xml:space="preserve"> Cryopreservation of carnation (</w:t>
      </w:r>
      <w:r w:rsidR="004C3EF1">
        <w:rPr>
          <w:rFonts w:asciiTheme="majorBidi" w:eastAsia="Times New Roman" w:hAnsiTheme="majorBidi" w:cstheme="majorBidi"/>
          <w:i/>
          <w:iCs/>
          <w:sz w:val="24"/>
          <w:szCs w:val="24"/>
          <w:lang w:val="en-GB" w:eastAsia="zh-CN" w:bidi="ar-SA"/>
        </w:rPr>
        <w:t xml:space="preserve">Dianthus </w:t>
      </w:r>
      <w:proofErr w:type="spellStart"/>
      <w:r w:rsidR="004C3EF1">
        <w:rPr>
          <w:rFonts w:asciiTheme="majorBidi" w:eastAsia="Times New Roman" w:hAnsiTheme="majorBidi" w:cstheme="majorBidi"/>
          <w:i/>
          <w:iCs/>
          <w:sz w:val="24"/>
          <w:szCs w:val="24"/>
          <w:lang w:val="en-GB" w:eastAsia="zh-CN" w:bidi="ar-SA"/>
        </w:rPr>
        <w:t>caryophyllus</w:t>
      </w:r>
      <w:proofErr w:type="spellEnd"/>
      <w:r w:rsidR="004C3EF1">
        <w:rPr>
          <w:rFonts w:asciiTheme="majorBidi" w:eastAsia="Times New Roman" w:hAnsiTheme="majorBidi" w:cstheme="majorBidi"/>
          <w:sz w:val="24"/>
          <w:szCs w:val="24"/>
          <w:lang w:val="en-GB" w:eastAsia="zh-CN" w:bidi="ar-SA"/>
        </w:rPr>
        <w:t xml:space="preserve"> L.) shoot tips by encapsulation-</w:t>
      </w:r>
      <w:proofErr w:type="spellStart"/>
      <w:r w:rsidR="004C3EF1">
        <w:rPr>
          <w:rFonts w:asciiTheme="majorBidi" w:eastAsia="Times New Roman" w:hAnsiTheme="majorBidi" w:cstheme="majorBidi"/>
          <w:sz w:val="24"/>
          <w:szCs w:val="24"/>
          <w:lang w:val="en-GB" w:eastAsia="zh-CN" w:bidi="ar-SA"/>
        </w:rPr>
        <w:t>vitrification</w:t>
      </w:r>
      <w:proofErr w:type="spellEnd"/>
      <w:r w:rsidR="004C3EF1">
        <w:rPr>
          <w:rFonts w:asciiTheme="majorBidi" w:eastAsia="Times New Roman" w:hAnsiTheme="majorBidi" w:cstheme="majorBidi"/>
          <w:sz w:val="24"/>
          <w:szCs w:val="24"/>
          <w:lang w:val="en-GB" w:eastAsia="zh-CN" w:bidi="ar-SA"/>
        </w:rPr>
        <w:t xml:space="preserve">. </w:t>
      </w:r>
      <w:proofErr w:type="spellStart"/>
      <w:r w:rsidR="004C3EF1">
        <w:rPr>
          <w:rFonts w:asciiTheme="majorBidi" w:eastAsia="Times New Roman" w:hAnsiTheme="majorBidi" w:cstheme="majorBidi"/>
          <w:sz w:val="24"/>
          <w:szCs w:val="24"/>
          <w:lang w:val="en-GB" w:eastAsia="zh-CN" w:bidi="ar-SA"/>
        </w:rPr>
        <w:t>Scientia</w:t>
      </w:r>
      <w:proofErr w:type="spellEnd"/>
      <w:r w:rsidR="004C3EF1">
        <w:rPr>
          <w:rFonts w:asciiTheme="majorBidi" w:eastAsia="Times New Roman" w:hAnsiTheme="majorBidi" w:cstheme="majorBidi"/>
          <w:sz w:val="24"/>
          <w:szCs w:val="24"/>
          <w:lang w:val="en-GB" w:eastAsia="zh-CN" w:bidi="ar-SA"/>
        </w:rPr>
        <w:t xml:space="preserve"> </w:t>
      </w:r>
      <w:proofErr w:type="spellStart"/>
      <w:proofErr w:type="gramStart"/>
      <w:r w:rsidR="004C3EF1">
        <w:rPr>
          <w:rFonts w:asciiTheme="majorBidi" w:eastAsia="Times New Roman" w:hAnsiTheme="majorBidi" w:cstheme="majorBidi"/>
          <w:sz w:val="24"/>
          <w:szCs w:val="24"/>
          <w:lang w:val="en-GB" w:eastAsia="zh-CN" w:bidi="ar-SA"/>
        </w:rPr>
        <w:t>Horticulturae</w:t>
      </w:r>
      <w:proofErr w:type="spellEnd"/>
      <w:r w:rsidR="004C3EF1">
        <w:rPr>
          <w:rFonts w:asciiTheme="majorBidi" w:eastAsia="Times New Roman" w:hAnsiTheme="majorBidi" w:cstheme="majorBidi"/>
          <w:sz w:val="24"/>
          <w:szCs w:val="24"/>
          <w:lang w:val="en-GB" w:eastAsia="zh-CN" w:bidi="ar-SA"/>
        </w:rPr>
        <w:t xml:space="preserve"> ,</w:t>
      </w:r>
      <w:proofErr w:type="gramEnd"/>
      <w:r w:rsidR="004C3EF1">
        <w:rPr>
          <w:rFonts w:asciiTheme="majorBidi" w:eastAsia="Times New Roman" w:hAnsiTheme="majorBidi" w:cstheme="majorBidi"/>
          <w:sz w:val="24"/>
          <w:szCs w:val="24"/>
          <w:lang w:val="en-GB" w:eastAsia="zh-CN" w:bidi="ar-SA"/>
        </w:rPr>
        <w:t xml:space="preserve"> 113: 300–306.</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Hasan</w:t>
      </w:r>
      <w:proofErr w:type="gramStart"/>
      <w:r>
        <w:rPr>
          <w:rFonts w:asciiTheme="majorBidi" w:eastAsia="Times New Roman" w:hAnsiTheme="majorBidi" w:cstheme="majorBidi"/>
          <w:sz w:val="24"/>
          <w:szCs w:val="24"/>
          <w:lang w:val="en-GB" w:eastAsia="zh-CN" w:bidi="ar-SA"/>
        </w:rPr>
        <w:t>,S</w:t>
      </w:r>
      <w:proofErr w:type="spellEnd"/>
      <w:proofErr w:type="gramEnd"/>
      <w:r>
        <w:rPr>
          <w:rFonts w:asciiTheme="majorBidi" w:eastAsia="Times New Roman" w:hAnsiTheme="majorBidi" w:cstheme="majorBidi"/>
          <w:sz w:val="24"/>
          <w:szCs w:val="24"/>
          <w:lang w:val="en-GB" w:eastAsia="zh-CN" w:bidi="ar-SA"/>
        </w:rPr>
        <w:t>. M. Z.,  Takagi, H.  (1995)</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Alginate- coated nodal segments of </w:t>
      </w:r>
      <w:proofErr w:type="gramStart"/>
      <w:r>
        <w:rPr>
          <w:rFonts w:asciiTheme="majorBidi" w:eastAsia="Times New Roman" w:hAnsiTheme="majorBidi" w:cstheme="majorBidi"/>
          <w:sz w:val="24"/>
          <w:szCs w:val="24"/>
          <w:lang w:val="en-GB" w:eastAsia="zh-CN" w:bidi="ar-SA"/>
        </w:rPr>
        <w:t>yam(</w:t>
      </w:r>
      <w:proofErr w:type="spellStart"/>
      <w:proofErr w:type="gramEnd"/>
      <w:r>
        <w:rPr>
          <w:rFonts w:asciiTheme="majorBidi" w:eastAsia="Times New Roman" w:hAnsiTheme="majorBidi" w:cstheme="majorBidi"/>
          <w:i/>
          <w:iCs/>
          <w:sz w:val="24"/>
          <w:szCs w:val="24"/>
          <w:lang w:val="en-GB" w:eastAsia="zh-CN" w:bidi="ar-SA"/>
        </w:rPr>
        <w:t>Dioscorea</w:t>
      </w:r>
      <w:proofErr w:type="spellEnd"/>
      <w:r>
        <w:rPr>
          <w:rFonts w:asciiTheme="majorBidi" w:eastAsia="Times New Roman" w:hAnsiTheme="majorBidi" w:cstheme="majorBidi"/>
          <w:i/>
          <w:iCs/>
          <w:sz w:val="24"/>
          <w:szCs w:val="24"/>
          <w:lang w:val="en-GB" w:eastAsia="zh-CN" w:bidi="ar-SA"/>
        </w:rPr>
        <w:t xml:space="preserve"> spp</w:t>
      </w:r>
      <w:r>
        <w:rPr>
          <w:rFonts w:asciiTheme="majorBidi" w:eastAsia="Times New Roman" w:hAnsiTheme="majorBidi" w:cstheme="majorBidi"/>
          <w:sz w:val="24"/>
          <w:szCs w:val="24"/>
          <w:lang w:val="en-GB" w:eastAsia="zh-CN" w:bidi="ar-SA"/>
        </w:rPr>
        <w:t xml:space="preserve">.) for </w:t>
      </w:r>
      <w:proofErr w:type="spellStart"/>
      <w:r>
        <w:rPr>
          <w:rFonts w:asciiTheme="majorBidi" w:eastAsia="Times New Roman" w:hAnsiTheme="majorBidi" w:cstheme="majorBidi"/>
          <w:sz w:val="24"/>
          <w:szCs w:val="24"/>
          <w:lang w:val="en-GB" w:eastAsia="zh-CN" w:bidi="ar-SA"/>
        </w:rPr>
        <w:t>germplasm</w:t>
      </w:r>
      <w:proofErr w:type="spellEnd"/>
      <w:r>
        <w:rPr>
          <w:rFonts w:asciiTheme="majorBidi" w:eastAsia="Times New Roman" w:hAnsiTheme="majorBidi" w:cstheme="majorBidi"/>
          <w:sz w:val="24"/>
          <w:szCs w:val="24"/>
          <w:lang w:val="en-GB" w:eastAsia="zh-CN" w:bidi="ar-SA"/>
        </w:rPr>
        <w:t xml:space="preserve"> exchange and distribution. Plant Genetic Resource News </w:t>
      </w:r>
      <w:proofErr w:type="spellStart"/>
      <w:proofErr w:type="gramStart"/>
      <w:r>
        <w:rPr>
          <w:rFonts w:asciiTheme="majorBidi" w:eastAsia="Times New Roman" w:hAnsiTheme="majorBidi" w:cstheme="majorBidi"/>
          <w:sz w:val="24"/>
          <w:szCs w:val="24"/>
          <w:lang w:val="en-GB" w:eastAsia="zh-CN" w:bidi="ar-SA"/>
        </w:rPr>
        <w:t>lett</w:t>
      </w:r>
      <w:proofErr w:type="spellEnd"/>
      <w:r>
        <w:rPr>
          <w:rFonts w:asciiTheme="majorBidi" w:eastAsia="Times New Roman" w:hAnsiTheme="majorBidi" w:cstheme="majorBidi"/>
          <w:sz w:val="24"/>
          <w:szCs w:val="24"/>
          <w:lang w:val="en-GB" w:eastAsia="zh-CN" w:bidi="ar-SA"/>
        </w:rPr>
        <w:t>.,</w:t>
      </w:r>
      <w:proofErr w:type="gramEnd"/>
      <w:r>
        <w:rPr>
          <w:rFonts w:asciiTheme="majorBidi" w:eastAsia="Times New Roman" w:hAnsiTheme="majorBidi" w:cstheme="majorBidi"/>
          <w:sz w:val="24"/>
          <w:szCs w:val="24"/>
          <w:lang w:val="en-GB" w:eastAsia="zh-CN" w:bidi="ar-SA"/>
        </w:rPr>
        <w:t xml:space="preserve"> 103: 32-35.</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Hassan</w:t>
      </w:r>
      <w:proofErr w:type="gramStart"/>
      <w:r>
        <w:rPr>
          <w:rFonts w:ascii="Times New Roman" w:eastAsia="Calibri" w:hAnsi="Times New Roman" w:cs="Times New Roman"/>
          <w:sz w:val="24"/>
          <w:szCs w:val="24"/>
        </w:rPr>
        <w:t>,  N</w:t>
      </w:r>
      <w:proofErr w:type="gramEnd"/>
      <w:r>
        <w:rPr>
          <w:rFonts w:ascii="Times New Roman" w:eastAsia="Calibri" w:hAnsi="Times New Roman" w:cs="Times New Roman"/>
          <w:sz w:val="24"/>
          <w:szCs w:val="24"/>
        </w:rPr>
        <w:t>. SH. (2003)</w:t>
      </w:r>
      <w:r w:rsidR="009064B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 xml:space="preserve">In Vitro </w:t>
      </w:r>
      <w:r>
        <w:rPr>
          <w:rFonts w:ascii="Times New Roman" w:eastAsia="Calibri" w:hAnsi="Times New Roman" w:cs="Times New Roman"/>
          <w:sz w:val="24"/>
          <w:szCs w:val="24"/>
        </w:rPr>
        <w:t>Propagation of Jojoba (</w:t>
      </w:r>
      <w:proofErr w:type="spellStart"/>
      <w:r>
        <w:rPr>
          <w:rFonts w:ascii="Times New Roman" w:eastAsia="Calibri" w:hAnsi="Times New Roman" w:cs="Times New Roman"/>
          <w:i/>
          <w:iCs/>
          <w:sz w:val="24"/>
          <w:szCs w:val="24"/>
        </w:rPr>
        <w:t>Simmondsi</w:t>
      </w:r>
      <w:proofErr w:type="spellEnd"/>
      <w:r>
        <w:rPr>
          <w:rFonts w:ascii="Times New Roman" w:eastAsia="Calibri" w:hAnsi="Times New Roman" w:cs="Times New Roman"/>
          <w:i/>
          <w:iCs/>
          <w:sz w:val="24"/>
          <w:szCs w:val="24"/>
        </w:rPr>
        <w:t xml:space="preserve"> </w:t>
      </w:r>
      <w:proofErr w:type="spellStart"/>
      <w:r>
        <w:rPr>
          <w:rFonts w:ascii="Times New Roman" w:eastAsia="Calibri" w:hAnsi="Times New Roman" w:cs="Times New Roman"/>
          <w:i/>
          <w:iCs/>
          <w:sz w:val="24"/>
          <w:szCs w:val="24"/>
        </w:rPr>
        <w:t>achinensis</w:t>
      </w:r>
      <w:proofErr w:type="spellEnd"/>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rPr>
        <w:t>L.) through Alginate-encapsulated Shoot Apical and Axillary Buds. Int. J. Agri. Biol., 5(4):513–516.</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Ipekci</w:t>
      </w:r>
      <w:proofErr w:type="gramStart"/>
      <w:r>
        <w:rPr>
          <w:rFonts w:asciiTheme="majorBidi" w:eastAsia="Times New Roman" w:hAnsiTheme="majorBidi" w:cstheme="majorBidi"/>
          <w:sz w:val="24"/>
          <w:szCs w:val="24"/>
          <w:lang w:val="en-GB" w:eastAsia="zh-CN" w:bidi="ar-SA"/>
        </w:rPr>
        <w:t>,Z</w:t>
      </w:r>
      <w:proofErr w:type="spellEnd"/>
      <w:proofErr w:type="gramEnd"/>
      <w:r>
        <w:rPr>
          <w:rFonts w:asciiTheme="majorBidi" w:eastAsia="Times New Roman" w:hAnsiTheme="majorBidi" w:cstheme="majorBidi"/>
          <w:sz w:val="24"/>
          <w:szCs w:val="24"/>
          <w:lang w:val="en-GB" w:eastAsia="zh-CN" w:bidi="ar-SA"/>
        </w:rPr>
        <w:t xml:space="preserve">. , </w:t>
      </w:r>
      <w:proofErr w:type="spellStart"/>
      <w:r>
        <w:rPr>
          <w:rFonts w:asciiTheme="majorBidi" w:eastAsia="Times New Roman" w:hAnsiTheme="majorBidi" w:cstheme="majorBidi"/>
          <w:sz w:val="24"/>
          <w:szCs w:val="24"/>
          <w:lang w:val="en-GB" w:eastAsia="zh-CN" w:bidi="ar-SA"/>
        </w:rPr>
        <w:t>Gouzukirmizi</w:t>
      </w:r>
      <w:proofErr w:type="spellEnd"/>
      <w:r>
        <w:rPr>
          <w:rFonts w:asciiTheme="majorBidi" w:eastAsia="Times New Roman" w:hAnsiTheme="majorBidi" w:cstheme="majorBidi"/>
          <w:sz w:val="24"/>
          <w:szCs w:val="24"/>
          <w:lang w:val="en-GB" w:eastAsia="zh-CN" w:bidi="ar-SA"/>
        </w:rPr>
        <w:t xml:space="preserve"> N. (2003)</w:t>
      </w:r>
      <w:r w:rsidR="009064B9">
        <w:rPr>
          <w:rFonts w:asciiTheme="majorBidi" w:eastAsia="Times New Roman" w:hAnsiTheme="majorBidi" w:cstheme="majorBidi"/>
          <w:sz w:val="24"/>
          <w:szCs w:val="24"/>
          <w:lang w:val="en-GB" w:eastAsia="zh-CN" w:bidi="ar-SA"/>
        </w:rPr>
        <w:t xml:space="preserve">. </w:t>
      </w:r>
      <w:proofErr w:type="gramStart"/>
      <w:r>
        <w:rPr>
          <w:rFonts w:asciiTheme="majorBidi" w:eastAsia="Times New Roman" w:hAnsiTheme="majorBidi" w:cstheme="majorBidi"/>
          <w:sz w:val="24"/>
          <w:szCs w:val="24"/>
          <w:lang w:val="en-GB" w:eastAsia="zh-CN" w:bidi="ar-SA"/>
        </w:rPr>
        <w:t xml:space="preserve">Direct somatic embryogenesis and synthetic seed production from </w:t>
      </w:r>
      <w:r>
        <w:rPr>
          <w:rFonts w:asciiTheme="majorBidi" w:eastAsia="Times New Roman" w:hAnsiTheme="majorBidi" w:cstheme="majorBidi"/>
          <w:i/>
          <w:iCs/>
          <w:sz w:val="24"/>
          <w:szCs w:val="24"/>
          <w:lang w:val="en-GB" w:eastAsia="zh-CN" w:bidi="ar-SA"/>
        </w:rPr>
        <w:t xml:space="preserve">Paulownia </w:t>
      </w:r>
      <w:proofErr w:type="spellStart"/>
      <w:r>
        <w:rPr>
          <w:rFonts w:asciiTheme="majorBidi" w:eastAsia="Times New Roman" w:hAnsiTheme="majorBidi" w:cstheme="majorBidi"/>
          <w:i/>
          <w:iCs/>
          <w:sz w:val="24"/>
          <w:szCs w:val="24"/>
          <w:lang w:val="en-GB" w:eastAsia="zh-CN" w:bidi="ar-SA"/>
        </w:rPr>
        <w:t>elongata</w:t>
      </w:r>
      <w:proofErr w:type="spellEnd"/>
      <w:r>
        <w:rPr>
          <w:rFonts w:asciiTheme="majorBidi" w:eastAsia="Times New Roman" w:hAnsiTheme="majorBidi" w:cstheme="majorBidi"/>
          <w:sz w:val="24"/>
          <w:szCs w:val="24"/>
          <w:lang w:val="en-GB" w:eastAsia="zh-CN" w:bidi="ar-SA"/>
        </w:rPr>
        <w:t>.</w:t>
      </w:r>
      <w:proofErr w:type="gramEnd"/>
      <w:r>
        <w:rPr>
          <w:rFonts w:asciiTheme="majorBidi" w:eastAsia="Times New Roman" w:hAnsiTheme="majorBidi" w:cstheme="majorBidi"/>
          <w:sz w:val="24"/>
          <w:szCs w:val="24"/>
          <w:lang w:val="en-GB" w:eastAsia="zh-CN" w:bidi="ar-SA"/>
        </w:rPr>
        <w:t xml:space="preserve"> Plant Cell Reports, 22(1):16–24. </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Machii</w:t>
      </w:r>
      <w:proofErr w:type="spellEnd"/>
      <w:r>
        <w:rPr>
          <w:rFonts w:asciiTheme="majorBidi" w:eastAsia="Times New Roman" w:hAnsiTheme="majorBidi" w:cstheme="majorBidi"/>
          <w:sz w:val="24"/>
          <w:szCs w:val="24"/>
          <w:lang w:val="en-GB" w:eastAsia="zh-CN" w:bidi="ar-SA"/>
        </w:rPr>
        <w:t xml:space="preserve"> H., Yamanouchi H. (1993)</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Growth of mulberry synthetic seeds on vermiculite, sand and soil media. J. </w:t>
      </w:r>
      <w:proofErr w:type="spellStart"/>
      <w:r>
        <w:rPr>
          <w:rFonts w:asciiTheme="majorBidi" w:eastAsia="Times New Roman" w:hAnsiTheme="majorBidi" w:cstheme="majorBidi"/>
          <w:sz w:val="24"/>
          <w:szCs w:val="24"/>
          <w:lang w:val="en-GB" w:eastAsia="zh-CN" w:bidi="ar-SA"/>
        </w:rPr>
        <w:t>Seric</w:t>
      </w:r>
      <w:proofErr w:type="spellEnd"/>
      <w:r>
        <w:rPr>
          <w:rFonts w:asciiTheme="majorBidi" w:eastAsia="Times New Roman" w:hAnsiTheme="majorBidi" w:cstheme="majorBidi"/>
          <w:sz w:val="24"/>
          <w:szCs w:val="24"/>
          <w:lang w:val="en-GB" w:eastAsia="zh-CN" w:bidi="ar-SA"/>
        </w:rPr>
        <w:t xml:space="preserve">. Sci. </w:t>
      </w:r>
      <w:proofErr w:type="spellStart"/>
      <w:r>
        <w:rPr>
          <w:rFonts w:asciiTheme="majorBidi" w:eastAsia="Times New Roman" w:hAnsiTheme="majorBidi" w:cstheme="majorBidi"/>
          <w:sz w:val="24"/>
          <w:szCs w:val="24"/>
          <w:lang w:val="en-GB" w:eastAsia="zh-CN" w:bidi="ar-SA"/>
        </w:rPr>
        <w:t>Jpn</w:t>
      </w:r>
      <w:proofErr w:type="spellEnd"/>
      <w:r>
        <w:rPr>
          <w:rFonts w:asciiTheme="majorBidi" w:eastAsia="Times New Roman" w:hAnsiTheme="majorBidi" w:cstheme="majorBidi"/>
          <w:sz w:val="24"/>
          <w:szCs w:val="24"/>
          <w:lang w:val="en-GB" w:eastAsia="zh-CN" w:bidi="ar-SA"/>
        </w:rPr>
        <w:t>, 62(1):85–87.</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r>
        <w:rPr>
          <w:rFonts w:asciiTheme="majorBidi" w:eastAsia="Times New Roman" w:hAnsiTheme="majorBidi" w:cstheme="majorBidi"/>
          <w:sz w:val="24"/>
          <w:szCs w:val="24"/>
          <w:lang w:val="en-GB" w:eastAsia="zh-CN" w:bidi="ar-SA"/>
        </w:rPr>
        <w:t xml:space="preserve">Maruyama E., Kinoshita I., Ishii  K.,  </w:t>
      </w:r>
      <w:proofErr w:type="spellStart"/>
      <w:r>
        <w:rPr>
          <w:rFonts w:asciiTheme="majorBidi" w:eastAsia="Times New Roman" w:hAnsiTheme="majorBidi" w:cstheme="majorBidi"/>
          <w:sz w:val="24"/>
          <w:szCs w:val="24"/>
          <w:lang w:val="en-GB" w:eastAsia="zh-CN" w:bidi="ar-SA"/>
        </w:rPr>
        <w:t>Shigenag</w:t>
      </w:r>
      <w:proofErr w:type="spellEnd"/>
      <w:r>
        <w:rPr>
          <w:rFonts w:asciiTheme="majorBidi" w:eastAsia="Times New Roman" w:hAnsiTheme="majorBidi" w:cstheme="majorBidi"/>
          <w:sz w:val="24"/>
          <w:szCs w:val="24"/>
          <w:lang w:val="en-GB" w:eastAsia="zh-CN" w:bidi="ar-SA"/>
        </w:rPr>
        <w:t xml:space="preserve"> H., </w:t>
      </w:r>
      <w:proofErr w:type="spellStart"/>
      <w:r>
        <w:rPr>
          <w:rFonts w:asciiTheme="majorBidi" w:eastAsia="Times New Roman" w:hAnsiTheme="majorBidi" w:cstheme="majorBidi"/>
          <w:sz w:val="24"/>
          <w:szCs w:val="24"/>
          <w:lang w:val="en-GB" w:eastAsia="zh-CN" w:bidi="ar-SA"/>
        </w:rPr>
        <w:t>Ohba</w:t>
      </w:r>
      <w:proofErr w:type="spellEnd"/>
      <w:r>
        <w:rPr>
          <w:rFonts w:asciiTheme="majorBidi" w:eastAsia="Times New Roman" w:hAnsiTheme="majorBidi" w:cstheme="majorBidi"/>
          <w:sz w:val="24"/>
          <w:szCs w:val="24"/>
          <w:lang w:val="en-GB" w:eastAsia="zh-CN" w:bidi="ar-SA"/>
        </w:rPr>
        <w:t xml:space="preserve"> K., Saito A. (1997)</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Alginate encapsulation technology for the propagation of the tropical forest trees: </w:t>
      </w:r>
      <w:proofErr w:type="spellStart"/>
      <w:r>
        <w:rPr>
          <w:rFonts w:asciiTheme="majorBidi" w:eastAsia="Times New Roman" w:hAnsiTheme="majorBidi" w:cstheme="majorBidi"/>
          <w:i/>
          <w:iCs/>
          <w:sz w:val="24"/>
          <w:szCs w:val="24"/>
          <w:lang w:val="en-GB" w:eastAsia="zh-CN" w:bidi="ar-SA"/>
        </w:rPr>
        <w:t>Cedrellaodorela</w:t>
      </w:r>
      <w:proofErr w:type="spellEnd"/>
      <w:r>
        <w:rPr>
          <w:rFonts w:asciiTheme="majorBidi" w:eastAsia="Times New Roman" w:hAnsiTheme="majorBidi" w:cstheme="majorBidi"/>
          <w:i/>
          <w:iCs/>
          <w:sz w:val="24"/>
          <w:szCs w:val="24"/>
          <w:lang w:val="en-GB" w:eastAsia="zh-CN" w:bidi="ar-SA"/>
        </w:rPr>
        <w:t xml:space="preserve">, </w:t>
      </w:r>
      <w:proofErr w:type="spellStart"/>
      <w:r>
        <w:rPr>
          <w:rFonts w:asciiTheme="majorBidi" w:eastAsia="Times New Roman" w:hAnsiTheme="majorBidi" w:cstheme="majorBidi"/>
          <w:i/>
          <w:iCs/>
          <w:sz w:val="24"/>
          <w:szCs w:val="24"/>
          <w:lang w:val="en-GB" w:eastAsia="zh-CN" w:bidi="ar-SA"/>
        </w:rPr>
        <w:t>Guazumacrinita</w:t>
      </w:r>
      <w:proofErr w:type="spellEnd"/>
      <w:r>
        <w:rPr>
          <w:rFonts w:asciiTheme="majorBidi" w:eastAsia="Times New Roman" w:hAnsiTheme="majorBidi" w:cstheme="majorBidi"/>
          <w:i/>
          <w:iCs/>
          <w:sz w:val="24"/>
          <w:szCs w:val="24"/>
          <w:lang w:val="en-GB" w:eastAsia="zh-CN" w:bidi="ar-SA"/>
        </w:rPr>
        <w:t xml:space="preserve">, Jacaranda </w:t>
      </w:r>
      <w:proofErr w:type="spellStart"/>
      <w:r>
        <w:rPr>
          <w:rFonts w:asciiTheme="majorBidi" w:eastAsia="Times New Roman" w:hAnsiTheme="majorBidi" w:cstheme="majorBidi"/>
          <w:i/>
          <w:iCs/>
          <w:sz w:val="24"/>
          <w:szCs w:val="24"/>
          <w:lang w:val="en-GB" w:eastAsia="zh-CN" w:bidi="ar-SA"/>
        </w:rPr>
        <w:t>mimosaefolia</w:t>
      </w:r>
      <w:proofErr w:type="spellEnd"/>
      <w:r>
        <w:rPr>
          <w:rFonts w:asciiTheme="majorBidi" w:eastAsia="Times New Roman" w:hAnsiTheme="majorBidi" w:cstheme="majorBidi"/>
          <w:sz w:val="24"/>
          <w:szCs w:val="24"/>
          <w:lang w:val="en-GB" w:eastAsia="zh-CN" w:bidi="ar-SA"/>
        </w:rPr>
        <w:t xml:space="preserve">. D. Don. </w:t>
      </w:r>
      <w:proofErr w:type="spellStart"/>
      <w:r>
        <w:rPr>
          <w:rFonts w:asciiTheme="majorBidi" w:eastAsia="Times New Roman" w:hAnsiTheme="majorBidi" w:cstheme="majorBidi"/>
          <w:sz w:val="24"/>
          <w:szCs w:val="24"/>
          <w:lang w:val="en-GB" w:eastAsia="zh-CN" w:bidi="ar-SA"/>
        </w:rPr>
        <w:t>Silvae</w:t>
      </w:r>
      <w:proofErr w:type="spellEnd"/>
      <w:r>
        <w:rPr>
          <w:rFonts w:asciiTheme="majorBidi" w:eastAsia="Times New Roman" w:hAnsiTheme="majorBidi" w:cstheme="majorBidi"/>
          <w:sz w:val="24"/>
          <w:szCs w:val="24"/>
          <w:lang w:val="en-GB" w:eastAsia="zh-CN" w:bidi="ar-SA"/>
        </w:rPr>
        <w:t xml:space="preserve"> </w:t>
      </w:r>
      <w:proofErr w:type="gramStart"/>
      <w:r>
        <w:rPr>
          <w:rFonts w:asciiTheme="majorBidi" w:eastAsia="Times New Roman" w:hAnsiTheme="majorBidi" w:cstheme="majorBidi"/>
          <w:sz w:val="24"/>
          <w:szCs w:val="24"/>
          <w:lang w:val="en-GB" w:eastAsia="zh-CN" w:bidi="ar-SA"/>
        </w:rPr>
        <w:t>Genet.,</w:t>
      </w:r>
      <w:proofErr w:type="gramEnd"/>
      <w:r>
        <w:rPr>
          <w:rFonts w:asciiTheme="majorBidi" w:eastAsia="Times New Roman" w:hAnsiTheme="majorBidi" w:cstheme="majorBidi"/>
          <w:sz w:val="24"/>
          <w:szCs w:val="24"/>
          <w:lang w:val="en-GB" w:eastAsia="zh-CN" w:bidi="ar-SA"/>
        </w:rPr>
        <w:t xml:space="preserve"> 46: 17–23.</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Murashige</w:t>
      </w:r>
      <w:proofErr w:type="spellEnd"/>
      <w:r>
        <w:rPr>
          <w:rFonts w:ascii="Times New Roman" w:eastAsia="Calibri" w:hAnsi="Times New Roman" w:cs="Times New Roman"/>
          <w:sz w:val="24"/>
          <w:szCs w:val="24"/>
        </w:rPr>
        <w:t xml:space="preserve"> T</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1997)</w:t>
      </w:r>
      <w:r w:rsidR="009064B9">
        <w:rPr>
          <w:rFonts w:ascii="Times New Roman" w:eastAsia="Calibri" w:hAnsi="Times New Roman" w:cs="Times New Roman"/>
          <w:sz w:val="24"/>
          <w:szCs w:val="24"/>
        </w:rPr>
        <w:t>.</w:t>
      </w:r>
      <w:r>
        <w:rPr>
          <w:rFonts w:ascii="Times New Roman" w:eastAsia="Calibri" w:hAnsi="Times New Roman" w:cs="Times New Roman"/>
          <w:sz w:val="24"/>
          <w:szCs w:val="24"/>
        </w:rPr>
        <w:t xml:space="preserve"> Plant cell and organ cultures as horticultural </w:t>
      </w:r>
      <w:proofErr w:type="spellStart"/>
      <w:r>
        <w:rPr>
          <w:rFonts w:ascii="Times New Roman" w:eastAsia="Calibri" w:hAnsi="Times New Roman" w:cs="Times New Roman"/>
          <w:sz w:val="24"/>
          <w:szCs w:val="24"/>
        </w:rPr>
        <w:t>practices.ActaHortic</w:t>
      </w:r>
      <w:proofErr w:type="spellEnd"/>
      <w:r>
        <w:rPr>
          <w:rFonts w:ascii="Times New Roman" w:eastAsia="Calibri" w:hAnsi="Times New Roman" w:cs="Times New Roman"/>
          <w:sz w:val="24"/>
          <w:szCs w:val="24"/>
        </w:rPr>
        <w:t>., 78: 17–30.</w:t>
      </w:r>
    </w:p>
    <w:p w:rsidR="004C3EF1" w:rsidRDefault="009064B9"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Murashige</w:t>
      </w:r>
      <w:proofErr w:type="gramStart"/>
      <w:r>
        <w:rPr>
          <w:rFonts w:asciiTheme="majorBidi" w:eastAsia="Times New Roman" w:hAnsiTheme="majorBidi" w:cstheme="majorBidi"/>
          <w:sz w:val="24"/>
          <w:szCs w:val="24"/>
          <w:lang w:val="en-GB" w:eastAsia="zh-CN" w:bidi="ar-SA"/>
        </w:rPr>
        <w:t>,T</w:t>
      </w:r>
      <w:proofErr w:type="spellEnd"/>
      <w:proofErr w:type="gram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Skoog</w:t>
      </w:r>
      <w:proofErr w:type="spellEnd"/>
      <w:r>
        <w:rPr>
          <w:rFonts w:asciiTheme="majorBidi" w:eastAsia="Times New Roman" w:hAnsiTheme="majorBidi" w:cstheme="majorBidi"/>
          <w:sz w:val="24"/>
          <w:szCs w:val="24"/>
          <w:lang w:val="en-GB" w:eastAsia="zh-CN" w:bidi="ar-SA"/>
        </w:rPr>
        <w:t xml:space="preserve">  F. (1962).</w:t>
      </w:r>
      <w:r w:rsidR="004C3EF1">
        <w:rPr>
          <w:rFonts w:asciiTheme="majorBidi" w:eastAsia="Times New Roman" w:hAnsiTheme="majorBidi" w:cstheme="majorBidi"/>
          <w:sz w:val="24"/>
          <w:szCs w:val="24"/>
          <w:lang w:val="en-GB" w:eastAsia="zh-CN" w:bidi="ar-SA"/>
        </w:rPr>
        <w:t xml:space="preserve"> </w:t>
      </w:r>
      <w:proofErr w:type="gramStart"/>
      <w:r w:rsidR="004C3EF1">
        <w:rPr>
          <w:rFonts w:asciiTheme="majorBidi" w:eastAsia="Times New Roman" w:hAnsiTheme="majorBidi" w:cstheme="majorBidi"/>
          <w:sz w:val="24"/>
          <w:szCs w:val="24"/>
          <w:lang w:val="en-GB" w:eastAsia="zh-CN" w:bidi="ar-SA"/>
        </w:rPr>
        <w:t>A revised medium for rapid growth and bioassays with tobacco tissue cultures.</w:t>
      </w:r>
      <w:proofErr w:type="gramEnd"/>
      <w:r w:rsidR="004C3EF1">
        <w:rPr>
          <w:rFonts w:asciiTheme="majorBidi" w:eastAsia="Times New Roman" w:hAnsiTheme="majorBidi" w:cstheme="majorBidi"/>
          <w:sz w:val="24"/>
          <w:szCs w:val="24"/>
          <w:lang w:val="en-GB" w:eastAsia="zh-CN" w:bidi="ar-SA"/>
        </w:rPr>
        <w:t xml:space="preserve"> Plant Physiol., 15:473–497.</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Nadeem</w:t>
      </w:r>
      <w:proofErr w:type="spellEnd"/>
      <w:r>
        <w:rPr>
          <w:rFonts w:asciiTheme="majorBidi" w:eastAsia="Times New Roman" w:hAnsiTheme="majorBidi" w:cstheme="majorBidi"/>
          <w:sz w:val="24"/>
          <w:szCs w:val="24"/>
          <w:lang w:val="en-GB" w:eastAsia="zh-CN" w:bidi="ar-SA"/>
        </w:rPr>
        <w:t xml:space="preserve">, M., </w:t>
      </w:r>
      <w:proofErr w:type="spellStart"/>
      <w:r>
        <w:rPr>
          <w:rFonts w:asciiTheme="majorBidi" w:eastAsia="Times New Roman" w:hAnsiTheme="majorBidi" w:cstheme="majorBidi"/>
          <w:sz w:val="24"/>
          <w:szCs w:val="24"/>
          <w:lang w:val="en-GB" w:eastAsia="zh-CN" w:bidi="ar-SA"/>
        </w:rPr>
        <w:t>Palni</w:t>
      </w:r>
      <w:proofErr w:type="spellEnd"/>
      <w:r>
        <w:rPr>
          <w:rFonts w:asciiTheme="majorBidi" w:eastAsia="Times New Roman" w:hAnsiTheme="majorBidi" w:cstheme="majorBidi"/>
          <w:sz w:val="24"/>
          <w:szCs w:val="24"/>
          <w:lang w:val="en-GB" w:eastAsia="zh-CN" w:bidi="ar-SA"/>
        </w:rPr>
        <w:t xml:space="preserve">  L.M.S., </w:t>
      </w:r>
      <w:proofErr w:type="spellStart"/>
      <w:r>
        <w:rPr>
          <w:rFonts w:asciiTheme="majorBidi" w:eastAsia="Times New Roman" w:hAnsiTheme="majorBidi" w:cstheme="majorBidi"/>
          <w:sz w:val="24"/>
          <w:szCs w:val="24"/>
          <w:lang w:val="en-GB" w:eastAsia="zh-CN" w:bidi="ar-SA"/>
        </w:rPr>
        <w:t>Purohit</w:t>
      </w:r>
      <w:proofErr w:type="spellEnd"/>
      <w:r>
        <w:rPr>
          <w:rFonts w:asciiTheme="majorBidi" w:eastAsia="Times New Roman" w:hAnsiTheme="majorBidi" w:cstheme="majorBidi"/>
          <w:sz w:val="24"/>
          <w:szCs w:val="24"/>
          <w:lang w:val="en-GB" w:eastAsia="zh-CN" w:bidi="ar-SA"/>
        </w:rPr>
        <w:t xml:space="preserve">  A. N., Pandey H., Nandi  S. K. (2000)</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Propagation and conservation of </w:t>
      </w:r>
      <w:proofErr w:type="spellStart"/>
      <w:r>
        <w:rPr>
          <w:rFonts w:asciiTheme="majorBidi" w:eastAsia="Times New Roman" w:hAnsiTheme="majorBidi" w:cstheme="majorBidi"/>
          <w:i/>
          <w:iCs/>
          <w:sz w:val="24"/>
          <w:szCs w:val="24"/>
          <w:lang w:val="en-GB" w:eastAsia="zh-CN" w:bidi="ar-SA"/>
        </w:rPr>
        <w:t>PodophylumhexandrumRoyle</w:t>
      </w:r>
      <w:proofErr w:type="spellEnd"/>
      <w:r>
        <w:rPr>
          <w:rFonts w:asciiTheme="majorBidi" w:eastAsia="Times New Roman" w:hAnsiTheme="majorBidi" w:cstheme="majorBidi"/>
          <w:sz w:val="24"/>
          <w:szCs w:val="24"/>
          <w:lang w:val="en-GB" w:eastAsia="zh-CN" w:bidi="ar-SA"/>
        </w:rPr>
        <w:t xml:space="preserve">: an important medicinal herb. Biol. </w:t>
      </w:r>
      <w:proofErr w:type="spellStart"/>
      <w:r>
        <w:rPr>
          <w:rFonts w:asciiTheme="majorBidi" w:eastAsia="Times New Roman" w:hAnsiTheme="majorBidi" w:cstheme="majorBidi"/>
          <w:sz w:val="24"/>
          <w:szCs w:val="24"/>
          <w:lang w:val="en-GB" w:eastAsia="zh-CN" w:bidi="ar-SA"/>
        </w:rPr>
        <w:t>Conserv</w:t>
      </w:r>
      <w:proofErr w:type="spellEnd"/>
      <w:r>
        <w:rPr>
          <w:rFonts w:asciiTheme="majorBidi" w:eastAsia="Times New Roman" w:hAnsiTheme="majorBidi" w:cstheme="majorBidi"/>
          <w:sz w:val="24"/>
          <w:szCs w:val="24"/>
          <w:lang w:val="en-GB" w:eastAsia="zh-CN" w:bidi="ar-SA"/>
        </w:rPr>
        <w:t>.</w:t>
      </w:r>
      <w:proofErr w:type="gramStart"/>
      <w:r>
        <w:rPr>
          <w:rFonts w:asciiTheme="majorBidi" w:eastAsia="Times New Roman" w:hAnsiTheme="majorBidi" w:cstheme="majorBidi"/>
          <w:sz w:val="24"/>
          <w:szCs w:val="24"/>
          <w:lang w:val="en-GB" w:eastAsia="zh-CN" w:bidi="ar-SA"/>
        </w:rPr>
        <w:t>,  92:121</w:t>
      </w:r>
      <w:proofErr w:type="gramEnd"/>
      <w:r>
        <w:rPr>
          <w:rFonts w:asciiTheme="majorBidi" w:eastAsia="Times New Roman" w:hAnsiTheme="majorBidi" w:cstheme="majorBidi"/>
          <w:sz w:val="24"/>
          <w:szCs w:val="24"/>
          <w:lang w:val="en-GB" w:eastAsia="zh-CN" w:bidi="ar-SA"/>
        </w:rPr>
        <w:t>–129.</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lastRenderedPageBreak/>
        <w:t>Naik</w:t>
      </w:r>
      <w:proofErr w:type="spellEnd"/>
      <w:r>
        <w:rPr>
          <w:rFonts w:asciiTheme="majorBidi" w:eastAsia="Times New Roman" w:hAnsiTheme="majorBidi" w:cstheme="majorBidi"/>
          <w:sz w:val="24"/>
          <w:szCs w:val="24"/>
          <w:lang w:val="en-GB" w:eastAsia="zh-CN" w:bidi="ar-SA"/>
        </w:rPr>
        <w:t xml:space="preserve"> S. K., Chand P. K. (2006)</w:t>
      </w:r>
      <w:r w:rsidR="009064B9">
        <w:rPr>
          <w:rFonts w:asciiTheme="majorBidi" w:eastAsia="Times New Roman" w:hAnsiTheme="majorBidi" w:cstheme="majorBidi"/>
          <w:sz w:val="24"/>
          <w:szCs w:val="24"/>
          <w:lang w:val="en-GB" w:eastAsia="zh-CN" w:bidi="ar-SA"/>
        </w:rPr>
        <w:t>.</w:t>
      </w:r>
      <w:r>
        <w:rPr>
          <w:rFonts w:asciiTheme="majorBidi" w:eastAsia="Times New Roman" w:hAnsiTheme="majorBidi" w:cstheme="majorBidi"/>
          <w:sz w:val="24"/>
          <w:szCs w:val="24"/>
          <w:lang w:val="en-GB" w:eastAsia="zh-CN" w:bidi="ar-SA"/>
        </w:rPr>
        <w:t xml:space="preserve"> Nutrient-alginate encapsulation of in vitro nodal segments of pomegranate (</w:t>
      </w:r>
      <w:proofErr w:type="spellStart"/>
      <w:r>
        <w:rPr>
          <w:rFonts w:asciiTheme="majorBidi" w:eastAsia="Times New Roman" w:hAnsiTheme="majorBidi" w:cstheme="majorBidi"/>
          <w:i/>
          <w:iCs/>
          <w:sz w:val="24"/>
          <w:szCs w:val="24"/>
          <w:lang w:val="en-GB" w:eastAsia="zh-CN" w:bidi="ar-SA"/>
        </w:rPr>
        <w:t>Punicagranatum</w:t>
      </w:r>
      <w:proofErr w:type="spellEnd"/>
      <w:r>
        <w:rPr>
          <w:rFonts w:asciiTheme="majorBidi" w:eastAsia="Times New Roman" w:hAnsiTheme="majorBidi" w:cstheme="majorBidi"/>
          <w:sz w:val="24"/>
          <w:szCs w:val="24"/>
          <w:lang w:val="en-GB" w:eastAsia="zh-CN" w:bidi="ar-SA"/>
        </w:rPr>
        <w:t xml:space="preserve"> L.) for </w:t>
      </w:r>
      <w:proofErr w:type="spellStart"/>
      <w:r>
        <w:rPr>
          <w:rFonts w:asciiTheme="majorBidi" w:eastAsia="Times New Roman" w:hAnsiTheme="majorBidi" w:cstheme="majorBidi"/>
          <w:sz w:val="24"/>
          <w:szCs w:val="24"/>
          <w:lang w:val="en-GB" w:eastAsia="zh-CN" w:bidi="ar-SA"/>
        </w:rPr>
        <w:t>germplasm</w:t>
      </w:r>
      <w:proofErr w:type="spellEnd"/>
      <w:r>
        <w:rPr>
          <w:rFonts w:asciiTheme="majorBidi" w:eastAsia="Times New Roman" w:hAnsiTheme="majorBidi" w:cstheme="majorBidi"/>
          <w:sz w:val="24"/>
          <w:szCs w:val="24"/>
          <w:lang w:val="en-GB" w:eastAsia="zh-CN" w:bidi="ar-SA"/>
        </w:rPr>
        <w:t xml:space="preserve"> distribution and exchange. Sci. Hort., 108: 247–252.</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Nieves, N.,  Lorenzo J. C., Blanco M. A., Gonzalez J., </w:t>
      </w:r>
      <w:proofErr w:type="spellStart"/>
      <w:r>
        <w:rPr>
          <w:rFonts w:ascii="Times New Roman" w:eastAsia="Calibri" w:hAnsi="Times New Roman" w:cs="Times New Roman"/>
          <w:sz w:val="24"/>
          <w:szCs w:val="24"/>
        </w:rPr>
        <w:t>Perralta</w:t>
      </w:r>
      <w:proofErr w:type="spellEnd"/>
      <w:r>
        <w:rPr>
          <w:rFonts w:ascii="Times New Roman" w:eastAsia="Calibri" w:hAnsi="Times New Roman" w:cs="Times New Roman"/>
          <w:sz w:val="24"/>
          <w:szCs w:val="24"/>
        </w:rPr>
        <w:t xml:space="preserve">  H.</w:t>
      </w:r>
      <w:r>
        <w:rPr>
          <w:rFonts w:ascii="Times New Roman" w:eastAsia="Calibri" w:hAnsi="Times New Roman" w:cs="Times New Roman" w:hint="cs"/>
          <w:sz w:val="24"/>
          <w:szCs w:val="24"/>
          <w:rtl/>
        </w:rPr>
        <w:t>,</w:t>
      </w:r>
      <w:r>
        <w:rPr>
          <w:rFonts w:ascii="Times New Roman" w:eastAsia="Calibri" w:hAnsi="Times New Roman" w:cs="Times New Roman" w:hint="cs"/>
          <w:sz w:val="24"/>
          <w:szCs w:val="24"/>
        </w:rPr>
        <w:t xml:space="preserve"> </w:t>
      </w:r>
      <w:proofErr w:type="spellStart"/>
      <w:r>
        <w:rPr>
          <w:rFonts w:ascii="Times New Roman" w:eastAsia="Calibri" w:hAnsi="Times New Roman" w:cs="Times New Roman"/>
          <w:sz w:val="24"/>
          <w:szCs w:val="24"/>
        </w:rPr>
        <w:t>Hermandez</w:t>
      </w:r>
      <w:proofErr w:type="spellEnd"/>
      <w:r>
        <w:rPr>
          <w:rFonts w:ascii="Times New Roman" w:eastAsia="Calibri" w:hAnsi="Times New Roman" w:cs="Times New Roman"/>
          <w:sz w:val="24"/>
          <w:szCs w:val="24"/>
        </w:rPr>
        <w:t xml:space="preserve"> M., Santos R., Concepcion O.,  </w:t>
      </w:r>
      <w:proofErr w:type="spellStart"/>
      <w:r>
        <w:rPr>
          <w:rFonts w:ascii="Times New Roman" w:eastAsia="Calibri" w:hAnsi="Times New Roman" w:cs="Times New Roman"/>
          <w:sz w:val="24"/>
          <w:szCs w:val="24"/>
        </w:rPr>
        <w:t>Borroto</w:t>
      </w:r>
      <w:proofErr w:type="spellEnd"/>
      <w:r>
        <w:rPr>
          <w:rFonts w:ascii="Times New Roman" w:eastAsia="Calibri" w:hAnsi="Times New Roman" w:cs="Times New Roman"/>
          <w:sz w:val="24"/>
          <w:szCs w:val="24"/>
        </w:rPr>
        <w:t xml:space="preserve"> C. G., </w:t>
      </w:r>
      <w:proofErr w:type="spellStart"/>
      <w:r>
        <w:rPr>
          <w:rFonts w:ascii="Times New Roman" w:eastAsia="Calibri" w:hAnsi="Times New Roman" w:cs="Times New Roman"/>
          <w:sz w:val="24"/>
          <w:szCs w:val="24"/>
        </w:rPr>
        <w:t>Borroto</w:t>
      </w:r>
      <w:proofErr w:type="spellEnd"/>
      <w:r>
        <w:rPr>
          <w:rFonts w:ascii="Times New Roman" w:eastAsia="Calibri" w:hAnsi="Times New Roman" w:cs="Times New Roman"/>
          <w:sz w:val="24"/>
          <w:szCs w:val="24"/>
        </w:rPr>
        <w:t xml:space="preserve"> E., Tapia R., Martinez M. F., </w:t>
      </w:r>
      <w:proofErr w:type="spellStart"/>
      <w:r>
        <w:rPr>
          <w:rFonts w:ascii="Times New Roman" w:eastAsia="Calibri" w:hAnsi="Times New Roman" w:cs="Times New Roman"/>
          <w:sz w:val="24"/>
          <w:szCs w:val="24"/>
        </w:rPr>
        <w:t>Fundora</w:t>
      </w:r>
      <w:proofErr w:type="spellEnd"/>
      <w:r>
        <w:rPr>
          <w:rFonts w:ascii="Times New Roman" w:eastAsia="Calibri" w:hAnsi="Times New Roman" w:cs="Times New Roman"/>
          <w:sz w:val="24"/>
          <w:szCs w:val="24"/>
        </w:rPr>
        <w:t xml:space="preserve">  Gonzalez A. (1998)</w:t>
      </w:r>
      <w:r w:rsidR="009064B9">
        <w:rPr>
          <w:rFonts w:ascii="Times New Roman" w:eastAsia="Calibri" w:hAnsi="Times New Roman" w:cs="Times New Roman"/>
          <w:sz w:val="24"/>
          <w:szCs w:val="24"/>
        </w:rPr>
        <w:t>.</w:t>
      </w:r>
      <w:r>
        <w:rPr>
          <w:rFonts w:ascii="Times New Roman" w:eastAsia="Calibri" w:hAnsi="Times New Roman" w:cs="Times New Roman"/>
          <w:sz w:val="24"/>
          <w:szCs w:val="24"/>
        </w:rPr>
        <w:t xml:space="preserve"> Artificial endosperm of </w:t>
      </w:r>
      <w:r>
        <w:rPr>
          <w:rFonts w:ascii="Times New Roman" w:eastAsia="Calibri" w:hAnsi="Times New Roman" w:cs="Times New Roman"/>
          <w:i/>
          <w:iCs/>
          <w:sz w:val="24"/>
          <w:szCs w:val="24"/>
        </w:rPr>
        <w:t>Cleopatra tangerine</w:t>
      </w:r>
      <w:r>
        <w:rPr>
          <w:rFonts w:ascii="Times New Roman" w:eastAsia="Calibri" w:hAnsi="Times New Roman" w:cs="Times New Roman"/>
          <w:sz w:val="24"/>
          <w:szCs w:val="24"/>
        </w:rPr>
        <w:t xml:space="preserve"> zygotic embryos</w:t>
      </w:r>
      <w:r>
        <w:rPr>
          <w:rFonts w:ascii="Times New Roman" w:eastAsia="Calibri" w:hAnsi="Times New Roman" w:cs="Times New Roman" w:hint="cs"/>
          <w:sz w:val="24"/>
          <w:szCs w:val="24"/>
          <w:rtl/>
        </w:rPr>
        <w:t>:</w:t>
      </w:r>
      <w:r>
        <w:rPr>
          <w:rFonts w:ascii="Times New Roman" w:eastAsia="Calibri" w:hAnsi="Times New Roman" w:cs="Times New Roman"/>
          <w:sz w:val="24"/>
          <w:szCs w:val="24"/>
        </w:rPr>
        <w:t xml:space="preserve"> a model for somatic embryo encapsulation. Plant Cell Tissue Organ </w:t>
      </w:r>
      <w:proofErr w:type="gramStart"/>
      <w:r>
        <w:rPr>
          <w:rFonts w:ascii="Times New Roman" w:eastAsia="Calibri" w:hAnsi="Times New Roman" w:cs="Times New Roman"/>
          <w:sz w:val="24"/>
          <w:szCs w:val="24"/>
        </w:rPr>
        <w:t>Cult.,</w:t>
      </w:r>
      <w:proofErr w:type="gramEnd"/>
      <w:r>
        <w:rPr>
          <w:rFonts w:ascii="Times New Roman" w:eastAsia="Calibri" w:hAnsi="Times New Roman" w:cs="Times New Roman"/>
          <w:sz w:val="24"/>
          <w:szCs w:val="24"/>
        </w:rPr>
        <w:t xml:space="preserve"> 54:77–83</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w:t>
      </w:r>
      <w:r w:rsidR="009064B9">
        <w:rPr>
          <w:rFonts w:ascii="Times New Roman" w:eastAsia="Calibri" w:hAnsi="Times New Roman" w:cs="Times New Roman"/>
          <w:sz w:val="24"/>
          <w:szCs w:val="24"/>
        </w:rPr>
        <w:t>ady</w:t>
      </w:r>
      <w:proofErr w:type="spellEnd"/>
      <w:r w:rsidR="009064B9">
        <w:rPr>
          <w:rFonts w:ascii="Times New Roman" w:eastAsia="Calibri" w:hAnsi="Times New Roman" w:cs="Times New Roman"/>
          <w:sz w:val="24"/>
          <w:szCs w:val="24"/>
        </w:rPr>
        <w:t xml:space="preserve"> M. R.</w:t>
      </w:r>
      <w:proofErr w:type="gramStart"/>
      <w:r w:rsidR="009064B9">
        <w:rPr>
          <w:rFonts w:ascii="Times New Roman" w:eastAsia="Calibri" w:hAnsi="Times New Roman" w:cs="Times New Roman"/>
          <w:sz w:val="24"/>
          <w:szCs w:val="24"/>
        </w:rPr>
        <w:t xml:space="preserve">,  </w:t>
      </w:r>
      <w:proofErr w:type="spellStart"/>
      <w:r w:rsidR="009064B9">
        <w:rPr>
          <w:rFonts w:ascii="Times New Roman" w:eastAsia="Calibri" w:hAnsi="Times New Roman" w:cs="Times New Roman"/>
          <w:sz w:val="24"/>
          <w:szCs w:val="24"/>
        </w:rPr>
        <w:t>Hanafy</w:t>
      </w:r>
      <w:proofErr w:type="spellEnd"/>
      <w:proofErr w:type="gramEnd"/>
      <w:r w:rsidR="009064B9">
        <w:rPr>
          <w:rFonts w:ascii="Times New Roman" w:eastAsia="Calibri" w:hAnsi="Times New Roman" w:cs="Times New Roman"/>
          <w:sz w:val="24"/>
          <w:szCs w:val="24"/>
        </w:rPr>
        <w:t xml:space="preserve"> M. S. (2004).</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Syntheetic</w:t>
      </w:r>
      <w:proofErr w:type="spellEnd"/>
      <w:r>
        <w:rPr>
          <w:rFonts w:ascii="Times New Roman" w:eastAsia="Calibri" w:hAnsi="Times New Roman" w:cs="Times New Roman"/>
          <w:sz w:val="24"/>
          <w:szCs w:val="24"/>
        </w:rPr>
        <w:t xml:space="preserve"> seed technology for encapsulation and regrowth of </w:t>
      </w:r>
      <w:r>
        <w:rPr>
          <w:rFonts w:ascii="Times New Roman" w:eastAsia="Calibri" w:hAnsi="Times New Roman" w:cs="Times New Roman"/>
          <w:i/>
          <w:iCs/>
          <w:sz w:val="24"/>
          <w:szCs w:val="24"/>
        </w:rPr>
        <w:t>in vitro</w:t>
      </w:r>
      <w:r>
        <w:rPr>
          <w:rFonts w:ascii="Times New Roman" w:eastAsia="Calibri" w:hAnsi="Times New Roman" w:cs="Times New Roman"/>
          <w:sz w:val="24"/>
          <w:szCs w:val="24"/>
        </w:rPr>
        <w:t xml:space="preserve">-derived </w:t>
      </w:r>
      <w:proofErr w:type="spellStart"/>
      <w:r>
        <w:rPr>
          <w:rFonts w:ascii="Times New Roman" w:eastAsia="Calibri" w:hAnsi="Times New Roman" w:cs="Times New Roman"/>
          <w:i/>
          <w:iCs/>
          <w:sz w:val="24"/>
          <w:szCs w:val="24"/>
        </w:rPr>
        <w:t>Gypsophilapaniculata</w:t>
      </w:r>
      <w:r>
        <w:rPr>
          <w:rFonts w:ascii="Times New Roman" w:eastAsia="Calibri" w:hAnsi="Times New Roman" w:cs="Times New Roman"/>
          <w:sz w:val="24"/>
          <w:szCs w:val="24"/>
        </w:rPr>
        <w:t>L</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shoot</w:t>
      </w:r>
      <w:proofErr w:type="gramEnd"/>
      <w:r>
        <w:rPr>
          <w:rFonts w:ascii="Times New Roman" w:eastAsia="Calibri" w:hAnsi="Times New Roman" w:cs="Times New Roman"/>
          <w:sz w:val="24"/>
          <w:szCs w:val="24"/>
        </w:rPr>
        <w:t xml:space="preserve"> tips. Arab J. Biotech</w:t>
      </w:r>
      <w:proofErr w:type="gramStart"/>
      <w:r>
        <w:rPr>
          <w:rFonts w:ascii="Times New Roman" w:eastAsia="Calibri" w:hAnsi="Times New Roman" w:cs="Times New Roman"/>
          <w:sz w:val="24"/>
          <w:szCs w:val="24"/>
        </w:rPr>
        <w:t>,</w:t>
      </w:r>
      <w:r>
        <w:rPr>
          <w:rFonts w:ascii="Times New Roman" w:eastAsia="Calibri" w:hAnsi="Times New Roman" w:cs="Times New Roman"/>
          <w:b/>
          <w:bCs/>
          <w:sz w:val="24"/>
          <w:szCs w:val="24"/>
        </w:rPr>
        <w:t>7</w:t>
      </w:r>
      <w:proofErr w:type="gramEnd"/>
      <w:r>
        <w:rPr>
          <w:rFonts w:ascii="Times New Roman" w:eastAsia="Calibri" w:hAnsi="Times New Roman" w:cs="Times New Roman"/>
          <w:sz w:val="24"/>
          <w:szCs w:val="24"/>
        </w:rPr>
        <w:t>: 251-264.</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Rai</w:t>
      </w:r>
      <w:proofErr w:type="spellEnd"/>
      <w:r>
        <w:rPr>
          <w:rFonts w:ascii="Times New Roman" w:eastAsia="Calibri" w:hAnsi="Times New Roman" w:cs="Times New Roman"/>
          <w:sz w:val="24"/>
          <w:szCs w:val="24"/>
        </w:rPr>
        <w:t xml:space="preserve"> M. K., </w:t>
      </w:r>
      <w:proofErr w:type="spellStart"/>
      <w:r>
        <w:rPr>
          <w:rFonts w:ascii="Times New Roman" w:eastAsia="Calibri" w:hAnsi="Times New Roman" w:cs="Times New Roman"/>
          <w:sz w:val="24"/>
          <w:szCs w:val="24"/>
        </w:rPr>
        <w:t>Jaiswal</w:t>
      </w:r>
      <w:proofErr w:type="spellEnd"/>
      <w:r>
        <w:rPr>
          <w:rFonts w:ascii="Times New Roman" w:eastAsia="Calibri" w:hAnsi="Times New Roman" w:cs="Times New Roman"/>
          <w:sz w:val="24"/>
          <w:szCs w:val="24"/>
        </w:rPr>
        <w:t xml:space="preserve"> V. s., </w:t>
      </w:r>
      <w:proofErr w:type="spellStart"/>
      <w:r>
        <w:rPr>
          <w:rFonts w:ascii="Times New Roman" w:eastAsia="Calibri" w:hAnsi="Times New Roman" w:cs="Times New Roman"/>
          <w:sz w:val="24"/>
          <w:szCs w:val="24"/>
        </w:rPr>
        <w:t>Jaiswal</w:t>
      </w:r>
      <w:proofErr w:type="spellEnd"/>
      <w:r w:rsidR="009064B9">
        <w:rPr>
          <w:rFonts w:ascii="Times New Roman" w:eastAsia="Calibri" w:hAnsi="Times New Roman" w:cs="Times New Roman"/>
          <w:sz w:val="24"/>
          <w:szCs w:val="24"/>
        </w:rPr>
        <w:t xml:space="preserve"> U. (2008).</w:t>
      </w:r>
      <w:r>
        <w:rPr>
          <w:rFonts w:ascii="Times New Roman" w:eastAsia="Calibri" w:hAnsi="Times New Roman" w:cs="Times New Roman"/>
          <w:sz w:val="24"/>
          <w:szCs w:val="24"/>
        </w:rPr>
        <w:t xml:space="preserve"> Encapsulation of shoot tips of guava (</w:t>
      </w:r>
      <w:proofErr w:type="spellStart"/>
      <w:r>
        <w:rPr>
          <w:rFonts w:ascii="Times New Roman" w:eastAsia="Calibri" w:hAnsi="Times New Roman" w:cs="Times New Roman"/>
          <w:i/>
          <w:iCs/>
          <w:sz w:val="24"/>
          <w:szCs w:val="24"/>
        </w:rPr>
        <w:t>Psidiumguajava</w:t>
      </w:r>
      <w:proofErr w:type="spellEnd"/>
      <w:r>
        <w:rPr>
          <w:rFonts w:ascii="Times New Roman" w:eastAsia="Calibri" w:hAnsi="Times New Roman" w:cs="Times New Roman"/>
          <w:sz w:val="24"/>
          <w:szCs w:val="24"/>
        </w:rPr>
        <w:t xml:space="preserve"> L.) for short-term storage and </w:t>
      </w:r>
      <w:proofErr w:type="spellStart"/>
      <w:r>
        <w:rPr>
          <w:rFonts w:ascii="Times New Roman" w:eastAsia="Calibri" w:hAnsi="Times New Roman" w:cs="Times New Roman"/>
          <w:sz w:val="24"/>
          <w:szCs w:val="24"/>
        </w:rPr>
        <w:t>germplasm</w:t>
      </w:r>
      <w:proofErr w:type="spellEnd"/>
      <w:r>
        <w:rPr>
          <w:rFonts w:ascii="Times New Roman" w:eastAsia="Calibri" w:hAnsi="Times New Roman" w:cs="Times New Roman"/>
          <w:sz w:val="24"/>
          <w:szCs w:val="24"/>
        </w:rPr>
        <w:t xml:space="preserve"> exchange. </w:t>
      </w:r>
      <w:proofErr w:type="spellStart"/>
      <w:r>
        <w:rPr>
          <w:rFonts w:ascii="Times New Roman" w:eastAsia="Calibri" w:hAnsi="Times New Roman" w:cs="Times New Roman"/>
          <w:sz w:val="24"/>
          <w:szCs w:val="24"/>
        </w:rPr>
        <w:t>Scientia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Horticulturae</w:t>
      </w:r>
      <w:proofErr w:type="spellEnd"/>
      <w:r>
        <w:rPr>
          <w:rFonts w:ascii="Times New Roman" w:eastAsia="Calibri" w:hAnsi="Times New Roman" w:cs="Times New Roman"/>
          <w:sz w:val="24"/>
          <w:szCs w:val="24"/>
        </w:rPr>
        <w:t>, 118: 33–38</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Redenbaugh</w:t>
      </w:r>
      <w:proofErr w:type="spellEnd"/>
      <w:r>
        <w:rPr>
          <w:rFonts w:asciiTheme="majorBidi" w:eastAsia="Times New Roman" w:hAnsiTheme="majorBidi" w:cstheme="majorBidi"/>
          <w:sz w:val="24"/>
          <w:szCs w:val="24"/>
          <w:lang w:val="en-GB" w:eastAsia="zh-CN" w:bidi="ar-SA"/>
        </w:rPr>
        <w:t xml:space="preserve">, K.,  </w:t>
      </w:r>
      <w:proofErr w:type="spellStart"/>
      <w:r>
        <w:rPr>
          <w:rFonts w:asciiTheme="majorBidi" w:eastAsia="Times New Roman" w:hAnsiTheme="majorBidi" w:cstheme="majorBidi"/>
          <w:sz w:val="24"/>
          <w:szCs w:val="24"/>
          <w:lang w:val="en-GB" w:eastAsia="zh-CN" w:bidi="ar-SA"/>
        </w:rPr>
        <w:t>Fujii</w:t>
      </w:r>
      <w:proofErr w:type="spellEnd"/>
      <w:r>
        <w:rPr>
          <w:rFonts w:asciiTheme="majorBidi" w:eastAsia="Times New Roman" w:hAnsiTheme="majorBidi" w:cstheme="majorBidi"/>
          <w:sz w:val="24"/>
          <w:szCs w:val="24"/>
          <w:lang w:val="en-GB" w:eastAsia="zh-CN" w:bidi="ar-SA"/>
        </w:rPr>
        <w:t xml:space="preserve"> J. A., Slade D.,  </w:t>
      </w:r>
      <w:proofErr w:type="spellStart"/>
      <w:r>
        <w:rPr>
          <w:rFonts w:asciiTheme="majorBidi" w:eastAsia="Times New Roman" w:hAnsiTheme="majorBidi" w:cstheme="majorBidi"/>
          <w:sz w:val="24"/>
          <w:szCs w:val="24"/>
          <w:lang w:val="en-GB" w:eastAsia="zh-CN" w:bidi="ar-SA"/>
        </w:rPr>
        <w:t>Viss</w:t>
      </w:r>
      <w:proofErr w:type="spellEnd"/>
      <w:r>
        <w:rPr>
          <w:rFonts w:asciiTheme="majorBidi" w:eastAsia="Times New Roman" w:hAnsiTheme="majorBidi" w:cstheme="majorBidi"/>
          <w:sz w:val="24"/>
          <w:szCs w:val="24"/>
          <w:lang w:val="en-GB" w:eastAsia="zh-CN" w:bidi="ar-SA"/>
        </w:rPr>
        <w:t xml:space="preserve"> P. , </w:t>
      </w:r>
      <w:proofErr w:type="spellStart"/>
      <w:r>
        <w:rPr>
          <w:rFonts w:asciiTheme="majorBidi" w:eastAsia="Times New Roman" w:hAnsiTheme="majorBidi" w:cstheme="majorBidi"/>
          <w:sz w:val="24"/>
          <w:szCs w:val="24"/>
          <w:lang w:val="en-GB" w:eastAsia="zh-CN" w:bidi="ar-SA"/>
        </w:rPr>
        <w:t>Kossler</w:t>
      </w:r>
      <w:proofErr w:type="spellEnd"/>
      <w:r w:rsidR="009064B9">
        <w:rPr>
          <w:rFonts w:asciiTheme="majorBidi" w:eastAsia="Times New Roman" w:hAnsiTheme="majorBidi" w:cstheme="majorBidi"/>
          <w:sz w:val="24"/>
          <w:szCs w:val="24"/>
          <w:lang w:val="en-GB" w:eastAsia="zh-CN" w:bidi="ar-SA"/>
        </w:rPr>
        <w:t xml:space="preserve"> M. (1991).</w:t>
      </w:r>
      <w:r>
        <w:rPr>
          <w:rFonts w:asciiTheme="majorBidi" w:eastAsia="Times New Roman" w:hAnsiTheme="majorBidi" w:cstheme="majorBidi"/>
          <w:sz w:val="24"/>
          <w:szCs w:val="24"/>
          <w:lang w:val="en-GB" w:eastAsia="zh-CN" w:bidi="ar-SA"/>
        </w:rPr>
        <w:t xml:space="preserve"> Artificial seeds- encapsulated embryos. In Bajaj YPS (</w:t>
      </w:r>
      <w:proofErr w:type="spellStart"/>
      <w:proofErr w:type="gramStart"/>
      <w:r>
        <w:rPr>
          <w:rFonts w:asciiTheme="majorBidi" w:eastAsia="Times New Roman" w:hAnsiTheme="majorBidi" w:cstheme="majorBidi"/>
          <w:sz w:val="24"/>
          <w:szCs w:val="24"/>
          <w:lang w:val="en-GB" w:eastAsia="zh-CN" w:bidi="ar-SA"/>
        </w:rPr>
        <w:t>ed</w:t>
      </w:r>
      <w:proofErr w:type="spellEnd"/>
      <w:proofErr w:type="gramEnd"/>
      <w:r>
        <w:rPr>
          <w:rFonts w:asciiTheme="majorBidi" w:eastAsia="Times New Roman" w:hAnsiTheme="majorBidi" w:cstheme="majorBidi"/>
          <w:sz w:val="24"/>
          <w:szCs w:val="24"/>
          <w:lang w:val="en-GB" w:eastAsia="zh-CN" w:bidi="ar-SA"/>
        </w:rPr>
        <w:t xml:space="preserve">) High technology and micro propagation. </w:t>
      </w:r>
      <w:proofErr w:type="gramStart"/>
      <w:r>
        <w:rPr>
          <w:rFonts w:asciiTheme="majorBidi" w:eastAsia="Times New Roman" w:hAnsiTheme="majorBidi" w:cstheme="majorBidi"/>
          <w:sz w:val="24"/>
          <w:szCs w:val="24"/>
          <w:lang w:val="en-GB" w:eastAsia="zh-CN" w:bidi="ar-SA"/>
        </w:rPr>
        <w:t>Biotechnology in Agriculture and Forestry.</w:t>
      </w:r>
      <w:proofErr w:type="gramEnd"/>
      <w:r>
        <w:rPr>
          <w:rFonts w:asciiTheme="majorBidi" w:eastAsia="Times New Roman" w:hAnsiTheme="majorBidi" w:cstheme="majorBidi"/>
          <w:sz w:val="24"/>
          <w:szCs w:val="24"/>
          <w:lang w:val="en-GB" w:eastAsia="zh-CN" w:bidi="ar-SA"/>
        </w:rPr>
        <w:t xml:space="preserve"> Springer, Berlin Heidelberg New York, 17: 395–416. </w:t>
      </w:r>
    </w:p>
    <w:p w:rsidR="004C3EF1" w:rsidRDefault="004C3EF1" w:rsidP="00D803B4">
      <w:pPr>
        <w:autoSpaceDE w:val="0"/>
        <w:autoSpaceDN w:val="0"/>
        <w:adjustRightInd w:val="0"/>
        <w:spacing w:line="240" w:lineRule="auto"/>
        <w:ind w:left="567" w:hanging="567"/>
        <w:jc w:val="left"/>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Sandoval-</w:t>
      </w:r>
      <w:proofErr w:type="spellStart"/>
      <w:r>
        <w:rPr>
          <w:rFonts w:ascii="Times New Roman" w:eastAsia="Calibri" w:hAnsi="Times New Roman" w:cs="Times New Roman"/>
          <w:sz w:val="24"/>
          <w:szCs w:val="24"/>
        </w:rPr>
        <w:t>Yugare</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W., Dal </w:t>
      </w:r>
      <w:proofErr w:type="spellStart"/>
      <w:r>
        <w:rPr>
          <w:rFonts w:ascii="Times New Roman" w:eastAsia="Calibri" w:hAnsi="Times New Roman" w:cs="Times New Roman"/>
          <w:sz w:val="24"/>
          <w:szCs w:val="24"/>
        </w:rPr>
        <w:t>Vesco</w:t>
      </w:r>
      <w:proofErr w:type="spellEnd"/>
      <w:r>
        <w:rPr>
          <w:rFonts w:ascii="Times New Roman" w:eastAsia="Calibri" w:hAnsi="Times New Roman" w:cs="Times New Roman"/>
          <w:sz w:val="24"/>
          <w:szCs w:val="24"/>
        </w:rPr>
        <w:t xml:space="preserve"> L. L., </w:t>
      </w:r>
      <w:proofErr w:type="spellStart"/>
      <w:r>
        <w:rPr>
          <w:rFonts w:ascii="Times New Roman" w:eastAsia="Calibri" w:hAnsi="Times New Roman" w:cs="Times New Roman"/>
          <w:sz w:val="24"/>
          <w:szCs w:val="24"/>
        </w:rPr>
        <w:t>Steinmacher</w:t>
      </w:r>
      <w:proofErr w:type="spellEnd"/>
      <w:r>
        <w:rPr>
          <w:rFonts w:ascii="Times New Roman" w:eastAsia="Calibri" w:hAnsi="Times New Roman" w:cs="Times New Roman"/>
          <w:sz w:val="24"/>
          <w:szCs w:val="24"/>
        </w:rPr>
        <w:t xml:space="preserve"> d. A. , </w:t>
      </w:r>
      <w:proofErr w:type="spellStart"/>
      <w:r>
        <w:rPr>
          <w:rFonts w:ascii="Times New Roman" w:eastAsia="Calibri" w:hAnsi="Times New Roman" w:cs="Times New Roman"/>
          <w:sz w:val="24"/>
          <w:szCs w:val="24"/>
        </w:rPr>
        <w:t>Stolf</w:t>
      </w:r>
      <w:proofErr w:type="spellEnd"/>
      <w:r w:rsidR="009064B9">
        <w:rPr>
          <w:rFonts w:ascii="Times New Roman" w:eastAsia="Calibri" w:hAnsi="Times New Roman" w:cs="Times New Roman"/>
          <w:sz w:val="24"/>
          <w:szCs w:val="24"/>
        </w:rPr>
        <w:t xml:space="preserve">  E. C. and Guerra M. P. (2008).</w:t>
      </w: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Microshoots</w:t>
      </w:r>
      <w:r>
        <w:rPr>
          <w:rFonts w:ascii="Times New Roman" w:eastAsia="Calibri" w:hAnsi="Times New Roman" w:cs="Times New Roman"/>
          <w:sz w:val="24"/>
          <w:szCs w:val="24"/>
          <w:lang w:bidi="ar-SA"/>
        </w:rPr>
        <w:t>encapsulation</w:t>
      </w:r>
      <w:proofErr w:type="spellEnd"/>
      <w:r>
        <w:rPr>
          <w:rFonts w:ascii="Times New Roman" w:eastAsia="Calibri" w:hAnsi="Times New Roman" w:cs="Times New Roman"/>
          <w:sz w:val="24"/>
          <w:szCs w:val="24"/>
          <w:lang w:bidi="ar-SA"/>
        </w:rPr>
        <w:t xml:space="preserve"> and plant conversion of </w:t>
      </w:r>
      <w:r>
        <w:rPr>
          <w:rFonts w:ascii="Times New Roman" w:eastAsia="Calibri" w:hAnsi="Times New Roman" w:cs="Times New Roman"/>
          <w:i/>
          <w:iCs/>
          <w:sz w:val="24"/>
          <w:szCs w:val="24"/>
          <w:lang w:bidi="ar-SA"/>
        </w:rPr>
        <w:t>Musa sp</w:t>
      </w:r>
      <w:r>
        <w:rPr>
          <w:rFonts w:ascii="Times New Roman" w:eastAsia="Calibri" w:hAnsi="Times New Roman" w:cs="Times New Roman"/>
          <w:sz w:val="24"/>
          <w:szCs w:val="24"/>
          <w:lang w:bidi="ar-SA"/>
        </w:rPr>
        <w:t xml:space="preserve">. cv. ‘Grand </w:t>
      </w:r>
      <w:proofErr w:type="spellStart"/>
      <w:r>
        <w:rPr>
          <w:rFonts w:ascii="Times New Roman" w:eastAsia="Calibri" w:hAnsi="Times New Roman" w:cs="Times New Roman"/>
          <w:sz w:val="24"/>
          <w:szCs w:val="24"/>
          <w:lang w:bidi="ar-SA"/>
        </w:rPr>
        <w:t>Naine</w:t>
      </w:r>
      <w:proofErr w:type="spellEnd"/>
      <w:r>
        <w:rPr>
          <w:rFonts w:ascii="Times New Roman" w:eastAsia="Calibri" w:hAnsi="Times New Roman" w:cs="Times New Roman"/>
          <w:sz w:val="24"/>
          <w:szCs w:val="24"/>
          <w:lang w:bidi="ar-SA"/>
        </w:rPr>
        <w:t>’.</w:t>
      </w:r>
      <w:proofErr w:type="spellStart"/>
      <w:r>
        <w:rPr>
          <w:rFonts w:ascii="Times New Roman" w:eastAsia="Calibri" w:hAnsi="Times New Roman" w:cs="Times New Roman"/>
          <w:sz w:val="24"/>
          <w:szCs w:val="24"/>
        </w:rPr>
        <w:t>Ciência</w:t>
      </w:r>
      <w:proofErr w:type="spellEnd"/>
      <w:r>
        <w:rPr>
          <w:rFonts w:ascii="Times New Roman" w:eastAsia="Calibri" w:hAnsi="Times New Roman" w:cs="Times New Roman"/>
          <w:sz w:val="24"/>
          <w:szCs w:val="24"/>
        </w:rPr>
        <w:t xml:space="preserve"> Rural, Santa </w:t>
      </w:r>
      <w:proofErr w:type="spellStart"/>
      <w:r>
        <w:rPr>
          <w:rFonts w:ascii="Times New Roman" w:eastAsia="Calibri" w:hAnsi="Times New Roman" w:cs="Times New Roman"/>
          <w:sz w:val="24"/>
          <w:szCs w:val="24"/>
        </w:rPr>
        <w:t>Maria.online</w:t>
      </w:r>
      <w:proofErr w:type="spellEnd"/>
      <w:r>
        <w:rPr>
          <w:rFonts w:ascii="Times New Roman" w:eastAsia="Calibri" w:hAnsi="Times New Roman" w:cs="Times New Roman"/>
          <w:sz w:val="24"/>
          <w:szCs w:val="24"/>
        </w:rPr>
        <w:t>.</w:t>
      </w:r>
      <w:proofErr w:type="gramEnd"/>
    </w:p>
    <w:p w:rsidR="004C3EF1" w:rsidRDefault="009064B9" w:rsidP="00D803B4">
      <w:pPr>
        <w:spacing w:line="240" w:lineRule="auto"/>
        <w:ind w:left="567" w:hanging="567"/>
        <w:jc w:val="left"/>
        <w:rPr>
          <w:rFonts w:asciiTheme="majorBidi" w:eastAsia="Times New Roman" w:hAnsiTheme="majorBidi" w:cstheme="majorBidi"/>
          <w:sz w:val="24"/>
          <w:szCs w:val="24"/>
          <w:lang w:val="en-GB" w:eastAsia="zh-CN" w:bidi="ar-SA"/>
        </w:rPr>
      </w:pPr>
      <w:r>
        <w:rPr>
          <w:rFonts w:asciiTheme="majorBidi" w:eastAsia="Times New Roman" w:hAnsiTheme="majorBidi" w:cstheme="majorBidi"/>
          <w:sz w:val="24"/>
          <w:szCs w:val="24"/>
          <w:lang w:val="en-GB" w:eastAsia="zh-CN" w:bidi="ar-SA"/>
        </w:rPr>
        <w:t xml:space="preserve">Singh, K. K. (2008). </w:t>
      </w:r>
      <w:r w:rsidR="004C3EF1">
        <w:rPr>
          <w:rFonts w:asciiTheme="majorBidi" w:eastAsia="Times New Roman" w:hAnsiTheme="majorBidi" w:cstheme="majorBidi"/>
          <w:sz w:val="24"/>
          <w:szCs w:val="24"/>
          <w:lang w:val="en-GB" w:eastAsia="zh-CN" w:bidi="ar-SA"/>
        </w:rPr>
        <w:t xml:space="preserve"> In </w:t>
      </w:r>
      <w:proofErr w:type="spellStart"/>
      <w:r w:rsidR="004C3EF1">
        <w:rPr>
          <w:rFonts w:asciiTheme="majorBidi" w:eastAsia="Times New Roman" w:hAnsiTheme="majorBidi" w:cstheme="majorBidi"/>
          <w:sz w:val="24"/>
          <w:szCs w:val="24"/>
          <w:lang w:val="en-GB" w:eastAsia="zh-CN" w:bidi="ar-SA"/>
        </w:rPr>
        <w:t>vitroPlant</w:t>
      </w:r>
      <w:proofErr w:type="spellEnd"/>
      <w:r w:rsidR="004C3EF1">
        <w:rPr>
          <w:rFonts w:asciiTheme="majorBidi" w:eastAsia="Times New Roman" w:hAnsiTheme="majorBidi" w:cstheme="majorBidi"/>
          <w:sz w:val="24"/>
          <w:szCs w:val="24"/>
          <w:lang w:val="en-GB" w:eastAsia="zh-CN" w:bidi="ar-SA"/>
        </w:rPr>
        <w:t xml:space="preserve"> Regeneration of an endangered Sikkim </w:t>
      </w:r>
      <w:proofErr w:type="spellStart"/>
      <w:r w:rsidR="004C3EF1">
        <w:rPr>
          <w:rFonts w:asciiTheme="majorBidi" w:eastAsia="Times New Roman" w:hAnsiTheme="majorBidi" w:cstheme="majorBidi"/>
          <w:sz w:val="24"/>
          <w:szCs w:val="24"/>
          <w:lang w:val="en-GB" w:eastAsia="zh-CN" w:bidi="ar-SA"/>
        </w:rPr>
        <w:t>himalayan</w:t>
      </w:r>
      <w:proofErr w:type="spellEnd"/>
      <w:r w:rsidR="004C3EF1">
        <w:rPr>
          <w:rFonts w:asciiTheme="majorBidi" w:eastAsia="Times New Roman" w:hAnsiTheme="majorBidi" w:cstheme="majorBidi"/>
          <w:sz w:val="24"/>
          <w:szCs w:val="24"/>
          <w:lang w:val="en-GB" w:eastAsia="zh-CN" w:bidi="ar-SA"/>
        </w:rPr>
        <w:t xml:space="preserve"> Rhododendron (</w:t>
      </w:r>
      <w:r w:rsidR="004C3EF1">
        <w:rPr>
          <w:rFonts w:asciiTheme="majorBidi" w:eastAsia="Times New Roman" w:hAnsiTheme="majorBidi" w:cstheme="majorBidi"/>
          <w:i/>
          <w:iCs/>
          <w:sz w:val="24"/>
          <w:szCs w:val="24"/>
          <w:lang w:val="en-GB" w:eastAsia="zh-CN" w:bidi="ar-SA"/>
        </w:rPr>
        <w:t xml:space="preserve">R. </w:t>
      </w:r>
      <w:proofErr w:type="spellStart"/>
      <w:r w:rsidR="004C3EF1">
        <w:rPr>
          <w:rFonts w:asciiTheme="majorBidi" w:eastAsia="Times New Roman" w:hAnsiTheme="majorBidi" w:cstheme="majorBidi"/>
          <w:i/>
          <w:iCs/>
          <w:sz w:val="24"/>
          <w:szCs w:val="24"/>
          <w:lang w:val="en-GB" w:eastAsia="zh-CN" w:bidi="ar-SA"/>
        </w:rPr>
        <w:t>maddeni</w:t>
      </w:r>
      <w:proofErr w:type="spellEnd"/>
      <w:r w:rsidR="004C3EF1">
        <w:rPr>
          <w:rFonts w:asciiTheme="majorBidi" w:eastAsia="Times New Roman" w:hAnsiTheme="majorBidi" w:cstheme="majorBidi"/>
          <w:i/>
          <w:iCs/>
          <w:sz w:val="24"/>
          <w:szCs w:val="24"/>
          <w:lang w:val="en-GB" w:eastAsia="zh-CN" w:bidi="ar-SA"/>
        </w:rPr>
        <w:t xml:space="preserve"> Hook</w:t>
      </w:r>
      <w:r w:rsidR="004C3EF1">
        <w:rPr>
          <w:rFonts w:asciiTheme="majorBidi" w:eastAsia="Times New Roman" w:hAnsiTheme="majorBidi" w:cstheme="majorBidi"/>
          <w:sz w:val="24"/>
          <w:szCs w:val="24"/>
          <w:lang w:val="en-GB" w:eastAsia="zh-CN" w:bidi="ar-SA"/>
        </w:rPr>
        <w:t>. f.) from Alginate Encapsulated Shoot Tips. Biotechnology, 7(1): 144-148.</w:t>
      </w:r>
    </w:p>
    <w:p w:rsidR="004C3EF1" w:rsidRDefault="004C3EF1" w:rsidP="00D803B4">
      <w:pPr>
        <w:spacing w:line="240" w:lineRule="auto"/>
        <w:ind w:left="567" w:hanging="567"/>
        <w:jc w:val="left"/>
        <w:rPr>
          <w:rFonts w:asciiTheme="majorBidi" w:eastAsia="Times New Roman" w:hAnsiTheme="majorBidi" w:cstheme="majorBidi"/>
          <w:sz w:val="24"/>
          <w:szCs w:val="24"/>
          <w:lang w:eastAsia="zh-CN" w:bidi="ar-SA"/>
        </w:rPr>
      </w:pPr>
      <w:proofErr w:type="spellStart"/>
      <w:proofErr w:type="gramStart"/>
      <w:r>
        <w:rPr>
          <w:rFonts w:asciiTheme="majorBidi" w:eastAsia="Times New Roman" w:hAnsiTheme="majorBidi" w:cstheme="majorBidi"/>
          <w:sz w:val="24"/>
          <w:szCs w:val="24"/>
          <w:lang w:eastAsia="zh-CN" w:bidi="ar-SA"/>
        </w:rPr>
        <w:t>Ts</w:t>
      </w:r>
      <w:r w:rsidR="009064B9">
        <w:rPr>
          <w:rFonts w:asciiTheme="majorBidi" w:eastAsia="Times New Roman" w:hAnsiTheme="majorBidi" w:cstheme="majorBidi"/>
          <w:sz w:val="24"/>
          <w:szCs w:val="24"/>
          <w:lang w:eastAsia="zh-CN" w:bidi="ar-SA"/>
        </w:rPr>
        <w:t>vetkov</w:t>
      </w:r>
      <w:proofErr w:type="spellEnd"/>
      <w:r w:rsidR="009064B9">
        <w:rPr>
          <w:rFonts w:asciiTheme="majorBidi" w:eastAsia="Times New Roman" w:hAnsiTheme="majorBidi" w:cstheme="majorBidi"/>
          <w:sz w:val="24"/>
          <w:szCs w:val="24"/>
          <w:lang w:eastAsia="zh-CN" w:bidi="ar-SA"/>
        </w:rPr>
        <w:t xml:space="preserve"> I.</w:t>
      </w:r>
      <w:proofErr w:type="gramEnd"/>
      <w:r w:rsidR="009064B9">
        <w:rPr>
          <w:rFonts w:asciiTheme="majorBidi" w:eastAsia="Times New Roman" w:hAnsiTheme="majorBidi" w:cstheme="majorBidi"/>
          <w:sz w:val="24"/>
          <w:szCs w:val="24"/>
          <w:lang w:eastAsia="zh-CN" w:bidi="ar-SA"/>
        </w:rPr>
        <w:t xml:space="preserve">  </w:t>
      </w:r>
      <w:proofErr w:type="spellStart"/>
      <w:r w:rsidR="009064B9">
        <w:rPr>
          <w:rFonts w:asciiTheme="majorBidi" w:eastAsia="Times New Roman" w:hAnsiTheme="majorBidi" w:cstheme="majorBidi"/>
          <w:sz w:val="24"/>
          <w:szCs w:val="24"/>
          <w:lang w:eastAsia="zh-CN" w:bidi="ar-SA"/>
        </w:rPr>
        <w:t>Hausman</w:t>
      </w:r>
      <w:proofErr w:type="spellEnd"/>
      <w:r w:rsidR="009064B9">
        <w:rPr>
          <w:rFonts w:asciiTheme="majorBidi" w:eastAsia="Times New Roman" w:hAnsiTheme="majorBidi" w:cstheme="majorBidi"/>
          <w:sz w:val="24"/>
          <w:szCs w:val="24"/>
          <w:lang w:eastAsia="zh-CN" w:bidi="ar-SA"/>
        </w:rPr>
        <w:t xml:space="preserve"> J. F. (2005).</w:t>
      </w:r>
      <w:r>
        <w:rPr>
          <w:rFonts w:asciiTheme="majorBidi" w:eastAsia="Times New Roman" w:hAnsiTheme="majorBidi" w:cstheme="majorBidi"/>
          <w:sz w:val="24"/>
          <w:szCs w:val="24"/>
          <w:lang w:eastAsia="zh-CN" w:bidi="ar-SA"/>
        </w:rPr>
        <w:t xml:space="preserve">  In vitro regeneration from alginate-encapsulated </w:t>
      </w:r>
      <w:proofErr w:type="spellStart"/>
      <w:r>
        <w:rPr>
          <w:rFonts w:asciiTheme="majorBidi" w:eastAsia="Times New Roman" w:hAnsiTheme="majorBidi" w:cstheme="majorBidi"/>
          <w:sz w:val="24"/>
          <w:szCs w:val="24"/>
          <w:lang w:eastAsia="zh-CN" w:bidi="ar-SA"/>
        </w:rPr>
        <w:t>microcuttings</w:t>
      </w:r>
      <w:proofErr w:type="spellEnd"/>
      <w:r>
        <w:rPr>
          <w:rFonts w:asciiTheme="majorBidi" w:eastAsia="Times New Roman" w:hAnsiTheme="majorBidi" w:cstheme="majorBidi"/>
          <w:sz w:val="24"/>
          <w:szCs w:val="24"/>
          <w:lang w:eastAsia="zh-CN" w:bidi="ar-SA"/>
        </w:rPr>
        <w:t xml:space="preserve"> of </w:t>
      </w:r>
      <w:proofErr w:type="spellStart"/>
      <w:r>
        <w:rPr>
          <w:rFonts w:asciiTheme="majorBidi" w:eastAsia="Times New Roman" w:hAnsiTheme="majorBidi" w:cstheme="majorBidi"/>
          <w:i/>
          <w:iCs/>
          <w:sz w:val="24"/>
          <w:szCs w:val="24"/>
          <w:lang w:eastAsia="zh-CN" w:bidi="ar-SA"/>
        </w:rPr>
        <w:t>Quercus</w:t>
      </w:r>
      <w:proofErr w:type="spellEnd"/>
      <w:r>
        <w:rPr>
          <w:rFonts w:asciiTheme="majorBidi" w:eastAsia="Times New Roman" w:hAnsiTheme="majorBidi" w:cstheme="majorBidi"/>
          <w:i/>
          <w:iCs/>
          <w:sz w:val="24"/>
          <w:szCs w:val="24"/>
          <w:lang w:eastAsia="zh-CN" w:bidi="ar-SA"/>
        </w:rPr>
        <w:t xml:space="preserve"> sp</w:t>
      </w:r>
      <w:r>
        <w:rPr>
          <w:rFonts w:asciiTheme="majorBidi" w:eastAsia="Times New Roman" w:hAnsiTheme="majorBidi" w:cstheme="majorBidi"/>
          <w:sz w:val="24"/>
          <w:szCs w:val="24"/>
          <w:lang w:eastAsia="zh-CN" w:bidi="ar-SA"/>
        </w:rPr>
        <w:t>. Sci. Hort., 103: 503–507.</w:t>
      </w:r>
    </w:p>
    <w:p w:rsidR="004C3EF1" w:rsidRDefault="004C3EF1" w:rsidP="00D803B4">
      <w:pPr>
        <w:spacing w:line="240" w:lineRule="auto"/>
        <w:ind w:left="567" w:hanging="567"/>
        <w:jc w:val="left"/>
        <w:rPr>
          <w:rFonts w:asciiTheme="majorBidi" w:eastAsia="Times New Roman" w:hAnsiTheme="majorBidi" w:cstheme="majorBidi"/>
          <w:sz w:val="24"/>
          <w:szCs w:val="24"/>
          <w:lang w:eastAsia="zh-CN" w:bidi="ar-SA"/>
        </w:rPr>
      </w:pPr>
      <w:proofErr w:type="spellStart"/>
      <w:r>
        <w:rPr>
          <w:rFonts w:asciiTheme="majorBidi" w:eastAsia="Times New Roman" w:hAnsiTheme="majorBidi" w:cstheme="majorBidi"/>
          <w:sz w:val="24"/>
          <w:szCs w:val="24"/>
          <w:lang w:eastAsia="zh-CN" w:bidi="ar-SA"/>
        </w:rPr>
        <w:t>Vij</w:t>
      </w:r>
      <w:proofErr w:type="spellEnd"/>
      <w:r>
        <w:rPr>
          <w:rFonts w:asciiTheme="majorBidi" w:eastAsia="Times New Roman" w:hAnsiTheme="majorBidi" w:cstheme="majorBidi"/>
          <w:sz w:val="24"/>
          <w:szCs w:val="24"/>
          <w:lang w:eastAsia="zh-CN" w:bidi="ar-SA"/>
        </w:rPr>
        <w:t>, S. P.</w:t>
      </w:r>
      <w:proofErr w:type="gramStart"/>
      <w:r>
        <w:rPr>
          <w:rFonts w:asciiTheme="majorBidi" w:eastAsia="Times New Roman" w:hAnsiTheme="majorBidi" w:cstheme="majorBidi"/>
          <w:sz w:val="24"/>
          <w:szCs w:val="24"/>
          <w:lang w:eastAsia="zh-CN" w:bidi="ar-SA"/>
        </w:rPr>
        <w:t>,  Kaur</w:t>
      </w:r>
      <w:proofErr w:type="gramEnd"/>
      <w:r>
        <w:rPr>
          <w:rFonts w:asciiTheme="majorBidi" w:eastAsia="Times New Roman" w:hAnsiTheme="majorBidi" w:cstheme="majorBidi"/>
          <w:sz w:val="24"/>
          <w:szCs w:val="24"/>
          <w:lang w:eastAsia="zh-CN" w:bidi="ar-SA"/>
        </w:rPr>
        <w:t xml:space="preserve"> P.,  Gupta A. (2001)</w:t>
      </w:r>
      <w:r w:rsidR="009064B9">
        <w:rPr>
          <w:rFonts w:asciiTheme="majorBidi" w:eastAsia="Times New Roman" w:hAnsiTheme="majorBidi" w:cstheme="majorBidi"/>
          <w:sz w:val="24"/>
          <w:szCs w:val="24"/>
          <w:lang w:eastAsia="zh-CN" w:bidi="ar-SA"/>
        </w:rPr>
        <w:t>.</w:t>
      </w:r>
      <w:r>
        <w:rPr>
          <w:rFonts w:asciiTheme="majorBidi" w:eastAsia="Times New Roman" w:hAnsiTheme="majorBidi" w:cstheme="majorBidi"/>
          <w:sz w:val="24"/>
          <w:szCs w:val="24"/>
          <w:lang w:eastAsia="zh-CN" w:bidi="ar-SA"/>
        </w:rPr>
        <w:t xml:space="preserve"> </w:t>
      </w:r>
      <w:proofErr w:type="spellStart"/>
      <w:r>
        <w:rPr>
          <w:rFonts w:asciiTheme="majorBidi" w:eastAsia="Times New Roman" w:hAnsiTheme="majorBidi" w:cstheme="majorBidi"/>
          <w:sz w:val="24"/>
          <w:szCs w:val="24"/>
          <w:lang w:eastAsia="zh-CN" w:bidi="ar-SA"/>
        </w:rPr>
        <w:t>Synseeds</w:t>
      </w:r>
      <w:proofErr w:type="spellEnd"/>
      <w:r>
        <w:rPr>
          <w:rFonts w:asciiTheme="majorBidi" w:eastAsia="Times New Roman" w:hAnsiTheme="majorBidi" w:cstheme="majorBidi"/>
          <w:sz w:val="24"/>
          <w:szCs w:val="24"/>
          <w:lang w:eastAsia="zh-CN" w:bidi="ar-SA"/>
        </w:rPr>
        <w:t xml:space="preserve"> and their utility in orchids: </w:t>
      </w:r>
      <w:proofErr w:type="spellStart"/>
      <w:r>
        <w:rPr>
          <w:rFonts w:asciiTheme="majorBidi" w:eastAsia="Times New Roman" w:hAnsiTheme="majorBidi" w:cstheme="majorBidi"/>
          <w:i/>
          <w:iCs/>
          <w:sz w:val="24"/>
          <w:szCs w:val="24"/>
          <w:lang w:eastAsia="zh-CN" w:bidi="ar-SA"/>
        </w:rPr>
        <w:t>DendrobiumdensiflorumLindl</w:t>
      </w:r>
      <w:proofErr w:type="spellEnd"/>
      <w:r>
        <w:rPr>
          <w:rFonts w:asciiTheme="majorBidi" w:eastAsia="Times New Roman" w:hAnsiTheme="majorBidi" w:cstheme="majorBidi"/>
          <w:sz w:val="24"/>
          <w:szCs w:val="24"/>
          <w:lang w:eastAsia="zh-CN" w:bidi="ar-SA"/>
        </w:rPr>
        <w:t xml:space="preserve">. </w:t>
      </w:r>
      <w:proofErr w:type="spellStart"/>
      <w:r>
        <w:rPr>
          <w:rFonts w:asciiTheme="majorBidi" w:eastAsia="Times New Roman" w:hAnsiTheme="majorBidi" w:cstheme="majorBidi"/>
          <w:sz w:val="24"/>
          <w:szCs w:val="24"/>
          <w:lang w:eastAsia="zh-CN" w:bidi="ar-SA"/>
        </w:rPr>
        <w:t>Phytomorphology</w:t>
      </w:r>
      <w:proofErr w:type="spellEnd"/>
      <w:r>
        <w:rPr>
          <w:rFonts w:asciiTheme="majorBidi" w:eastAsia="Times New Roman" w:hAnsiTheme="majorBidi" w:cstheme="majorBidi"/>
          <w:sz w:val="24"/>
          <w:szCs w:val="24"/>
          <w:lang w:eastAsia="zh-CN" w:bidi="ar-SA"/>
        </w:rPr>
        <w:t>, 51: 159-165.</w:t>
      </w:r>
    </w:p>
    <w:p w:rsidR="004C3EF1" w:rsidRDefault="004C3EF1" w:rsidP="00D803B4">
      <w:pPr>
        <w:spacing w:line="240" w:lineRule="auto"/>
        <w:ind w:left="567" w:hanging="567"/>
        <w:jc w:val="left"/>
        <w:rPr>
          <w:rFonts w:asciiTheme="majorBidi" w:eastAsia="Times New Roman" w:hAnsiTheme="majorBidi" w:cstheme="majorBidi"/>
          <w:sz w:val="24"/>
          <w:szCs w:val="24"/>
          <w:lang w:val="en-GB" w:eastAsia="zh-CN" w:bidi="ar-SA"/>
        </w:rPr>
      </w:pPr>
      <w:proofErr w:type="spellStart"/>
      <w:r>
        <w:rPr>
          <w:rFonts w:asciiTheme="majorBidi" w:eastAsia="Times New Roman" w:hAnsiTheme="majorBidi" w:cstheme="majorBidi"/>
          <w:sz w:val="24"/>
          <w:szCs w:val="24"/>
          <w:lang w:val="en-GB" w:eastAsia="zh-CN" w:bidi="ar-SA"/>
        </w:rPr>
        <w:t>Zeynali</w:t>
      </w:r>
      <w:proofErr w:type="gramStart"/>
      <w:r>
        <w:rPr>
          <w:rFonts w:asciiTheme="majorBidi" w:eastAsia="Times New Roman" w:hAnsiTheme="majorBidi" w:cstheme="majorBidi"/>
          <w:sz w:val="24"/>
          <w:szCs w:val="24"/>
          <w:lang w:val="en-GB" w:eastAsia="zh-CN" w:bidi="ar-SA"/>
        </w:rPr>
        <w:t>,M</w:t>
      </w:r>
      <w:proofErr w:type="spellEnd"/>
      <w:proofErr w:type="gram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Maleki</w:t>
      </w:r>
      <w:proofErr w:type="spell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Zanjani</w:t>
      </w:r>
      <w:proofErr w:type="spellEnd"/>
      <w:r>
        <w:rPr>
          <w:rFonts w:asciiTheme="majorBidi" w:eastAsia="Times New Roman" w:hAnsiTheme="majorBidi" w:cstheme="majorBidi"/>
          <w:sz w:val="24"/>
          <w:szCs w:val="24"/>
          <w:lang w:val="en-GB" w:eastAsia="zh-CN" w:bidi="ar-SA"/>
        </w:rPr>
        <w:t xml:space="preserve"> B.,  Amiri M. E., </w:t>
      </w:r>
      <w:proofErr w:type="spellStart"/>
      <w:r>
        <w:rPr>
          <w:rFonts w:asciiTheme="majorBidi" w:eastAsia="Times New Roman" w:hAnsiTheme="majorBidi" w:cstheme="majorBidi"/>
          <w:sz w:val="24"/>
          <w:szCs w:val="24"/>
          <w:lang w:val="en-GB" w:eastAsia="zh-CN" w:bidi="ar-SA"/>
        </w:rPr>
        <w:t>Noruzian</w:t>
      </w:r>
      <w:proofErr w:type="spellEnd"/>
      <w:r>
        <w:rPr>
          <w:rFonts w:asciiTheme="majorBidi" w:eastAsia="Times New Roman" w:hAnsiTheme="majorBidi" w:cstheme="majorBidi"/>
          <w:sz w:val="24"/>
          <w:szCs w:val="24"/>
          <w:lang w:val="en-GB" w:eastAsia="zh-CN" w:bidi="ar-SA"/>
        </w:rPr>
        <w:t xml:space="preserve"> M., </w:t>
      </w:r>
      <w:proofErr w:type="spellStart"/>
      <w:r>
        <w:rPr>
          <w:rFonts w:asciiTheme="majorBidi" w:eastAsia="Times New Roman" w:hAnsiTheme="majorBidi" w:cstheme="majorBidi"/>
          <w:sz w:val="24"/>
          <w:szCs w:val="24"/>
          <w:lang w:val="en-GB" w:eastAsia="zh-CN" w:bidi="ar-SA"/>
        </w:rPr>
        <w:t>Moghaddam</w:t>
      </w:r>
      <w:proofErr w:type="spellEnd"/>
      <w:r>
        <w:rPr>
          <w:rFonts w:asciiTheme="majorBidi" w:eastAsia="Times New Roman" w:hAnsiTheme="majorBidi" w:cstheme="majorBidi"/>
          <w:sz w:val="24"/>
          <w:szCs w:val="24"/>
          <w:lang w:val="en-GB" w:eastAsia="zh-CN" w:bidi="ar-SA"/>
        </w:rPr>
        <w:t xml:space="preserve"> </w:t>
      </w:r>
      <w:proofErr w:type="spellStart"/>
      <w:r>
        <w:rPr>
          <w:rFonts w:asciiTheme="majorBidi" w:eastAsia="Times New Roman" w:hAnsiTheme="majorBidi" w:cstheme="majorBidi"/>
          <w:sz w:val="24"/>
          <w:szCs w:val="24"/>
          <w:lang w:val="en-GB" w:eastAsia="zh-CN" w:bidi="ar-SA"/>
        </w:rPr>
        <w:t>Aghajari</w:t>
      </w:r>
      <w:proofErr w:type="spellEnd"/>
      <w:r>
        <w:rPr>
          <w:rFonts w:asciiTheme="majorBidi" w:eastAsia="Times New Roman" w:hAnsiTheme="majorBidi" w:cstheme="majorBidi"/>
          <w:sz w:val="24"/>
          <w:szCs w:val="24"/>
          <w:lang w:val="en-GB" w:eastAsia="zh-CN" w:bidi="ar-SA"/>
        </w:rPr>
        <w:t xml:space="preserve"> SH. (2010). Influence of genotype and plant growth regulator on somatic embryogenesis in rapeseed (</w:t>
      </w:r>
      <w:r>
        <w:rPr>
          <w:rFonts w:asciiTheme="majorBidi" w:eastAsia="Times New Roman" w:hAnsiTheme="majorBidi" w:cstheme="majorBidi"/>
          <w:i/>
          <w:iCs/>
          <w:sz w:val="24"/>
          <w:szCs w:val="24"/>
          <w:lang w:val="en-GB" w:eastAsia="zh-CN" w:bidi="ar-SA"/>
        </w:rPr>
        <w:t xml:space="preserve">Brassica </w:t>
      </w:r>
      <w:proofErr w:type="spellStart"/>
      <w:r>
        <w:rPr>
          <w:rFonts w:asciiTheme="majorBidi" w:eastAsia="Times New Roman" w:hAnsiTheme="majorBidi" w:cstheme="majorBidi"/>
          <w:i/>
          <w:iCs/>
          <w:sz w:val="24"/>
          <w:szCs w:val="24"/>
          <w:lang w:val="en-GB" w:eastAsia="zh-CN" w:bidi="ar-SA"/>
        </w:rPr>
        <w:t>napus</w:t>
      </w:r>
      <w:proofErr w:type="spellEnd"/>
      <w:r>
        <w:rPr>
          <w:rFonts w:asciiTheme="majorBidi" w:eastAsia="Times New Roman" w:hAnsiTheme="majorBidi" w:cstheme="majorBidi"/>
          <w:sz w:val="24"/>
          <w:szCs w:val="24"/>
          <w:lang w:val="en-GB" w:eastAsia="zh-CN" w:bidi="ar-SA"/>
        </w:rPr>
        <w:t xml:space="preserve"> L.). African Journal of Biotechnology</w:t>
      </w:r>
      <w:proofErr w:type="gramStart"/>
      <w:r>
        <w:rPr>
          <w:rFonts w:asciiTheme="majorBidi" w:eastAsia="Times New Roman" w:hAnsiTheme="majorBidi" w:cstheme="majorBidi"/>
          <w:sz w:val="24"/>
          <w:szCs w:val="24"/>
          <w:lang w:val="en-GB" w:eastAsia="zh-CN" w:bidi="ar-SA"/>
        </w:rPr>
        <w:t>,  9</w:t>
      </w:r>
      <w:proofErr w:type="gramEnd"/>
      <w:r>
        <w:rPr>
          <w:rFonts w:asciiTheme="majorBidi" w:eastAsia="Times New Roman" w:hAnsiTheme="majorBidi" w:cstheme="majorBidi"/>
          <w:sz w:val="24"/>
          <w:szCs w:val="24"/>
          <w:lang w:val="en-GB" w:eastAsia="zh-CN" w:bidi="ar-SA"/>
        </w:rPr>
        <w:t>(26): 4050-4055.</w:t>
      </w:r>
    </w:p>
    <w:p w:rsidR="004C3EF1" w:rsidRDefault="004C3EF1" w:rsidP="00D803B4">
      <w:pPr>
        <w:spacing w:line="240" w:lineRule="auto"/>
        <w:ind w:left="567" w:hanging="567"/>
        <w:jc w:val="left"/>
        <w:rPr>
          <w:rFonts w:asciiTheme="majorBidi" w:eastAsia="Times New Roman" w:hAnsiTheme="majorBidi" w:cstheme="majorBidi"/>
          <w:sz w:val="24"/>
          <w:szCs w:val="24"/>
          <w:lang w:eastAsia="zh-CN" w:bidi="ar-SA"/>
        </w:rPr>
      </w:pPr>
      <w:proofErr w:type="spellStart"/>
      <w:r>
        <w:rPr>
          <w:rFonts w:ascii="Times New Roman" w:eastAsia="Calibri" w:hAnsi="Times New Roman" w:cs="Times New Roman"/>
          <w:sz w:val="24"/>
          <w:szCs w:val="24"/>
        </w:rPr>
        <w:t>Zych</w:t>
      </w:r>
      <w:proofErr w:type="spellEnd"/>
      <w:r>
        <w:rPr>
          <w:rFonts w:ascii="Times New Roman" w:eastAsia="Calibri" w:hAnsi="Times New Roman" w:cs="Times New Roman"/>
          <w:sz w:val="24"/>
          <w:szCs w:val="24"/>
        </w:rPr>
        <w:t>, M.</w:t>
      </w:r>
      <w:proofErr w:type="gramStart"/>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Furmanowa</w:t>
      </w:r>
      <w:proofErr w:type="spellEnd"/>
      <w:proofErr w:type="gramEnd"/>
      <w:r>
        <w:rPr>
          <w:rFonts w:ascii="Times New Roman" w:eastAsia="Calibri" w:hAnsi="Times New Roman" w:cs="Times New Roman"/>
          <w:sz w:val="24"/>
          <w:szCs w:val="24"/>
        </w:rPr>
        <w:t xml:space="preserve"> M., </w:t>
      </w:r>
      <w:proofErr w:type="spellStart"/>
      <w:r>
        <w:rPr>
          <w:rFonts w:ascii="Times New Roman" w:eastAsia="Calibri" w:hAnsi="Times New Roman" w:cs="Times New Roman"/>
          <w:sz w:val="24"/>
          <w:szCs w:val="24"/>
        </w:rPr>
        <w:t>Patan</w:t>
      </w:r>
      <w:proofErr w:type="spellEnd"/>
      <w:r>
        <w:rPr>
          <w:rFonts w:ascii="Times New Roman" w:eastAsia="Calibri" w:hAnsi="Times New Roman" w:cs="Times New Roman"/>
          <w:sz w:val="24"/>
          <w:szCs w:val="24"/>
        </w:rPr>
        <w:t xml:space="preserve"> A. K.,  </w:t>
      </w:r>
      <w:proofErr w:type="spellStart"/>
      <w:r>
        <w:rPr>
          <w:rFonts w:ascii="Times New Roman" w:eastAsia="Calibri" w:hAnsi="Times New Roman" w:cs="Times New Roman"/>
          <w:sz w:val="24"/>
          <w:szCs w:val="24"/>
        </w:rPr>
        <w:t>Lowicka</w:t>
      </w:r>
      <w:proofErr w:type="spellEnd"/>
      <w:r>
        <w:rPr>
          <w:rFonts w:ascii="Times New Roman" w:eastAsia="Calibri" w:hAnsi="Times New Roman" w:cs="Times New Roman"/>
          <w:sz w:val="24"/>
          <w:szCs w:val="24"/>
        </w:rPr>
        <w:t xml:space="preserve"> A.,  </w:t>
      </w:r>
      <w:proofErr w:type="spellStart"/>
      <w:r>
        <w:rPr>
          <w:rFonts w:ascii="Times New Roman" w:eastAsia="Calibri" w:hAnsi="Times New Roman" w:cs="Times New Roman"/>
          <w:sz w:val="24"/>
          <w:szCs w:val="24"/>
        </w:rPr>
        <w:t>Dreger</w:t>
      </w:r>
      <w:proofErr w:type="spellEnd"/>
      <w:r>
        <w:rPr>
          <w:rFonts w:ascii="Times New Roman" w:eastAsia="Calibri" w:hAnsi="Times New Roman" w:cs="Times New Roman"/>
          <w:sz w:val="24"/>
          <w:szCs w:val="24"/>
        </w:rPr>
        <w:t xml:space="preserve"> M., </w:t>
      </w:r>
      <w:proofErr w:type="spellStart"/>
      <w:r>
        <w:rPr>
          <w:rFonts w:ascii="Times New Roman" w:eastAsia="Calibri" w:hAnsi="Times New Roman" w:cs="Times New Roman"/>
          <w:sz w:val="24"/>
          <w:szCs w:val="24"/>
        </w:rPr>
        <w:t>Mendlewska</w:t>
      </w:r>
      <w:proofErr w:type="spellEnd"/>
      <w:r>
        <w:rPr>
          <w:rFonts w:ascii="Times New Roman" w:eastAsia="Calibri" w:hAnsi="Times New Roman" w:cs="Times New Roman"/>
          <w:sz w:val="24"/>
          <w:szCs w:val="24"/>
        </w:rPr>
        <w:t xml:space="preserve"> S. (2005)</w:t>
      </w:r>
      <w:r w:rsidR="009064B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Micropropagation</w:t>
      </w:r>
      <w:proofErr w:type="spellEnd"/>
      <w:r>
        <w:rPr>
          <w:rFonts w:ascii="Times New Roman" w:eastAsia="Calibri" w:hAnsi="Times New Roman" w:cs="Times New Roman"/>
          <w:sz w:val="24"/>
          <w:szCs w:val="24"/>
        </w:rPr>
        <w:t xml:space="preserve"> of </w:t>
      </w:r>
      <w:proofErr w:type="spellStart"/>
      <w:r>
        <w:rPr>
          <w:rFonts w:ascii="Times New Roman" w:eastAsia="Calibri" w:hAnsi="Times New Roman" w:cs="Times New Roman"/>
          <w:i/>
          <w:iCs/>
          <w:sz w:val="24"/>
          <w:szCs w:val="24"/>
        </w:rPr>
        <w:t>Rhodiolakirilowii</w:t>
      </w:r>
      <w:r>
        <w:rPr>
          <w:rFonts w:ascii="Times New Roman" w:eastAsia="Calibri" w:hAnsi="Times New Roman" w:cs="Times New Roman"/>
          <w:sz w:val="24"/>
          <w:szCs w:val="24"/>
        </w:rPr>
        <w:t>plants</w:t>
      </w:r>
      <w:proofErr w:type="spellEnd"/>
      <w:r>
        <w:rPr>
          <w:rFonts w:ascii="Times New Roman" w:eastAsia="Calibri" w:hAnsi="Times New Roman" w:cs="Times New Roman"/>
          <w:sz w:val="24"/>
          <w:szCs w:val="24"/>
        </w:rPr>
        <w:t xml:space="preserve"> using encapsulated axillary buds and callus. </w:t>
      </w:r>
      <w:proofErr w:type="spellStart"/>
      <w:r>
        <w:rPr>
          <w:rFonts w:ascii="Times New Roman" w:eastAsia="Calibri" w:hAnsi="Times New Roman" w:cs="Times New Roman"/>
          <w:sz w:val="24"/>
          <w:szCs w:val="24"/>
        </w:rPr>
        <w:t>Acta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biologicacracoviensia</w:t>
      </w:r>
      <w:proofErr w:type="spellEnd"/>
      <w:r>
        <w:rPr>
          <w:rFonts w:ascii="Times New Roman" w:eastAsia="Calibri" w:hAnsi="Times New Roman" w:cs="Times New Roman"/>
          <w:sz w:val="24"/>
          <w:szCs w:val="24"/>
        </w:rPr>
        <w:t xml:space="preserve"> series </w:t>
      </w:r>
      <w:proofErr w:type="spellStart"/>
      <w:r>
        <w:rPr>
          <w:rFonts w:ascii="Times New Roman" w:eastAsia="Calibri" w:hAnsi="Times New Roman" w:cs="Times New Roman"/>
          <w:sz w:val="24"/>
          <w:szCs w:val="24"/>
        </w:rPr>
        <w:t>botanica</w:t>
      </w:r>
      <w:proofErr w:type="spellEnd"/>
      <w:r>
        <w:rPr>
          <w:rFonts w:ascii="Times New Roman" w:eastAsia="Calibri" w:hAnsi="Times New Roman" w:cs="Times New Roman"/>
          <w:sz w:val="24"/>
          <w:szCs w:val="24"/>
        </w:rPr>
        <w:t>, 47(2): 83–87.</w:t>
      </w:r>
    </w:p>
    <w:p w:rsidR="004C3EF1" w:rsidRDefault="003C24CE" w:rsidP="003C24CE">
      <w:pPr>
        <w:spacing w:after="200" w:line="276" w:lineRule="auto"/>
        <w:jc w:val="left"/>
      </w:pPr>
      <w:r>
        <w:br w:type="page"/>
      </w:r>
    </w:p>
    <w:p w:rsidR="00357E1B" w:rsidRPr="00135578" w:rsidRDefault="00357E1B" w:rsidP="00357E1B">
      <w:pPr>
        <w:pStyle w:val="BodyText"/>
        <w:spacing w:after="60" w:line="240" w:lineRule="auto"/>
        <w:ind w:firstLine="0"/>
        <w:rPr>
          <w:rFonts w:asciiTheme="majorBidi" w:hAnsiTheme="majorBidi" w:cstheme="majorBidi"/>
          <w:sz w:val="24"/>
          <w:szCs w:val="24"/>
        </w:rPr>
      </w:pPr>
      <w:r w:rsidRPr="006F2808">
        <w:rPr>
          <w:rFonts w:asciiTheme="majorBidi" w:hAnsiTheme="majorBidi" w:cstheme="majorBidi"/>
          <w:sz w:val="24"/>
          <w:szCs w:val="24"/>
        </w:rPr>
        <w:lastRenderedPageBreak/>
        <w:t xml:space="preserve">Table </w:t>
      </w:r>
      <w:r w:rsidRPr="006F2808">
        <w:rPr>
          <w:rFonts w:asciiTheme="majorBidi" w:hAnsiTheme="majorBidi" w:cstheme="majorBidi"/>
          <w:sz w:val="24"/>
          <w:szCs w:val="24"/>
        </w:rPr>
        <w:fldChar w:fldCharType="begin"/>
      </w:r>
      <w:r w:rsidRPr="006F2808">
        <w:rPr>
          <w:rFonts w:asciiTheme="majorBidi" w:hAnsiTheme="majorBidi" w:cstheme="majorBidi"/>
          <w:sz w:val="24"/>
          <w:szCs w:val="24"/>
        </w:rPr>
        <w:instrText xml:space="preserve"> SEQ Table \* ARABIC </w:instrText>
      </w:r>
      <w:r w:rsidRPr="006F2808">
        <w:rPr>
          <w:rFonts w:asciiTheme="majorBidi" w:hAnsiTheme="majorBidi" w:cstheme="majorBidi"/>
          <w:sz w:val="24"/>
          <w:szCs w:val="24"/>
        </w:rPr>
        <w:fldChar w:fldCharType="separate"/>
      </w:r>
      <w:r w:rsidR="00AA5FB3">
        <w:rPr>
          <w:rFonts w:asciiTheme="majorBidi" w:hAnsiTheme="majorBidi" w:cstheme="majorBidi"/>
          <w:noProof/>
          <w:sz w:val="24"/>
          <w:szCs w:val="24"/>
        </w:rPr>
        <w:t>1</w:t>
      </w:r>
      <w:r w:rsidRPr="006F2808">
        <w:rPr>
          <w:rFonts w:asciiTheme="majorBidi" w:hAnsiTheme="majorBidi" w:cstheme="majorBidi"/>
          <w:sz w:val="24"/>
          <w:szCs w:val="24"/>
        </w:rPr>
        <w:fldChar w:fldCharType="end"/>
      </w:r>
      <w:r w:rsidRPr="00135578">
        <w:rPr>
          <w:rFonts w:asciiTheme="majorBidi" w:hAnsiTheme="majorBidi" w:cstheme="majorBidi"/>
          <w:sz w:val="24"/>
          <w:szCs w:val="24"/>
        </w:rPr>
        <w:t xml:space="preserve"> Comparison of various sources and concentration of sodium alginate used for producing capsules of suitable hardness</w:t>
      </w:r>
    </w:p>
    <w:tbl>
      <w:tblPr>
        <w:tblW w:w="7986" w:type="dxa"/>
        <w:jc w:val="center"/>
        <w:tblInd w:w="-126" w:type="dxa"/>
        <w:tblLook w:val="00A0" w:firstRow="1" w:lastRow="0" w:firstColumn="1" w:lastColumn="0" w:noHBand="0" w:noVBand="0"/>
      </w:tblPr>
      <w:tblGrid>
        <w:gridCol w:w="3102"/>
        <w:gridCol w:w="1038"/>
        <w:gridCol w:w="3846"/>
      </w:tblGrid>
      <w:tr w:rsidR="00357E1B" w:rsidRPr="003C5B68" w:rsidTr="000956C3">
        <w:trPr>
          <w:trHeight w:val="441"/>
          <w:jc w:val="center"/>
        </w:trPr>
        <w:tc>
          <w:tcPr>
            <w:tcW w:w="4140" w:type="dxa"/>
            <w:gridSpan w:val="2"/>
            <w:tcBorders>
              <w:top w:val="single" w:sz="12" w:space="0" w:color="000000"/>
              <w:bottom w:val="single" w:sz="8" w:space="0" w:color="000000"/>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A45214">
              <w:rPr>
                <w:rFonts w:asciiTheme="majorBidi" w:hAnsiTheme="majorBidi" w:cstheme="majorBidi"/>
                <w:sz w:val="24"/>
                <w:szCs w:val="24"/>
              </w:rPr>
              <w:t>Sodium alginate concentration (%)</w:t>
            </w:r>
          </w:p>
        </w:tc>
        <w:tc>
          <w:tcPr>
            <w:tcW w:w="3846" w:type="dxa"/>
            <w:tcBorders>
              <w:top w:val="single" w:sz="12" w:space="0" w:color="000000"/>
              <w:bottom w:val="single" w:sz="8" w:space="0" w:color="000000"/>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tl/>
                <w:lang w:bidi="fa-IR"/>
              </w:rPr>
            </w:pPr>
            <w:r w:rsidRPr="003C5B68">
              <w:rPr>
                <w:rFonts w:asciiTheme="majorBidi" w:hAnsiTheme="majorBidi" w:cstheme="majorBidi"/>
                <w:sz w:val="24"/>
                <w:szCs w:val="24"/>
              </w:rPr>
              <w:t>Frequency of shoot recovery (%)</w:t>
            </w:r>
          </w:p>
        </w:tc>
      </w:tr>
      <w:tr w:rsidR="00357E1B" w:rsidRPr="003C5B68" w:rsidTr="000956C3">
        <w:trPr>
          <w:trHeight w:val="287"/>
          <w:jc w:val="center"/>
        </w:trPr>
        <w:tc>
          <w:tcPr>
            <w:tcW w:w="3102" w:type="dxa"/>
            <w:tcBorders>
              <w:top w:val="single" w:sz="12" w:space="0" w:color="auto"/>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A45214">
              <w:rPr>
                <w:rFonts w:asciiTheme="majorBidi" w:hAnsiTheme="majorBidi" w:cstheme="majorBidi"/>
                <w:sz w:val="24"/>
                <w:szCs w:val="24"/>
              </w:rPr>
              <w:t>2</w:t>
            </w:r>
          </w:p>
        </w:tc>
        <w:tc>
          <w:tcPr>
            <w:tcW w:w="4884" w:type="dxa"/>
            <w:gridSpan w:val="2"/>
            <w:tcBorders>
              <w:top w:val="single" w:sz="12" w:space="0" w:color="auto"/>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3C5B68">
              <w:rPr>
                <w:rFonts w:asciiTheme="majorBidi" w:hAnsiTheme="majorBidi" w:cstheme="majorBidi"/>
                <w:sz w:val="24"/>
                <w:szCs w:val="24"/>
              </w:rPr>
              <w:t>55.59 b</w:t>
            </w:r>
          </w:p>
        </w:tc>
      </w:tr>
      <w:tr w:rsidR="00357E1B" w:rsidRPr="003C5B68" w:rsidTr="000956C3">
        <w:trPr>
          <w:trHeight w:val="501"/>
          <w:jc w:val="center"/>
        </w:trPr>
        <w:tc>
          <w:tcPr>
            <w:tcW w:w="3102" w:type="dxa"/>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A45214">
              <w:rPr>
                <w:rFonts w:asciiTheme="majorBidi" w:hAnsiTheme="majorBidi" w:cstheme="majorBidi"/>
                <w:sz w:val="24"/>
                <w:szCs w:val="24"/>
              </w:rPr>
              <w:t>4</w:t>
            </w:r>
          </w:p>
        </w:tc>
        <w:tc>
          <w:tcPr>
            <w:tcW w:w="4884" w:type="dxa"/>
            <w:gridSpan w:val="2"/>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3C5B68">
              <w:rPr>
                <w:rFonts w:asciiTheme="majorBidi" w:hAnsiTheme="majorBidi" w:cstheme="majorBidi"/>
                <w:sz w:val="24"/>
                <w:szCs w:val="24"/>
              </w:rPr>
              <w:t>86.06 a</w:t>
            </w:r>
          </w:p>
        </w:tc>
      </w:tr>
      <w:tr w:rsidR="00357E1B" w:rsidRPr="003C5B68" w:rsidTr="000956C3">
        <w:trPr>
          <w:trHeight w:val="248"/>
          <w:jc w:val="center"/>
        </w:trPr>
        <w:tc>
          <w:tcPr>
            <w:tcW w:w="3102" w:type="dxa"/>
            <w:tcBorders>
              <w:bottom w:val="single" w:sz="12" w:space="0" w:color="auto"/>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A45214">
              <w:rPr>
                <w:rFonts w:asciiTheme="majorBidi" w:hAnsiTheme="majorBidi" w:cstheme="majorBidi"/>
                <w:sz w:val="24"/>
                <w:szCs w:val="24"/>
              </w:rPr>
              <w:t>6</w:t>
            </w:r>
          </w:p>
        </w:tc>
        <w:tc>
          <w:tcPr>
            <w:tcW w:w="4884" w:type="dxa"/>
            <w:gridSpan w:val="2"/>
            <w:tcBorders>
              <w:bottom w:val="single" w:sz="12" w:space="0" w:color="auto"/>
            </w:tcBorders>
            <w:shd w:val="clear" w:color="auto" w:fill="auto"/>
            <w:vAlign w:val="center"/>
          </w:tcPr>
          <w:p w:rsidR="00357E1B" w:rsidRPr="003C5B68" w:rsidRDefault="00357E1B" w:rsidP="000956C3">
            <w:pPr>
              <w:pStyle w:val="BodyText"/>
              <w:spacing w:after="60" w:line="480" w:lineRule="auto"/>
              <w:ind w:firstLine="0"/>
              <w:rPr>
                <w:rFonts w:asciiTheme="majorBidi" w:hAnsiTheme="majorBidi" w:cstheme="majorBidi"/>
                <w:sz w:val="24"/>
                <w:szCs w:val="24"/>
              </w:rPr>
            </w:pPr>
            <w:r w:rsidRPr="003C5B68">
              <w:rPr>
                <w:rFonts w:asciiTheme="majorBidi" w:hAnsiTheme="majorBidi" w:cstheme="majorBidi"/>
                <w:sz w:val="24"/>
                <w:szCs w:val="24"/>
              </w:rPr>
              <w:t>53.92 b</w:t>
            </w:r>
          </w:p>
        </w:tc>
      </w:tr>
    </w:tbl>
    <w:p w:rsidR="00357E1B" w:rsidRPr="00135578" w:rsidRDefault="00357E1B" w:rsidP="00357E1B">
      <w:pPr>
        <w:pStyle w:val="BodyText"/>
        <w:spacing w:after="60" w:line="240" w:lineRule="auto"/>
        <w:ind w:firstLine="0"/>
        <w:rPr>
          <w:rFonts w:asciiTheme="majorBidi" w:hAnsiTheme="majorBidi" w:cstheme="majorBidi"/>
          <w:sz w:val="24"/>
          <w:szCs w:val="24"/>
        </w:rPr>
      </w:pPr>
      <w:r w:rsidRPr="00135578">
        <w:rPr>
          <w:rFonts w:asciiTheme="majorBidi" w:hAnsiTheme="majorBidi" w:cstheme="majorBidi"/>
          <w:sz w:val="24"/>
          <w:szCs w:val="24"/>
        </w:rPr>
        <w:t>Data was recorded after one month of transfer on germination medium. Mean values sharing the same letter do not differ significantly (α =0.01) according to Duncan’s multiple range test.</w:t>
      </w:r>
    </w:p>
    <w:p w:rsidR="00357E1B" w:rsidRPr="00135578" w:rsidRDefault="00357E1B" w:rsidP="00357E1B">
      <w:pPr>
        <w:pStyle w:val="BodyText"/>
        <w:spacing w:after="60" w:line="480" w:lineRule="auto"/>
        <w:ind w:firstLine="0"/>
        <w:rPr>
          <w:rFonts w:asciiTheme="majorBidi" w:hAnsiTheme="majorBidi" w:cstheme="majorBidi"/>
          <w:sz w:val="24"/>
          <w:szCs w:val="24"/>
        </w:rPr>
      </w:pPr>
    </w:p>
    <w:p w:rsidR="00357E1B" w:rsidRPr="00135578" w:rsidRDefault="00357E1B" w:rsidP="00357E1B">
      <w:pPr>
        <w:pStyle w:val="BodyText"/>
        <w:spacing w:after="60" w:line="240" w:lineRule="auto"/>
        <w:ind w:firstLine="0"/>
        <w:rPr>
          <w:rFonts w:asciiTheme="majorBidi" w:hAnsiTheme="majorBidi" w:cstheme="majorBidi"/>
          <w:sz w:val="24"/>
          <w:szCs w:val="24"/>
        </w:rPr>
      </w:pPr>
      <w:r w:rsidRPr="006F2808">
        <w:rPr>
          <w:rFonts w:asciiTheme="majorBidi" w:hAnsiTheme="majorBidi" w:cstheme="majorBidi"/>
          <w:sz w:val="24"/>
          <w:szCs w:val="24"/>
        </w:rPr>
        <w:t>Table 2</w:t>
      </w:r>
      <w:r w:rsidRPr="00135578">
        <w:rPr>
          <w:rFonts w:asciiTheme="majorBidi" w:hAnsiTheme="majorBidi" w:cstheme="majorBidi"/>
          <w:sz w:val="24"/>
          <w:szCs w:val="24"/>
        </w:rPr>
        <w:t xml:space="preserve"> Comparison of various sources and concentration of calcium chloride used for producing capsules of suitable hardness</w:t>
      </w:r>
    </w:p>
    <w:p w:rsidR="00357E1B" w:rsidRPr="00135578" w:rsidRDefault="00357E1B" w:rsidP="00357E1B">
      <w:pPr>
        <w:pStyle w:val="BodyText"/>
        <w:spacing w:after="60" w:line="480" w:lineRule="auto"/>
        <w:rPr>
          <w:rFonts w:asciiTheme="majorBidi" w:hAnsiTheme="majorBidi" w:cstheme="majorBidi"/>
          <w:sz w:val="24"/>
          <w:szCs w:val="24"/>
        </w:rPr>
      </w:pPr>
      <w:r w:rsidRPr="004D424D">
        <w:rPr>
          <w:rFonts w:asciiTheme="majorBidi" w:hAnsiTheme="majorBidi" w:cstheme="majorBidi"/>
          <w:noProof/>
          <w:sz w:val="24"/>
          <w:szCs w:val="24"/>
          <w:lang w:val="en-US" w:eastAsia="en-US" w:bidi="fa-IR"/>
        </w:rPr>
        <w:drawing>
          <wp:inline distT="0" distB="0" distL="0" distR="0" wp14:anchorId="3B55CB70" wp14:editId="656A4CB2">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7E1B" w:rsidRPr="00135578" w:rsidRDefault="00357E1B" w:rsidP="00357E1B">
      <w:pPr>
        <w:pStyle w:val="BodyText"/>
        <w:spacing w:after="60" w:line="240" w:lineRule="auto"/>
        <w:ind w:firstLine="0"/>
        <w:rPr>
          <w:rFonts w:asciiTheme="majorBidi" w:hAnsiTheme="majorBidi" w:cstheme="majorBidi"/>
          <w:sz w:val="24"/>
          <w:szCs w:val="24"/>
        </w:rPr>
      </w:pPr>
      <w:r w:rsidRPr="00135578">
        <w:rPr>
          <w:rFonts w:asciiTheme="majorBidi" w:hAnsiTheme="majorBidi" w:cstheme="majorBidi"/>
          <w:sz w:val="24"/>
          <w:szCs w:val="24"/>
        </w:rPr>
        <w:t>Data was recorded after one month of transfer on germination medium. Mean values sharing the same letter do not differ significantly (α =0.01) according to Duncan’s multiple range test.</w:t>
      </w:r>
    </w:p>
    <w:p w:rsidR="00357E1B" w:rsidRDefault="00357E1B" w:rsidP="00357E1B">
      <w:pPr>
        <w:pStyle w:val="BodyText"/>
        <w:spacing w:after="60" w:line="240" w:lineRule="auto"/>
        <w:ind w:firstLine="0"/>
        <w:rPr>
          <w:rFonts w:asciiTheme="majorBidi" w:hAnsiTheme="majorBidi" w:cstheme="majorBidi"/>
          <w:b/>
          <w:bCs/>
          <w:sz w:val="24"/>
          <w:szCs w:val="24"/>
        </w:rPr>
      </w:pPr>
    </w:p>
    <w:p w:rsidR="00357E1B" w:rsidRPr="00135578" w:rsidRDefault="00357E1B" w:rsidP="00357E1B">
      <w:pPr>
        <w:pStyle w:val="BodyText"/>
        <w:spacing w:after="60" w:line="240" w:lineRule="auto"/>
        <w:ind w:firstLine="0"/>
        <w:rPr>
          <w:rFonts w:asciiTheme="majorBidi" w:hAnsiTheme="majorBidi" w:cstheme="majorBidi"/>
          <w:sz w:val="24"/>
          <w:szCs w:val="24"/>
        </w:rPr>
      </w:pPr>
      <w:r w:rsidRPr="006F2808">
        <w:rPr>
          <w:rFonts w:asciiTheme="majorBidi" w:hAnsiTheme="majorBidi" w:cstheme="majorBidi"/>
          <w:sz w:val="24"/>
          <w:szCs w:val="24"/>
        </w:rPr>
        <w:t>Table 3</w:t>
      </w:r>
      <w:r w:rsidRPr="00135578">
        <w:rPr>
          <w:rFonts w:asciiTheme="majorBidi" w:hAnsiTheme="majorBidi" w:cstheme="majorBidi"/>
          <w:sz w:val="24"/>
          <w:szCs w:val="24"/>
        </w:rPr>
        <w:t xml:space="preserve"> Effects of different media on conversion of encapsulated shoot tips into plantlets in </w:t>
      </w:r>
      <w:r w:rsidRPr="00660D4C">
        <w:rPr>
          <w:rFonts w:asciiTheme="majorBidi" w:hAnsiTheme="majorBidi" w:cstheme="majorBidi"/>
          <w:sz w:val="24"/>
          <w:szCs w:val="24"/>
        </w:rPr>
        <w:t xml:space="preserve">Brassica </w:t>
      </w:r>
      <w:proofErr w:type="spellStart"/>
      <w:r w:rsidRPr="00660D4C">
        <w:rPr>
          <w:rFonts w:asciiTheme="majorBidi" w:hAnsiTheme="majorBidi" w:cstheme="majorBidi"/>
          <w:sz w:val="24"/>
          <w:szCs w:val="24"/>
        </w:rPr>
        <w:t>napus</w:t>
      </w:r>
      <w:proofErr w:type="spellEnd"/>
      <w:r w:rsidRPr="00135578">
        <w:rPr>
          <w:rFonts w:asciiTheme="majorBidi" w:hAnsiTheme="majorBidi" w:cstheme="majorBidi"/>
          <w:sz w:val="24"/>
          <w:szCs w:val="24"/>
        </w:rPr>
        <w:t xml:space="preserve"> L.</w:t>
      </w:r>
    </w:p>
    <w:tbl>
      <w:tblPr>
        <w:tblW w:w="7778" w:type="dxa"/>
        <w:jc w:val="center"/>
        <w:tblInd w:w="-427" w:type="dxa"/>
        <w:tblLook w:val="00A0" w:firstRow="1" w:lastRow="0" w:firstColumn="1" w:lastColumn="0" w:noHBand="0" w:noVBand="0"/>
      </w:tblPr>
      <w:tblGrid>
        <w:gridCol w:w="3883"/>
        <w:gridCol w:w="493"/>
        <w:gridCol w:w="3402"/>
      </w:tblGrid>
      <w:tr w:rsidR="00357E1B" w:rsidRPr="00135578" w:rsidTr="000956C3">
        <w:trPr>
          <w:trHeight w:val="279"/>
          <w:jc w:val="center"/>
        </w:trPr>
        <w:tc>
          <w:tcPr>
            <w:tcW w:w="3883" w:type="dxa"/>
            <w:tcBorders>
              <w:top w:val="single" w:sz="12" w:space="0" w:color="000000"/>
              <w:bottom w:val="single" w:sz="8" w:space="0" w:color="000000"/>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tl/>
                <w:lang w:bidi="fa-IR"/>
              </w:rPr>
            </w:pPr>
            <w:r w:rsidRPr="00135578">
              <w:rPr>
                <w:rFonts w:asciiTheme="majorBidi" w:hAnsiTheme="majorBidi" w:cstheme="majorBidi"/>
                <w:sz w:val="24"/>
                <w:szCs w:val="24"/>
              </w:rPr>
              <w:t>Sodium alginate gel preparation</w:t>
            </w:r>
          </w:p>
        </w:tc>
        <w:tc>
          <w:tcPr>
            <w:tcW w:w="3895" w:type="dxa"/>
            <w:gridSpan w:val="2"/>
            <w:tcBorders>
              <w:top w:val="single" w:sz="12" w:space="0" w:color="000000"/>
              <w:bottom w:val="single" w:sz="8" w:space="0" w:color="000000"/>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tl/>
                <w:lang w:bidi="fa-IR"/>
              </w:rPr>
            </w:pPr>
            <w:r w:rsidRPr="00135578">
              <w:rPr>
                <w:rFonts w:asciiTheme="majorBidi" w:hAnsiTheme="majorBidi" w:cstheme="majorBidi"/>
                <w:sz w:val="24"/>
                <w:szCs w:val="24"/>
              </w:rPr>
              <w:t>Frequency of shoot recovery (%)</w:t>
            </w:r>
          </w:p>
        </w:tc>
      </w:tr>
      <w:tr w:rsidR="00357E1B" w:rsidRPr="00135578" w:rsidTr="000956C3">
        <w:trPr>
          <w:trHeight w:val="287"/>
          <w:jc w:val="center"/>
        </w:trPr>
        <w:tc>
          <w:tcPr>
            <w:tcW w:w="4376" w:type="dxa"/>
            <w:gridSpan w:val="2"/>
            <w:tcBorders>
              <w:top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tl/>
                <w:lang w:bidi="fa-IR"/>
              </w:rPr>
            </w:pPr>
            <w:r w:rsidRPr="00135578">
              <w:rPr>
                <w:rFonts w:asciiTheme="majorBidi" w:hAnsiTheme="majorBidi" w:cstheme="majorBidi"/>
                <w:sz w:val="24"/>
                <w:szCs w:val="24"/>
              </w:rPr>
              <w:t>MS liquid medium with hormones</w:t>
            </w:r>
          </w:p>
        </w:tc>
        <w:tc>
          <w:tcPr>
            <w:tcW w:w="3402" w:type="dxa"/>
            <w:tcBorders>
              <w:top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70.2 a</w:t>
            </w:r>
          </w:p>
        </w:tc>
      </w:tr>
      <w:tr w:rsidR="00357E1B" w:rsidRPr="00135578" w:rsidTr="000956C3">
        <w:trPr>
          <w:trHeight w:val="501"/>
          <w:jc w:val="center"/>
        </w:trPr>
        <w:tc>
          <w:tcPr>
            <w:tcW w:w="4376" w:type="dxa"/>
            <w:gridSpan w:val="2"/>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MS liquid medium</w:t>
            </w:r>
          </w:p>
        </w:tc>
        <w:tc>
          <w:tcPr>
            <w:tcW w:w="3402" w:type="dxa"/>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63.19 b</w:t>
            </w:r>
          </w:p>
        </w:tc>
      </w:tr>
      <w:tr w:rsidR="00357E1B" w:rsidRPr="00135578" w:rsidTr="000956C3">
        <w:trPr>
          <w:trHeight w:val="248"/>
          <w:jc w:val="center"/>
        </w:trPr>
        <w:tc>
          <w:tcPr>
            <w:tcW w:w="4376" w:type="dxa"/>
            <w:gridSpan w:val="2"/>
            <w:tcBorders>
              <w:bottom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Distilled water</w:t>
            </w:r>
          </w:p>
        </w:tc>
        <w:tc>
          <w:tcPr>
            <w:tcW w:w="3402" w:type="dxa"/>
            <w:tcBorders>
              <w:bottom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62.16 b</w:t>
            </w:r>
          </w:p>
        </w:tc>
      </w:tr>
    </w:tbl>
    <w:p w:rsidR="00357E1B" w:rsidRPr="00135578" w:rsidRDefault="00357E1B" w:rsidP="00357E1B">
      <w:pPr>
        <w:pStyle w:val="BodyText"/>
        <w:spacing w:after="60" w:line="240" w:lineRule="auto"/>
        <w:ind w:firstLine="0"/>
        <w:rPr>
          <w:rFonts w:asciiTheme="majorBidi" w:hAnsiTheme="majorBidi" w:cstheme="majorBidi"/>
          <w:sz w:val="24"/>
          <w:szCs w:val="24"/>
        </w:rPr>
      </w:pPr>
      <w:r w:rsidRPr="00135578">
        <w:rPr>
          <w:rFonts w:asciiTheme="majorBidi" w:hAnsiTheme="majorBidi" w:cstheme="majorBidi"/>
          <w:sz w:val="24"/>
          <w:szCs w:val="24"/>
        </w:rPr>
        <w:lastRenderedPageBreak/>
        <w:t>Data was recorded after one month of transfer on germination medium. Mean values sharing the same letter do not differ significantly (α =0.05) according to Duncan’s multiple range test.</w:t>
      </w:r>
    </w:p>
    <w:p w:rsidR="00357E1B" w:rsidRDefault="00357E1B" w:rsidP="00357E1B">
      <w:pPr>
        <w:pStyle w:val="BodyText"/>
        <w:spacing w:after="60" w:line="480" w:lineRule="auto"/>
        <w:ind w:firstLine="0"/>
        <w:rPr>
          <w:rFonts w:asciiTheme="majorBidi" w:hAnsiTheme="majorBidi" w:cstheme="majorBidi"/>
          <w:sz w:val="24"/>
          <w:szCs w:val="24"/>
        </w:rPr>
      </w:pPr>
    </w:p>
    <w:p w:rsidR="00357E1B" w:rsidRPr="00135578" w:rsidRDefault="00357E1B" w:rsidP="00357E1B">
      <w:pPr>
        <w:pStyle w:val="BodyText"/>
        <w:spacing w:after="60" w:line="240" w:lineRule="auto"/>
        <w:ind w:firstLine="0"/>
        <w:rPr>
          <w:rFonts w:asciiTheme="majorBidi" w:hAnsiTheme="majorBidi" w:cstheme="majorBidi"/>
          <w:sz w:val="24"/>
          <w:szCs w:val="24"/>
        </w:rPr>
      </w:pPr>
      <w:bookmarkStart w:id="0" w:name="_GoBack"/>
      <w:bookmarkEnd w:id="0"/>
      <w:r w:rsidRPr="006F2808">
        <w:rPr>
          <w:rFonts w:asciiTheme="majorBidi" w:hAnsiTheme="majorBidi" w:cstheme="majorBidi"/>
          <w:sz w:val="24"/>
          <w:szCs w:val="24"/>
        </w:rPr>
        <w:t>Table 4</w:t>
      </w:r>
      <w:r w:rsidRPr="00135578">
        <w:rPr>
          <w:rFonts w:asciiTheme="majorBidi" w:hAnsiTheme="majorBidi" w:cstheme="majorBidi"/>
          <w:sz w:val="24"/>
          <w:szCs w:val="24"/>
        </w:rPr>
        <w:t xml:space="preserve"> Effects of different rooting medium on root formation</w:t>
      </w:r>
      <w:r>
        <w:rPr>
          <w:rFonts w:asciiTheme="majorBidi" w:hAnsiTheme="majorBidi" w:cstheme="majorBidi"/>
          <w:sz w:val="24"/>
          <w:szCs w:val="24"/>
        </w:rPr>
        <w:t xml:space="preserve"> </w:t>
      </w:r>
      <w:r w:rsidRPr="00135578">
        <w:rPr>
          <w:rFonts w:asciiTheme="majorBidi" w:hAnsiTheme="majorBidi" w:cstheme="majorBidi"/>
          <w:sz w:val="24"/>
          <w:szCs w:val="24"/>
        </w:rPr>
        <w:t xml:space="preserve">after plantlet transfer to several rooting medium (after 2 </w:t>
      </w:r>
      <w:proofErr w:type="spellStart"/>
      <w:r w:rsidRPr="00135578">
        <w:rPr>
          <w:rFonts w:asciiTheme="majorBidi" w:hAnsiTheme="majorBidi" w:cstheme="majorBidi"/>
          <w:sz w:val="24"/>
          <w:szCs w:val="24"/>
        </w:rPr>
        <w:t>wks</w:t>
      </w:r>
      <w:proofErr w:type="spellEnd"/>
      <w:r w:rsidRPr="00135578">
        <w:rPr>
          <w:rFonts w:asciiTheme="majorBidi" w:hAnsiTheme="majorBidi" w:cstheme="majorBidi"/>
          <w:sz w:val="24"/>
          <w:szCs w:val="24"/>
        </w:rPr>
        <w:t>)</w:t>
      </w:r>
    </w:p>
    <w:tbl>
      <w:tblPr>
        <w:tblW w:w="7547" w:type="dxa"/>
        <w:jc w:val="center"/>
        <w:tblLook w:val="00A0" w:firstRow="1" w:lastRow="0" w:firstColumn="1" w:lastColumn="0" w:noHBand="0" w:noVBand="0"/>
      </w:tblPr>
      <w:tblGrid>
        <w:gridCol w:w="1955"/>
        <w:gridCol w:w="283"/>
        <w:gridCol w:w="5309"/>
      </w:tblGrid>
      <w:tr w:rsidR="00357E1B" w:rsidRPr="00135578" w:rsidTr="000956C3">
        <w:trPr>
          <w:trHeight w:val="279"/>
          <w:jc w:val="center"/>
        </w:trPr>
        <w:tc>
          <w:tcPr>
            <w:tcW w:w="2238" w:type="dxa"/>
            <w:gridSpan w:val="2"/>
            <w:tcBorders>
              <w:top w:val="single" w:sz="12" w:space="0" w:color="000000"/>
              <w:bottom w:val="single" w:sz="8" w:space="0" w:color="000000"/>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IAA ( mg l</w:t>
            </w:r>
            <w:r w:rsidRPr="00135578">
              <w:rPr>
                <w:rFonts w:asciiTheme="majorBidi" w:hAnsiTheme="majorBidi" w:cstheme="majorBidi"/>
                <w:sz w:val="24"/>
                <w:szCs w:val="24"/>
                <w:vertAlign w:val="superscript"/>
              </w:rPr>
              <w:t>-1</w:t>
            </w:r>
            <w:r w:rsidRPr="00135578">
              <w:rPr>
                <w:rFonts w:asciiTheme="majorBidi" w:hAnsiTheme="majorBidi" w:cstheme="majorBidi"/>
                <w:sz w:val="24"/>
                <w:szCs w:val="24"/>
              </w:rPr>
              <w:t>)</w:t>
            </w:r>
          </w:p>
        </w:tc>
        <w:tc>
          <w:tcPr>
            <w:tcW w:w="5309" w:type="dxa"/>
            <w:tcBorders>
              <w:top w:val="single" w:sz="12" w:space="0" w:color="000000"/>
              <w:bottom w:val="single" w:sz="8" w:space="0" w:color="000000"/>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tl/>
                <w:lang w:bidi="fa-IR"/>
              </w:rPr>
            </w:pPr>
            <w:r w:rsidRPr="00135578">
              <w:rPr>
                <w:rFonts w:asciiTheme="majorBidi" w:hAnsiTheme="majorBidi" w:cstheme="majorBidi"/>
                <w:sz w:val="24"/>
                <w:szCs w:val="24"/>
              </w:rPr>
              <w:t>Frequency of plantlet rooting (%)</w:t>
            </w:r>
          </w:p>
        </w:tc>
      </w:tr>
      <w:tr w:rsidR="00357E1B" w:rsidRPr="00135578" w:rsidTr="000956C3">
        <w:trPr>
          <w:trHeight w:val="287"/>
          <w:jc w:val="center"/>
        </w:trPr>
        <w:tc>
          <w:tcPr>
            <w:tcW w:w="1955" w:type="dxa"/>
            <w:tcBorders>
              <w:top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tl/>
                <w:lang w:bidi="fa-IR"/>
              </w:rPr>
            </w:pPr>
            <w:r w:rsidRPr="00135578">
              <w:rPr>
                <w:rFonts w:asciiTheme="majorBidi" w:hAnsiTheme="majorBidi" w:cstheme="majorBidi"/>
                <w:sz w:val="24"/>
                <w:szCs w:val="24"/>
              </w:rPr>
              <w:t>1</w:t>
            </w:r>
          </w:p>
        </w:tc>
        <w:tc>
          <w:tcPr>
            <w:tcW w:w="5592" w:type="dxa"/>
            <w:gridSpan w:val="2"/>
            <w:tcBorders>
              <w:top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43.11 b</w:t>
            </w:r>
          </w:p>
        </w:tc>
      </w:tr>
      <w:tr w:rsidR="00357E1B" w:rsidRPr="00135578" w:rsidTr="000956C3">
        <w:trPr>
          <w:trHeight w:val="501"/>
          <w:jc w:val="center"/>
        </w:trPr>
        <w:tc>
          <w:tcPr>
            <w:tcW w:w="1955" w:type="dxa"/>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2</w:t>
            </w:r>
          </w:p>
        </w:tc>
        <w:tc>
          <w:tcPr>
            <w:tcW w:w="5592" w:type="dxa"/>
            <w:gridSpan w:val="2"/>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90 a</w:t>
            </w:r>
          </w:p>
        </w:tc>
      </w:tr>
      <w:tr w:rsidR="00357E1B" w:rsidRPr="00135578" w:rsidTr="000956C3">
        <w:trPr>
          <w:trHeight w:val="248"/>
          <w:jc w:val="center"/>
        </w:trPr>
        <w:tc>
          <w:tcPr>
            <w:tcW w:w="1955" w:type="dxa"/>
            <w:tcBorders>
              <w:bottom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3</w:t>
            </w:r>
          </w:p>
        </w:tc>
        <w:tc>
          <w:tcPr>
            <w:tcW w:w="5592" w:type="dxa"/>
            <w:gridSpan w:val="2"/>
            <w:tcBorders>
              <w:bottom w:val="single" w:sz="12" w:space="0" w:color="auto"/>
            </w:tcBorders>
            <w:shd w:val="clear" w:color="auto" w:fill="auto"/>
            <w:vAlign w:val="center"/>
          </w:tcPr>
          <w:p w:rsidR="00357E1B" w:rsidRPr="00135578" w:rsidRDefault="00357E1B" w:rsidP="000956C3">
            <w:pPr>
              <w:pStyle w:val="BodyText"/>
              <w:spacing w:after="60" w:line="480" w:lineRule="auto"/>
              <w:ind w:firstLine="0"/>
              <w:rPr>
                <w:rFonts w:asciiTheme="majorBidi" w:hAnsiTheme="majorBidi" w:cstheme="majorBidi"/>
                <w:sz w:val="24"/>
                <w:szCs w:val="24"/>
              </w:rPr>
            </w:pPr>
            <w:r w:rsidRPr="00135578">
              <w:rPr>
                <w:rFonts w:asciiTheme="majorBidi" w:hAnsiTheme="majorBidi" w:cstheme="majorBidi"/>
                <w:sz w:val="24"/>
                <w:szCs w:val="24"/>
              </w:rPr>
              <w:t xml:space="preserve">75 </w:t>
            </w:r>
            <w:proofErr w:type="spellStart"/>
            <w:r w:rsidRPr="00135578">
              <w:rPr>
                <w:rFonts w:asciiTheme="majorBidi" w:hAnsiTheme="majorBidi" w:cstheme="majorBidi"/>
                <w:sz w:val="24"/>
                <w:szCs w:val="24"/>
              </w:rPr>
              <w:t>ab</w:t>
            </w:r>
            <w:proofErr w:type="spellEnd"/>
          </w:p>
        </w:tc>
      </w:tr>
    </w:tbl>
    <w:p w:rsidR="00357E1B" w:rsidRPr="00135578" w:rsidRDefault="00357E1B" w:rsidP="00357E1B">
      <w:pPr>
        <w:pStyle w:val="BodyText"/>
        <w:spacing w:after="60" w:line="240" w:lineRule="auto"/>
        <w:ind w:firstLine="0"/>
        <w:rPr>
          <w:rFonts w:asciiTheme="majorBidi" w:hAnsiTheme="majorBidi" w:cstheme="majorBidi"/>
          <w:sz w:val="24"/>
          <w:szCs w:val="24"/>
        </w:rPr>
      </w:pPr>
      <w:r w:rsidRPr="00135578">
        <w:rPr>
          <w:rFonts w:asciiTheme="majorBidi" w:hAnsiTheme="majorBidi" w:cstheme="majorBidi"/>
          <w:sz w:val="24"/>
          <w:szCs w:val="24"/>
        </w:rPr>
        <w:t>Data was recorded after 2wks of transfer plantlet medium. Mean values sharing the same letter do not differ significantly (α =0.05) according to Duncan’s multiple range test.</w:t>
      </w:r>
    </w:p>
    <w:p w:rsidR="00357E1B" w:rsidRPr="00135578" w:rsidRDefault="00357E1B" w:rsidP="00357E1B">
      <w:pPr>
        <w:pStyle w:val="BodyText"/>
        <w:spacing w:after="60" w:line="480" w:lineRule="auto"/>
        <w:rPr>
          <w:rFonts w:asciiTheme="majorBidi" w:hAnsiTheme="majorBidi" w:cstheme="majorBidi"/>
          <w:sz w:val="24"/>
          <w:szCs w:val="24"/>
        </w:rPr>
      </w:pPr>
    </w:p>
    <w:p w:rsidR="00357E1B" w:rsidRPr="005E0A2D" w:rsidRDefault="00357E1B" w:rsidP="00357E1B">
      <w:pPr>
        <w:spacing w:line="240" w:lineRule="auto"/>
        <w:rPr>
          <w:rFonts w:ascii="Times New Roman" w:eastAsia="Times New Roman" w:hAnsi="Times New Roman" w:cs="Times New Roman"/>
          <w:sz w:val="22"/>
          <w:szCs w:val="22"/>
          <w:lang w:bidi="ar-SA"/>
        </w:rPr>
      </w:pPr>
      <w:r w:rsidRPr="006F2808">
        <w:rPr>
          <w:rFonts w:ascii="Times New Roman" w:eastAsia="Times New Roman" w:hAnsi="Times New Roman" w:cs="Times New Roman"/>
          <w:sz w:val="24"/>
          <w:szCs w:val="24"/>
          <w:lang w:bidi="ar-SA"/>
        </w:rPr>
        <w:t>Table 5</w:t>
      </w:r>
      <w:r w:rsidRPr="005E0A2D">
        <w:rPr>
          <w:rFonts w:ascii="Times New Roman" w:eastAsia="Times New Roman" w:hAnsi="Times New Roman" w:cs="Times New Roman"/>
          <w:sz w:val="24"/>
          <w:szCs w:val="24"/>
          <w:lang w:bidi="ar-SA"/>
        </w:rPr>
        <w:t xml:space="preserve"> Plantlet conversion from encapsulated somatic embryos of </w:t>
      </w:r>
      <w:r w:rsidRPr="005E0A2D">
        <w:rPr>
          <w:rFonts w:ascii="Times New Roman" w:eastAsia="Times New Roman" w:hAnsi="Times New Roman" w:cs="Times New Roman"/>
          <w:i/>
          <w:iCs/>
          <w:sz w:val="24"/>
          <w:szCs w:val="24"/>
          <w:lang w:bidi="ar-SA"/>
        </w:rPr>
        <w:t xml:space="preserve">Brassica </w:t>
      </w:r>
      <w:proofErr w:type="spellStart"/>
      <w:r w:rsidRPr="005E0A2D">
        <w:rPr>
          <w:rFonts w:ascii="Times New Roman" w:eastAsia="Times New Roman" w:hAnsi="Times New Roman" w:cs="Times New Roman"/>
          <w:i/>
          <w:iCs/>
          <w:sz w:val="24"/>
          <w:szCs w:val="24"/>
          <w:lang w:bidi="ar-SA"/>
        </w:rPr>
        <w:t>napus</w:t>
      </w:r>
      <w:proofErr w:type="spellEnd"/>
      <w:r w:rsidRPr="005E0A2D">
        <w:rPr>
          <w:rFonts w:ascii="Times New Roman" w:eastAsia="Times New Roman" w:hAnsi="Times New Roman" w:cs="Times New Roman"/>
          <w:sz w:val="24"/>
          <w:szCs w:val="24"/>
          <w:lang w:bidi="ar-SA"/>
        </w:rPr>
        <w:t xml:space="preserve"> cv. </w:t>
      </w:r>
      <w:proofErr w:type="spellStart"/>
      <w:r w:rsidRPr="005E0A2D">
        <w:rPr>
          <w:rFonts w:ascii="Times New Roman" w:eastAsia="Times New Roman" w:hAnsi="Times New Roman" w:cs="Times New Roman"/>
          <w:sz w:val="24"/>
          <w:szCs w:val="24"/>
          <w:lang w:bidi="ar-SA"/>
        </w:rPr>
        <w:t>Tallayeh</w:t>
      </w:r>
      <w:proofErr w:type="spellEnd"/>
      <w:r w:rsidRPr="005E0A2D">
        <w:rPr>
          <w:rFonts w:ascii="Times New Roman" w:eastAsia="Times New Roman" w:hAnsi="Times New Roman" w:cs="Times New Roman"/>
          <w:sz w:val="24"/>
          <w:szCs w:val="24"/>
          <w:lang w:bidi="ar-SA"/>
        </w:rPr>
        <w:t xml:space="preserve"> after storage at low temperature (4 °C) for different duration</w:t>
      </w:r>
    </w:p>
    <w:tbl>
      <w:tblPr>
        <w:bidiVisual/>
        <w:tblW w:w="0" w:type="auto"/>
        <w:jc w:val="center"/>
        <w:tblInd w:w="-365" w:type="dxa"/>
        <w:tblCellMar>
          <w:left w:w="0" w:type="dxa"/>
          <w:right w:w="0" w:type="dxa"/>
        </w:tblCellMar>
        <w:tblLook w:val="04A0" w:firstRow="1" w:lastRow="0" w:firstColumn="1" w:lastColumn="0" w:noHBand="0" w:noVBand="1"/>
      </w:tblPr>
      <w:tblGrid>
        <w:gridCol w:w="4680"/>
        <w:gridCol w:w="2862"/>
        <w:gridCol w:w="195"/>
      </w:tblGrid>
      <w:tr w:rsidR="00357E1B" w:rsidRPr="005E0A2D" w:rsidTr="000956C3">
        <w:trPr>
          <w:trHeight w:val="447"/>
          <w:jc w:val="center"/>
        </w:trPr>
        <w:tc>
          <w:tcPr>
            <w:tcW w:w="4680" w:type="dxa"/>
            <w:tcBorders>
              <w:top w:val="single" w:sz="12" w:space="0" w:color="000000"/>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Frequency of plantlet conversion (%)</w:t>
            </w:r>
          </w:p>
        </w:tc>
        <w:tc>
          <w:tcPr>
            <w:tcW w:w="3057" w:type="dxa"/>
            <w:gridSpan w:val="2"/>
            <w:tcBorders>
              <w:top w:val="single" w:sz="12" w:space="0" w:color="000000"/>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Storage period (days)</w:t>
            </w:r>
          </w:p>
        </w:tc>
      </w:tr>
      <w:tr w:rsidR="00357E1B" w:rsidRPr="005E0A2D" w:rsidTr="000956C3">
        <w:trPr>
          <w:gridAfter w:val="1"/>
          <w:wAfter w:w="195" w:type="dxa"/>
          <w:jc w:val="center"/>
        </w:trPr>
        <w:tc>
          <w:tcPr>
            <w:tcW w:w="4680" w:type="dxa"/>
            <w:tcBorders>
              <w:top w:val="single" w:sz="12" w:space="0" w:color="000000"/>
            </w:tcBorders>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55.5±2 a</w:t>
            </w:r>
          </w:p>
        </w:tc>
        <w:tc>
          <w:tcPr>
            <w:tcW w:w="2862" w:type="dxa"/>
            <w:tcBorders>
              <w:top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10</w:t>
            </w:r>
          </w:p>
        </w:tc>
      </w:tr>
      <w:tr w:rsidR="00357E1B" w:rsidRPr="005E0A2D" w:rsidTr="000956C3">
        <w:trPr>
          <w:gridAfter w:val="1"/>
          <w:wAfter w:w="195" w:type="dxa"/>
          <w:jc w:val="center"/>
        </w:trPr>
        <w:tc>
          <w:tcPr>
            <w:tcW w:w="4680" w:type="dxa"/>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 xml:space="preserve">27.7±2 </w:t>
            </w:r>
            <w:proofErr w:type="spellStart"/>
            <w:r w:rsidRPr="005E0A2D">
              <w:rPr>
                <w:rFonts w:ascii="Times New Roman" w:eastAsia="Times New Roman" w:hAnsi="Times New Roman" w:cs="Times New Roman"/>
                <w:sz w:val="24"/>
                <w:szCs w:val="24"/>
                <w:lang w:bidi="ar-SA"/>
              </w:rPr>
              <w:t>ab</w:t>
            </w:r>
            <w:proofErr w:type="spellEnd"/>
          </w:p>
        </w:tc>
        <w:tc>
          <w:tcPr>
            <w:tcW w:w="2862" w:type="dxa"/>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20</w:t>
            </w:r>
          </w:p>
        </w:tc>
      </w:tr>
      <w:tr w:rsidR="00357E1B" w:rsidRPr="005E0A2D" w:rsidTr="000956C3">
        <w:trPr>
          <w:gridAfter w:val="1"/>
          <w:wAfter w:w="195" w:type="dxa"/>
          <w:jc w:val="center"/>
        </w:trPr>
        <w:tc>
          <w:tcPr>
            <w:tcW w:w="4680" w:type="dxa"/>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16.6 ±2 b</w:t>
            </w:r>
          </w:p>
        </w:tc>
        <w:tc>
          <w:tcPr>
            <w:tcW w:w="2862" w:type="dxa"/>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30</w:t>
            </w:r>
          </w:p>
        </w:tc>
      </w:tr>
      <w:tr w:rsidR="00357E1B" w:rsidRPr="005E0A2D" w:rsidTr="000956C3">
        <w:trPr>
          <w:jc w:val="center"/>
        </w:trPr>
        <w:tc>
          <w:tcPr>
            <w:tcW w:w="4680" w:type="dxa"/>
            <w:tcBorders>
              <w:bottom w:val="single" w:sz="12" w:space="0" w:color="000000"/>
            </w:tcBorders>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11.1±2 b</w:t>
            </w:r>
          </w:p>
        </w:tc>
        <w:tc>
          <w:tcPr>
            <w:tcW w:w="3057" w:type="dxa"/>
            <w:gridSpan w:val="2"/>
            <w:tcBorders>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40</w:t>
            </w:r>
          </w:p>
        </w:tc>
      </w:tr>
    </w:tbl>
    <w:p w:rsidR="00357E1B" w:rsidRDefault="00357E1B" w:rsidP="00357E1B">
      <w:pPr>
        <w:spacing w:afterAutospacing="1" w:line="240" w:lineRule="auto"/>
        <w:rPr>
          <w:rFonts w:ascii="Times New Roman" w:eastAsia="Times New Roman" w:hAnsi="Times New Roman" w:cs="Times New Roman"/>
          <w:sz w:val="24"/>
          <w:szCs w:val="24"/>
          <w:lang w:bidi="ar-SA"/>
        </w:rPr>
      </w:pPr>
      <w:r w:rsidRPr="005E0A2D">
        <w:rPr>
          <w:rFonts w:ascii="Times New Roman" w:eastAsia="Times New Roman" w:hAnsi="Times New Roman" w:cs="Times New Roman"/>
          <w:sz w:val="24"/>
          <w:szCs w:val="24"/>
          <w:lang w:bidi="ar-SA"/>
        </w:rPr>
        <w:t>Values are means ± S.E. of conversion experiment .Data was recorded after three week of transfer on germination medium. Mean values sharing the same letter do not differ significantly (P =0.05) according to Duncan’s multiple range test.</w:t>
      </w:r>
    </w:p>
    <w:p w:rsidR="00357E1B" w:rsidRDefault="00357E1B" w:rsidP="00357E1B">
      <w:pPr>
        <w:spacing w:after="200" w:line="276" w:lineRule="auto"/>
        <w:ind w:left="72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rsidR="00357E1B" w:rsidRDefault="00357E1B" w:rsidP="00357E1B">
      <w:pPr>
        <w:spacing w:afterAutospacing="1" w:line="240" w:lineRule="auto"/>
        <w:rPr>
          <w:rFonts w:ascii="Times New Roman" w:eastAsia="Times New Roman" w:hAnsi="Times New Roman" w:cs="Times New Roman"/>
          <w:sz w:val="24"/>
          <w:szCs w:val="24"/>
          <w:lang w:bidi="ar-SA"/>
        </w:rPr>
      </w:pPr>
    </w:p>
    <w:p w:rsidR="00357E1B" w:rsidRDefault="00357E1B" w:rsidP="00357E1B">
      <w:pPr>
        <w:spacing w:line="240" w:lineRule="auto"/>
        <w:rPr>
          <w:rFonts w:ascii="Times New Roman" w:eastAsia="Times New Roman" w:hAnsi="Times New Roman" w:cs="Times New Roman"/>
          <w:sz w:val="22"/>
          <w:szCs w:val="22"/>
          <w:lang w:bidi="ar-SA"/>
        </w:rPr>
      </w:pPr>
      <w:r w:rsidRPr="006F2808">
        <w:rPr>
          <w:rFonts w:ascii="Times New Roman" w:eastAsia="Times New Roman" w:hAnsi="Times New Roman" w:cs="Times New Roman"/>
          <w:sz w:val="24"/>
          <w:szCs w:val="24"/>
          <w:lang w:bidi="ar-SA"/>
        </w:rPr>
        <w:t xml:space="preserve">Table </w:t>
      </w:r>
      <w:proofErr w:type="gramStart"/>
      <w:r w:rsidRPr="006F2808">
        <w:rPr>
          <w:rFonts w:ascii="Times New Roman" w:eastAsia="Times New Roman" w:hAnsi="Times New Roman" w:cs="Times New Roman"/>
          <w:sz w:val="24"/>
          <w:szCs w:val="24"/>
          <w:lang w:bidi="ar-SA"/>
        </w:rPr>
        <w:t>6</w:t>
      </w:r>
      <w:r w:rsidRPr="005E0A2D">
        <w:rPr>
          <w:rFonts w:ascii="Times New Roman" w:eastAsia="Times New Roman" w:hAnsi="Times New Roman" w:cs="Times New Roman"/>
          <w:sz w:val="24"/>
          <w:szCs w:val="24"/>
          <w:lang w:bidi="ar-SA"/>
        </w:rPr>
        <w:t xml:space="preserve">  Plantlet</w:t>
      </w:r>
      <w:proofErr w:type="gramEnd"/>
      <w:r w:rsidRPr="005E0A2D">
        <w:rPr>
          <w:rFonts w:ascii="Times New Roman" w:eastAsia="Times New Roman" w:hAnsi="Times New Roman" w:cs="Times New Roman"/>
          <w:sz w:val="24"/>
          <w:szCs w:val="24"/>
          <w:lang w:bidi="ar-SA"/>
        </w:rPr>
        <w:t xml:space="preserve"> rooting from encapsulated somatic embryos of </w:t>
      </w:r>
      <w:r w:rsidRPr="005E0A2D">
        <w:rPr>
          <w:rFonts w:ascii="Times New Roman" w:eastAsia="Times New Roman" w:hAnsi="Times New Roman" w:cs="Times New Roman"/>
          <w:i/>
          <w:iCs/>
          <w:sz w:val="24"/>
          <w:szCs w:val="24"/>
          <w:lang w:bidi="ar-SA"/>
        </w:rPr>
        <w:t xml:space="preserve">Brassica </w:t>
      </w:r>
      <w:proofErr w:type="spellStart"/>
      <w:r w:rsidRPr="005E0A2D">
        <w:rPr>
          <w:rFonts w:ascii="Times New Roman" w:eastAsia="Times New Roman" w:hAnsi="Times New Roman" w:cs="Times New Roman"/>
          <w:i/>
          <w:iCs/>
          <w:sz w:val="24"/>
          <w:szCs w:val="24"/>
          <w:lang w:bidi="ar-SA"/>
        </w:rPr>
        <w:t>napus</w:t>
      </w:r>
      <w:proofErr w:type="spellEnd"/>
      <w:r w:rsidRPr="005E0A2D">
        <w:rPr>
          <w:rFonts w:ascii="Times New Roman" w:eastAsia="Times New Roman" w:hAnsi="Times New Roman" w:cs="Times New Roman"/>
          <w:sz w:val="24"/>
          <w:szCs w:val="24"/>
          <w:lang w:bidi="ar-SA"/>
        </w:rPr>
        <w:t xml:space="preserve"> cv. </w:t>
      </w:r>
      <w:proofErr w:type="spellStart"/>
      <w:r w:rsidRPr="005E0A2D">
        <w:rPr>
          <w:rFonts w:ascii="Times New Roman" w:eastAsia="Times New Roman" w:hAnsi="Times New Roman" w:cs="Times New Roman"/>
          <w:sz w:val="24"/>
          <w:szCs w:val="24"/>
          <w:lang w:bidi="ar-SA"/>
        </w:rPr>
        <w:t>Tallayeh</w:t>
      </w:r>
      <w:proofErr w:type="spellEnd"/>
      <w:r w:rsidRPr="005E0A2D">
        <w:rPr>
          <w:rFonts w:ascii="Times New Roman" w:eastAsia="Times New Roman" w:hAnsi="Times New Roman" w:cs="Times New Roman"/>
          <w:sz w:val="24"/>
          <w:szCs w:val="24"/>
          <w:lang w:bidi="ar-SA"/>
        </w:rPr>
        <w:t xml:space="preserve"> after storage at low temperature (4 °C) for different duration</w:t>
      </w:r>
    </w:p>
    <w:p w:rsidR="00357E1B" w:rsidRPr="005E0A2D" w:rsidRDefault="00357E1B" w:rsidP="00357E1B">
      <w:pPr>
        <w:spacing w:line="240" w:lineRule="auto"/>
        <w:rPr>
          <w:rFonts w:ascii="Times New Roman" w:eastAsia="Times New Roman" w:hAnsi="Times New Roman" w:cs="Times New Roman"/>
          <w:sz w:val="22"/>
          <w:szCs w:val="22"/>
          <w:lang w:bidi="ar-SA"/>
        </w:rPr>
      </w:pPr>
    </w:p>
    <w:tbl>
      <w:tblPr>
        <w:bidiVisual/>
        <w:tblW w:w="0" w:type="auto"/>
        <w:jc w:val="center"/>
        <w:tblCellMar>
          <w:left w:w="0" w:type="dxa"/>
          <w:right w:w="0" w:type="dxa"/>
        </w:tblCellMar>
        <w:tblLook w:val="04A0" w:firstRow="1" w:lastRow="0" w:firstColumn="1" w:lastColumn="0" w:noHBand="0" w:noVBand="1"/>
      </w:tblPr>
      <w:tblGrid>
        <w:gridCol w:w="4853"/>
        <w:gridCol w:w="2658"/>
      </w:tblGrid>
      <w:tr w:rsidR="00357E1B" w:rsidRPr="005E0A2D" w:rsidTr="000956C3">
        <w:trPr>
          <w:trHeight w:val="510"/>
          <w:jc w:val="center"/>
        </w:trPr>
        <w:tc>
          <w:tcPr>
            <w:tcW w:w="4853" w:type="dxa"/>
            <w:tcBorders>
              <w:top w:val="single" w:sz="12" w:space="0" w:color="000000"/>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Frequency of plantlet rooting (%)</w:t>
            </w:r>
          </w:p>
        </w:tc>
        <w:tc>
          <w:tcPr>
            <w:tcW w:w="2658" w:type="dxa"/>
            <w:tcBorders>
              <w:top w:val="single" w:sz="12" w:space="0" w:color="000000"/>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Storage period (days)</w:t>
            </w:r>
          </w:p>
        </w:tc>
      </w:tr>
      <w:tr w:rsidR="00357E1B" w:rsidRPr="005E0A2D" w:rsidTr="000956C3">
        <w:trPr>
          <w:jc w:val="center"/>
        </w:trPr>
        <w:tc>
          <w:tcPr>
            <w:tcW w:w="4853" w:type="dxa"/>
            <w:tcBorders>
              <w:top w:val="single" w:sz="12" w:space="0" w:color="000000"/>
            </w:tcBorders>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72.4 a</w:t>
            </w:r>
          </w:p>
        </w:tc>
        <w:tc>
          <w:tcPr>
            <w:tcW w:w="2658" w:type="dxa"/>
            <w:tcBorders>
              <w:top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10</w:t>
            </w:r>
          </w:p>
        </w:tc>
      </w:tr>
      <w:tr w:rsidR="00357E1B" w:rsidRPr="005E0A2D" w:rsidTr="000956C3">
        <w:trPr>
          <w:jc w:val="center"/>
        </w:trPr>
        <w:tc>
          <w:tcPr>
            <w:tcW w:w="4853" w:type="dxa"/>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56.6 a</w:t>
            </w:r>
          </w:p>
        </w:tc>
        <w:tc>
          <w:tcPr>
            <w:tcW w:w="2658" w:type="dxa"/>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20</w:t>
            </w:r>
          </w:p>
        </w:tc>
      </w:tr>
      <w:tr w:rsidR="00357E1B" w:rsidRPr="005E0A2D" w:rsidTr="000956C3">
        <w:trPr>
          <w:jc w:val="center"/>
        </w:trPr>
        <w:tc>
          <w:tcPr>
            <w:tcW w:w="4853" w:type="dxa"/>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52.8 a</w:t>
            </w:r>
          </w:p>
        </w:tc>
        <w:tc>
          <w:tcPr>
            <w:tcW w:w="2658" w:type="dxa"/>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30</w:t>
            </w:r>
          </w:p>
        </w:tc>
      </w:tr>
      <w:tr w:rsidR="00357E1B" w:rsidRPr="005E0A2D" w:rsidTr="000956C3">
        <w:trPr>
          <w:jc w:val="center"/>
        </w:trPr>
        <w:tc>
          <w:tcPr>
            <w:tcW w:w="4853" w:type="dxa"/>
            <w:tcBorders>
              <w:bottom w:val="single" w:sz="12" w:space="0" w:color="000000"/>
            </w:tcBorders>
            <w:tcMar>
              <w:top w:w="0" w:type="dxa"/>
              <w:left w:w="108" w:type="dxa"/>
              <w:bottom w:w="0" w:type="dxa"/>
              <w:right w:w="108" w:type="dxa"/>
            </w:tcMar>
            <w:vAlign w:val="bottom"/>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52.8 a</w:t>
            </w:r>
          </w:p>
        </w:tc>
        <w:tc>
          <w:tcPr>
            <w:tcW w:w="2658" w:type="dxa"/>
            <w:tcBorders>
              <w:bottom w:val="single" w:sz="12" w:space="0" w:color="000000"/>
            </w:tcBorders>
            <w:tcMar>
              <w:top w:w="0" w:type="dxa"/>
              <w:left w:w="108" w:type="dxa"/>
              <w:bottom w:w="0" w:type="dxa"/>
              <w:right w:w="108" w:type="dxa"/>
            </w:tcMar>
            <w:vAlign w:val="center"/>
            <w:hideMark/>
          </w:tcPr>
          <w:p w:rsidR="00357E1B" w:rsidRPr="005E0A2D" w:rsidRDefault="00357E1B" w:rsidP="000956C3">
            <w:pPr>
              <w:spacing w:afterAutospacing="1"/>
              <w:jc w:val="center"/>
              <w:rPr>
                <w:rFonts w:ascii="Times New Roman" w:eastAsia="Times New Roman" w:hAnsi="Times New Roman" w:cs="Times New Roman"/>
                <w:sz w:val="22"/>
                <w:szCs w:val="22"/>
                <w:lang w:bidi="ar-SA"/>
              </w:rPr>
            </w:pPr>
            <w:r w:rsidRPr="005E0A2D">
              <w:rPr>
                <w:rFonts w:ascii="Times New Roman" w:eastAsia="Times New Roman" w:hAnsi="Times New Roman" w:cs="Times New Roman"/>
                <w:sz w:val="24"/>
                <w:szCs w:val="24"/>
                <w:lang w:bidi="ar-SA"/>
              </w:rPr>
              <w:t>40</w:t>
            </w:r>
          </w:p>
        </w:tc>
      </w:tr>
    </w:tbl>
    <w:p w:rsidR="00357E1B" w:rsidRPr="003C24CE" w:rsidRDefault="00357E1B" w:rsidP="003C24CE">
      <w:pPr>
        <w:spacing w:afterAutospacing="1" w:line="240" w:lineRule="auto"/>
        <w:rPr>
          <w:rFonts w:ascii="Times New Roman" w:eastAsia="Times New Roman" w:hAnsi="Times New Roman" w:cs="Times New Roman"/>
          <w:sz w:val="24"/>
          <w:szCs w:val="24"/>
          <w:lang w:bidi="ar-SA"/>
        </w:rPr>
      </w:pPr>
      <w:r w:rsidRPr="005E0A2D">
        <w:rPr>
          <w:rFonts w:ascii="Times New Roman" w:eastAsia="Times New Roman" w:hAnsi="Times New Roman" w:cs="Times New Roman"/>
          <w:sz w:val="24"/>
          <w:szCs w:val="24"/>
          <w:lang w:bidi="ar-SA"/>
        </w:rPr>
        <w:t>Data was recorded after three weeks of transfer on germination medium. Mean values sharing the same letter do not differ significantly (P =0.05) according to Duncan’s multiple range test.</w:t>
      </w:r>
    </w:p>
    <w:sectPr w:rsidR="00357E1B" w:rsidRPr="003C24CE" w:rsidSect="009917C8">
      <w:footerReference w:type="default" r:id="rId10"/>
      <w:footnotePr>
        <w:numFmt w:val="chicago"/>
      </w:footnotePr>
      <w:pgSz w:w="11906" w:h="16838"/>
      <w:pgMar w:top="1440" w:right="1276" w:bottom="1440" w:left="1134" w:header="709" w:footer="709" w:gutter="0"/>
      <w:lnNumType w:countBy="1" w:restart="continuous"/>
      <w:cols w:space="708"/>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FA3" w:rsidRDefault="00282FA3" w:rsidP="00712150">
      <w:pPr>
        <w:spacing w:line="240" w:lineRule="auto"/>
      </w:pPr>
      <w:r>
        <w:separator/>
      </w:r>
    </w:p>
  </w:endnote>
  <w:endnote w:type="continuationSeparator" w:id="0">
    <w:p w:rsidR="00282FA3" w:rsidRDefault="00282FA3" w:rsidP="00712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dvP41153C">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21002A87" w:usb1="80000000" w:usb2="00000008"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Warnock Pro">
    <w:panose1 w:val="00000000000000000000"/>
    <w:charset w:val="00"/>
    <w:family w:val="roman"/>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172"/>
      <w:docPartObj>
        <w:docPartGallery w:val="Page Numbers (Bottom of Page)"/>
        <w:docPartUnique/>
      </w:docPartObj>
    </w:sdtPr>
    <w:sdtEndPr/>
    <w:sdtContent>
      <w:p w:rsidR="00BC2146" w:rsidRDefault="005E6067">
        <w:pPr>
          <w:pStyle w:val="Footer"/>
          <w:jc w:val="center"/>
        </w:pPr>
        <w:r>
          <w:fldChar w:fldCharType="begin"/>
        </w:r>
        <w:r w:rsidR="00BC2146">
          <w:instrText xml:space="preserve"> PAGE   \* MERGEFORMAT </w:instrText>
        </w:r>
        <w:r>
          <w:fldChar w:fldCharType="separate"/>
        </w:r>
        <w:r w:rsidR="004C70D5">
          <w:rPr>
            <w:noProof/>
          </w:rPr>
          <w:t>14</w:t>
        </w:r>
        <w:r>
          <w:rPr>
            <w:noProof/>
          </w:rPr>
          <w:fldChar w:fldCharType="end"/>
        </w:r>
      </w:p>
    </w:sdtContent>
  </w:sdt>
  <w:p w:rsidR="00BC2146" w:rsidRDefault="00BC21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FA3" w:rsidRDefault="00282FA3" w:rsidP="00712150">
      <w:pPr>
        <w:spacing w:line="240" w:lineRule="auto"/>
      </w:pPr>
      <w:r>
        <w:separator/>
      </w:r>
    </w:p>
  </w:footnote>
  <w:footnote w:type="continuationSeparator" w:id="0">
    <w:p w:rsidR="00282FA3" w:rsidRDefault="00282FA3" w:rsidP="007121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C7"/>
    <w:rsid w:val="00005B8D"/>
    <w:rsid w:val="00005CD4"/>
    <w:rsid w:val="000075A1"/>
    <w:rsid w:val="00010418"/>
    <w:rsid w:val="00011829"/>
    <w:rsid w:val="00013B57"/>
    <w:rsid w:val="00013E5A"/>
    <w:rsid w:val="00014309"/>
    <w:rsid w:val="000148EE"/>
    <w:rsid w:val="00016A40"/>
    <w:rsid w:val="00020A3A"/>
    <w:rsid w:val="00021290"/>
    <w:rsid w:val="00023DD6"/>
    <w:rsid w:val="00025005"/>
    <w:rsid w:val="00031432"/>
    <w:rsid w:val="000319E7"/>
    <w:rsid w:val="000360A6"/>
    <w:rsid w:val="00036D93"/>
    <w:rsid w:val="00040739"/>
    <w:rsid w:val="000462F0"/>
    <w:rsid w:val="00047D96"/>
    <w:rsid w:val="0005416E"/>
    <w:rsid w:val="000576DE"/>
    <w:rsid w:val="000634AC"/>
    <w:rsid w:val="0006410F"/>
    <w:rsid w:val="00064657"/>
    <w:rsid w:val="00066BD9"/>
    <w:rsid w:val="00066CC1"/>
    <w:rsid w:val="00073088"/>
    <w:rsid w:val="00073329"/>
    <w:rsid w:val="00082F17"/>
    <w:rsid w:val="00086013"/>
    <w:rsid w:val="00086E0E"/>
    <w:rsid w:val="00091FCB"/>
    <w:rsid w:val="0009359F"/>
    <w:rsid w:val="00095F1E"/>
    <w:rsid w:val="00096E67"/>
    <w:rsid w:val="000973FC"/>
    <w:rsid w:val="0009789F"/>
    <w:rsid w:val="000A04A0"/>
    <w:rsid w:val="000A2639"/>
    <w:rsid w:val="000A2D81"/>
    <w:rsid w:val="000A3D02"/>
    <w:rsid w:val="000B3576"/>
    <w:rsid w:val="000B4ECF"/>
    <w:rsid w:val="000B5497"/>
    <w:rsid w:val="000B56A9"/>
    <w:rsid w:val="000B5803"/>
    <w:rsid w:val="000C0044"/>
    <w:rsid w:val="000C0D8B"/>
    <w:rsid w:val="000C5828"/>
    <w:rsid w:val="000D0643"/>
    <w:rsid w:val="000D204E"/>
    <w:rsid w:val="000D22E5"/>
    <w:rsid w:val="000D2BA9"/>
    <w:rsid w:val="000D3C6F"/>
    <w:rsid w:val="000D67CE"/>
    <w:rsid w:val="000D7550"/>
    <w:rsid w:val="000D79E1"/>
    <w:rsid w:val="000D7E9F"/>
    <w:rsid w:val="000E03C5"/>
    <w:rsid w:val="000E15F0"/>
    <w:rsid w:val="000E1BB3"/>
    <w:rsid w:val="000E4944"/>
    <w:rsid w:val="000E5F36"/>
    <w:rsid w:val="000E6F59"/>
    <w:rsid w:val="000E79F9"/>
    <w:rsid w:val="000F0ADF"/>
    <w:rsid w:val="000F1A3D"/>
    <w:rsid w:val="000F28D4"/>
    <w:rsid w:val="000F440C"/>
    <w:rsid w:val="000F58D7"/>
    <w:rsid w:val="000F7071"/>
    <w:rsid w:val="00103A08"/>
    <w:rsid w:val="00106D8F"/>
    <w:rsid w:val="00111302"/>
    <w:rsid w:val="0011287F"/>
    <w:rsid w:val="0011591F"/>
    <w:rsid w:val="00116E40"/>
    <w:rsid w:val="00122042"/>
    <w:rsid w:val="00135578"/>
    <w:rsid w:val="00135671"/>
    <w:rsid w:val="00135996"/>
    <w:rsid w:val="00137553"/>
    <w:rsid w:val="00143450"/>
    <w:rsid w:val="00145177"/>
    <w:rsid w:val="00146999"/>
    <w:rsid w:val="001527BA"/>
    <w:rsid w:val="0015735D"/>
    <w:rsid w:val="001602E6"/>
    <w:rsid w:val="001644CC"/>
    <w:rsid w:val="0017124C"/>
    <w:rsid w:val="00175A33"/>
    <w:rsid w:val="00176455"/>
    <w:rsid w:val="001811FE"/>
    <w:rsid w:val="0018164F"/>
    <w:rsid w:val="00182708"/>
    <w:rsid w:val="0018369F"/>
    <w:rsid w:val="001873FC"/>
    <w:rsid w:val="001907E6"/>
    <w:rsid w:val="00190B01"/>
    <w:rsid w:val="00191F0B"/>
    <w:rsid w:val="00193FEA"/>
    <w:rsid w:val="00195DDF"/>
    <w:rsid w:val="001965F3"/>
    <w:rsid w:val="001A063E"/>
    <w:rsid w:val="001A2A55"/>
    <w:rsid w:val="001A5E5F"/>
    <w:rsid w:val="001B0168"/>
    <w:rsid w:val="001B071A"/>
    <w:rsid w:val="001B1351"/>
    <w:rsid w:val="001B79D9"/>
    <w:rsid w:val="001C2F54"/>
    <w:rsid w:val="001C2FC8"/>
    <w:rsid w:val="001C32B2"/>
    <w:rsid w:val="001C7157"/>
    <w:rsid w:val="001D1544"/>
    <w:rsid w:val="001D1D6B"/>
    <w:rsid w:val="001D2303"/>
    <w:rsid w:val="001D4CF8"/>
    <w:rsid w:val="001D574C"/>
    <w:rsid w:val="001E0CDC"/>
    <w:rsid w:val="001E25D8"/>
    <w:rsid w:val="001E4995"/>
    <w:rsid w:val="001F3E77"/>
    <w:rsid w:val="001F79EA"/>
    <w:rsid w:val="00200423"/>
    <w:rsid w:val="00201351"/>
    <w:rsid w:val="00206FA4"/>
    <w:rsid w:val="00207E7D"/>
    <w:rsid w:val="00212D92"/>
    <w:rsid w:val="00213021"/>
    <w:rsid w:val="00213383"/>
    <w:rsid w:val="002141B4"/>
    <w:rsid w:val="00215732"/>
    <w:rsid w:val="00216084"/>
    <w:rsid w:val="00216B6E"/>
    <w:rsid w:val="0021736D"/>
    <w:rsid w:val="00221811"/>
    <w:rsid w:val="00221B20"/>
    <w:rsid w:val="002276E1"/>
    <w:rsid w:val="00231D09"/>
    <w:rsid w:val="0023400F"/>
    <w:rsid w:val="00235378"/>
    <w:rsid w:val="00235599"/>
    <w:rsid w:val="00236FE1"/>
    <w:rsid w:val="002373F1"/>
    <w:rsid w:val="0024071D"/>
    <w:rsid w:val="00241D95"/>
    <w:rsid w:val="002426F8"/>
    <w:rsid w:val="0024290D"/>
    <w:rsid w:val="00242CEC"/>
    <w:rsid w:val="00244F07"/>
    <w:rsid w:val="002563D7"/>
    <w:rsid w:val="00256783"/>
    <w:rsid w:val="0026225E"/>
    <w:rsid w:val="00264440"/>
    <w:rsid w:val="0027051B"/>
    <w:rsid w:val="00271AD7"/>
    <w:rsid w:val="00273F3D"/>
    <w:rsid w:val="0027426D"/>
    <w:rsid w:val="0027461A"/>
    <w:rsid w:val="0028113C"/>
    <w:rsid w:val="00282FA3"/>
    <w:rsid w:val="00287E2C"/>
    <w:rsid w:val="00292EA8"/>
    <w:rsid w:val="002949B9"/>
    <w:rsid w:val="00295178"/>
    <w:rsid w:val="002A0323"/>
    <w:rsid w:val="002A0983"/>
    <w:rsid w:val="002A2E67"/>
    <w:rsid w:val="002A417B"/>
    <w:rsid w:val="002B01AA"/>
    <w:rsid w:val="002B53D2"/>
    <w:rsid w:val="002B56BD"/>
    <w:rsid w:val="002C167C"/>
    <w:rsid w:val="002C7078"/>
    <w:rsid w:val="002C7B62"/>
    <w:rsid w:val="002C7D38"/>
    <w:rsid w:val="002D212D"/>
    <w:rsid w:val="002D414C"/>
    <w:rsid w:val="002D7C80"/>
    <w:rsid w:val="002E430B"/>
    <w:rsid w:val="002E5EF2"/>
    <w:rsid w:val="002E60DF"/>
    <w:rsid w:val="002E6390"/>
    <w:rsid w:val="002E6DAD"/>
    <w:rsid w:val="002F13C6"/>
    <w:rsid w:val="002F365D"/>
    <w:rsid w:val="00300299"/>
    <w:rsid w:val="00301223"/>
    <w:rsid w:val="003021F4"/>
    <w:rsid w:val="00303BC4"/>
    <w:rsid w:val="00305BD3"/>
    <w:rsid w:val="00306170"/>
    <w:rsid w:val="003112B5"/>
    <w:rsid w:val="00312397"/>
    <w:rsid w:val="003134EF"/>
    <w:rsid w:val="0031506E"/>
    <w:rsid w:val="00315749"/>
    <w:rsid w:val="003170B3"/>
    <w:rsid w:val="00320EAA"/>
    <w:rsid w:val="003235EE"/>
    <w:rsid w:val="003262C5"/>
    <w:rsid w:val="00326832"/>
    <w:rsid w:val="003310D7"/>
    <w:rsid w:val="0034090C"/>
    <w:rsid w:val="00341DC9"/>
    <w:rsid w:val="00342F09"/>
    <w:rsid w:val="003439A5"/>
    <w:rsid w:val="00347155"/>
    <w:rsid w:val="00351387"/>
    <w:rsid w:val="00352468"/>
    <w:rsid w:val="0035250E"/>
    <w:rsid w:val="00352ACA"/>
    <w:rsid w:val="00353443"/>
    <w:rsid w:val="00353DC6"/>
    <w:rsid w:val="0035400A"/>
    <w:rsid w:val="00355A37"/>
    <w:rsid w:val="0035643F"/>
    <w:rsid w:val="00356C1A"/>
    <w:rsid w:val="003577FB"/>
    <w:rsid w:val="003579FA"/>
    <w:rsid w:val="00357E1B"/>
    <w:rsid w:val="00357F81"/>
    <w:rsid w:val="00362EF2"/>
    <w:rsid w:val="003635E0"/>
    <w:rsid w:val="003649AA"/>
    <w:rsid w:val="0037002F"/>
    <w:rsid w:val="00370901"/>
    <w:rsid w:val="003745B5"/>
    <w:rsid w:val="003751BE"/>
    <w:rsid w:val="00376083"/>
    <w:rsid w:val="00380AEE"/>
    <w:rsid w:val="00380DC0"/>
    <w:rsid w:val="00383A6F"/>
    <w:rsid w:val="0038416F"/>
    <w:rsid w:val="003854BB"/>
    <w:rsid w:val="00385ED8"/>
    <w:rsid w:val="00396195"/>
    <w:rsid w:val="003961FC"/>
    <w:rsid w:val="00396722"/>
    <w:rsid w:val="003A02E7"/>
    <w:rsid w:val="003A0343"/>
    <w:rsid w:val="003A06B8"/>
    <w:rsid w:val="003A20A2"/>
    <w:rsid w:val="003A5806"/>
    <w:rsid w:val="003B0056"/>
    <w:rsid w:val="003B0F62"/>
    <w:rsid w:val="003B12A9"/>
    <w:rsid w:val="003B43A8"/>
    <w:rsid w:val="003B45B6"/>
    <w:rsid w:val="003B5CB7"/>
    <w:rsid w:val="003C0CC8"/>
    <w:rsid w:val="003C1A02"/>
    <w:rsid w:val="003C24CE"/>
    <w:rsid w:val="003C37AA"/>
    <w:rsid w:val="003C3CEE"/>
    <w:rsid w:val="003C46E6"/>
    <w:rsid w:val="003C519F"/>
    <w:rsid w:val="003C5B68"/>
    <w:rsid w:val="003C66C2"/>
    <w:rsid w:val="003C71ED"/>
    <w:rsid w:val="003D2C34"/>
    <w:rsid w:val="003D635B"/>
    <w:rsid w:val="003D6B6E"/>
    <w:rsid w:val="003D6EC4"/>
    <w:rsid w:val="003D727D"/>
    <w:rsid w:val="003D75F0"/>
    <w:rsid w:val="003E0813"/>
    <w:rsid w:val="003E19E3"/>
    <w:rsid w:val="003E3C03"/>
    <w:rsid w:val="003F3D41"/>
    <w:rsid w:val="003F50A8"/>
    <w:rsid w:val="00406032"/>
    <w:rsid w:val="00410DCB"/>
    <w:rsid w:val="00412D32"/>
    <w:rsid w:val="0041338B"/>
    <w:rsid w:val="00413FB4"/>
    <w:rsid w:val="00414E2D"/>
    <w:rsid w:val="00420D09"/>
    <w:rsid w:val="004216D3"/>
    <w:rsid w:val="00424AE7"/>
    <w:rsid w:val="00424BC7"/>
    <w:rsid w:val="004250D7"/>
    <w:rsid w:val="00430911"/>
    <w:rsid w:val="0043152B"/>
    <w:rsid w:val="004316F0"/>
    <w:rsid w:val="0043407A"/>
    <w:rsid w:val="00444F2D"/>
    <w:rsid w:val="004469A2"/>
    <w:rsid w:val="004507F2"/>
    <w:rsid w:val="0045536B"/>
    <w:rsid w:val="004554E0"/>
    <w:rsid w:val="00456194"/>
    <w:rsid w:val="00457447"/>
    <w:rsid w:val="004577D5"/>
    <w:rsid w:val="00460539"/>
    <w:rsid w:val="0046090A"/>
    <w:rsid w:val="00460928"/>
    <w:rsid w:val="0046183D"/>
    <w:rsid w:val="0046225A"/>
    <w:rsid w:val="004637DE"/>
    <w:rsid w:val="004770EB"/>
    <w:rsid w:val="004777F2"/>
    <w:rsid w:val="00481EC3"/>
    <w:rsid w:val="0048474C"/>
    <w:rsid w:val="00484D0C"/>
    <w:rsid w:val="00485036"/>
    <w:rsid w:val="0049060A"/>
    <w:rsid w:val="004953B8"/>
    <w:rsid w:val="004953EA"/>
    <w:rsid w:val="004979DF"/>
    <w:rsid w:val="004A3A5A"/>
    <w:rsid w:val="004A3C8C"/>
    <w:rsid w:val="004A464F"/>
    <w:rsid w:val="004A55F6"/>
    <w:rsid w:val="004A6E25"/>
    <w:rsid w:val="004B258B"/>
    <w:rsid w:val="004B5315"/>
    <w:rsid w:val="004B6313"/>
    <w:rsid w:val="004C07E0"/>
    <w:rsid w:val="004C2C42"/>
    <w:rsid w:val="004C3EF1"/>
    <w:rsid w:val="004C70D5"/>
    <w:rsid w:val="004D06E7"/>
    <w:rsid w:val="004D334D"/>
    <w:rsid w:val="004D3725"/>
    <w:rsid w:val="004D424D"/>
    <w:rsid w:val="004D5F31"/>
    <w:rsid w:val="004E0222"/>
    <w:rsid w:val="004E1C53"/>
    <w:rsid w:val="004E1D78"/>
    <w:rsid w:val="004E3DD0"/>
    <w:rsid w:val="004E40EB"/>
    <w:rsid w:val="004E57FE"/>
    <w:rsid w:val="004E5B75"/>
    <w:rsid w:val="004F0A48"/>
    <w:rsid w:val="004F473F"/>
    <w:rsid w:val="004F5C35"/>
    <w:rsid w:val="004F5C8D"/>
    <w:rsid w:val="004F6C08"/>
    <w:rsid w:val="00500188"/>
    <w:rsid w:val="00500596"/>
    <w:rsid w:val="005006EC"/>
    <w:rsid w:val="00502FAC"/>
    <w:rsid w:val="005052BE"/>
    <w:rsid w:val="005052E8"/>
    <w:rsid w:val="005066D7"/>
    <w:rsid w:val="0051327E"/>
    <w:rsid w:val="00513CD5"/>
    <w:rsid w:val="005156BC"/>
    <w:rsid w:val="005172CE"/>
    <w:rsid w:val="005201A9"/>
    <w:rsid w:val="005223E5"/>
    <w:rsid w:val="00525D5D"/>
    <w:rsid w:val="00525DDE"/>
    <w:rsid w:val="00527552"/>
    <w:rsid w:val="0052762A"/>
    <w:rsid w:val="005352C8"/>
    <w:rsid w:val="00537029"/>
    <w:rsid w:val="00541D85"/>
    <w:rsid w:val="005456F7"/>
    <w:rsid w:val="0054607C"/>
    <w:rsid w:val="00550FB0"/>
    <w:rsid w:val="00552B00"/>
    <w:rsid w:val="00552F3B"/>
    <w:rsid w:val="00555F89"/>
    <w:rsid w:val="005563AE"/>
    <w:rsid w:val="00557B6B"/>
    <w:rsid w:val="00560999"/>
    <w:rsid w:val="00563A98"/>
    <w:rsid w:val="0056609C"/>
    <w:rsid w:val="00567515"/>
    <w:rsid w:val="00570D1D"/>
    <w:rsid w:val="00571E90"/>
    <w:rsid w:val="005760C2"/>
    <w:rsid w:val="00576BF6"/>
    <w:rsid w:val="0058033C"/>
    <w:rsid w:val="00580363"/>
    <w:rsid w:val="0058075C"/>
    <w:rsid w:val="00581101"/>
    <w:rsid w:val="0058183B"/>
    <w:rsid w:val="005841FC"/>
    <w:rsid w:val="005846C9"/>
    <w:rsid w:val="0058695E"/>
    <w:rsid w:val="00587B4A"/>
    <w:rsid w:val="00591A67"/>
    <w:rsid w:val="005929AF"/>
    <w:rsid w:val="00592D13"/>
    <w:rsid w:val="005930A7"/>
    <w:rsid w:val="0059468F"/>
    <w:rsid w:val="00594841"/>
    <w:rsid w:val="005955B7"/>
    <w:rsid w:val="00595CD3"/>
    <w:rsid w:val="005968FC"/>
    <w:rsid w:val="005A5A36"/>
    <w:rsid w:val="005B00E3"/>
    <w:rsid w:val="005B38B5"/>
    <w:rsid w:val="005B3E93"/>
    <w:rsid w:val="005B3F9E"/>
    <w:rsid w:val="005B50E8"/>
    <w:rsid w:val="005C1899"/>
    <w:rsid w:val="005C33F9"/>
    <w:rsid w:val="005C37A6"/>
    <w:rsid w:val="005C3D4D"/>
    <w:rsid w:val="005C43C6"/>
    <w:rsid w:val="005C5C6C"/>
    <w:rsid w:val="005C5D7D"/>
    <w:rsid w:val="005C7972"/>
    <w:rsid w:val="005D548A"/>
    <w:rsid w:val="005D76D8"/>
    <w:rsid w:val="005E0853"/>
    <w:rsid w:val="005E0A2D"/>
    <w:rsid w:val="005E13C2"/>
    <w:rsid w:val="005E1461"/>
    <w:rsid w:val="005E280E"/>
    <w:rsid w:val="005E474D"/>
    <w:rsid w:val="005E4927"/>
    <w:rsid w:val="005E6067"/>
    <w:rsid w:val="005E60BF"/>
    <w:rsid w:val="005F31B1"/>
    <w:rsid w:val="005F592D"/>
    <w:rsid w:val="005F6B1E"/>
    <w:rsid w:val="005F72C8"/>
    <w:rsid w:val="005F7B61"/>
    <w:rsid w:val="00600293"/>
    <w:rsid w:val="006026EB"/>
    <w:rsid w:val="006059E7"/>
    <w:rsid w:val="006069EF"/>
    <w:rsid w:val="0061076D"/>
    <w:rsid w:val="006170DB"/>
    <w:rsid w:val="00617B59"/>
    <w:rsid w:val="006209D6"/>
    <w:rsid w:val="00622967"/>
    <w:rsid w:val="00623190"/>
    <w:rsid w:val="0062550F"/>
    <w:rsid w:val="00625F9A"/>
    <w:rsid w:val="00627561"/>
    <w:rsid w:val="00635AA6"/>
    <w:rsid w:val="00635F97"/>
    <w:rsid w:val="00637848"/>
    <w:rsid w:val="00642AE5"/>
    <w:rsid w:val="00645C46"/>
    <w:rsid w:val="0064673D"/>
    <w:rsid w:val="006515D5"/>
    <w:rsid w:val="00651FE5"/>
    <w:rsid w:val="00655237"/>
    <w:rsid w:val="0065718C"/>
    <w:rsid w:val="00660197"/>
    <w:rsid w:val="006603A7"/>
    <w:rsid w:val="00662097"/>
    <w:rsid w:val="006625FB"/>
    <w:rsid w:val="00663BDB"/>
    <w:rsid w:val="006642E3"/>
    <w:rsid w:val="00664AAE"/>
    <w:rsid w:val="0066713A"/>
    <w:rsid w:val="00670AD1"/>
    <w:rsid w:val="00670EEE"/>
    <w:rsid w:val="00672014"/>
    <w:rsid w:val="00681503"/>
    <w:rsid w:val="006820A2"/>
    <w:rsid w:val="00682428"/>
    <w:rsid w:val="00682A8B"/>
    <w:rsid w:val="0068311C"/>
    <w:rsid w:val="00684261"/>
    <w:rsid w:val="00687BEA"/>
    <w:rsid w:val="00687DD1"/>
    <w:rsid w:val="00690876"/>
    <w:rsid w:val="00691733"/>
    <w:rsid w:val="00691BD8"/>
    <w:rsid w:val="00691DE5"/>
    <w:rsid w:val="006923B4"/>
    <w:rsid w:val="006927DC"/>
    <w:rsid w:val="00692F0C"/>
    <w:rsid w:val="00693E42"/>
    <w:rsid w:val="0069435C"/>
    <w:rsid w:val="00696481"/>
    <w:rsid w:val="00696B83"/>
    <w:rsid w:val="006A0544"/>
    <w:rsid w:val="006A3D95"/>
    <w:rsid w:val="006A4CA9"/>
    <w:rsid w:val="006B1EA8"/>
    <w:rsid w:val="006B2C8E"/>
    <w:rsid w:val="006B45B0"/>
    <w:rsid w:val="006C0FDD"/>
    <w:rsid w:val="006C1C23"/>
    <w:rsid w:val="006C2599"/>
    <w:rsid w:val="006C3025"/>
    <w:rsid w:val="006C374D"/>
    <w:rsid w:val="006C513D"/>
    <w:rsid w:val="006C7A26"/>
    <w:rsid w:val="006C7AE7"/>
    <w:rsid w:val="006D3DCF"/>
    <w:rsid w:val="006D64B6"/>
    <w:rsid w:val="006E0705"/>
    <w:rsid w:val="006E1388"/>
    <w:rsid w:val="006E2459"/>
    <w:rsid w:val="006E2698"/>
    <w:rsid w:val="006E3EF9"/>
    <w:rsid w:val="006E7351"/>
    <w:rsid w:val="006E7DCE"/>
    <w:rsid w:val="006F0AE8"/>
    <w:rsid w:val="006F1089"/>
    <w:rsid w:val="006F1DA3"/>
    <w:rsid w:val="006F2808"/>
    <w:rsid w:val="006F327E"/>
    <w:rsid w:val="006F3314"/>
    <w:rsid w:val="006F3AC3"/>
    <w:rsid w:val="006F6E95"/>
    <w:rsid w:val="006F6F68"/>
    <w:rsid w:val="006F7518"/>
    <w:rsid w:val="00700023"/>
    <w:rsid w:val="00703318"/>
    <w:rsid w:val="0070422E"/>
    <w:rsid w:val="00704603"/>
    <w:rsid w:val="00706142"/>
    <w:rsid w:val="00706B69"/>
    <w:rsid w:val="0071014F"/>
    <w:rsid w:val="00712150"/>
    <w:rsid w:val="0071268C"/>
    <w:rsid w:val="007149A2"/>
    <w:rsid w:val="0071644B"/>
    <w:rsid w:val="0072230E"/>
    <w:rsid w:val="007233C2"/>
    <w:rsid w:val="00724770"/>
    <w:rsid w:val="00724788"/>
    <w:rsid w:val="007276FB"/>
    <w:rsid w:val="00730880"/>
    <w:rsid w:val="00731A27"/>
    <w:rsid w:val="00732A11"/>
    <w:rsid w:val="00733863"/>
    <w:rsid w:val="00734F22"/>
    <w:rsid w:val="0073786C"/>
    <w:rsid w:val="00750592"/>
    <w:rsid w:val="00750E58"/>
    <w:rsid w:val="00751FBC"/>
    <w:rsid w:val="007522AF"/>
    <w:rsid w:val="00755882"/>
    <w:rsid w:val="00755C6E"/>
    <w:rsid w:val="007641CD"/>
    <w:rsid w:val="00765499"/>
    <w:rsid w:val="007702B5"/>
    <w:rsid w:val="00770446"/>
    <w:rsid w:val="0077248B"/>
    <w:rsid w:val="007724EE"/>
    <w:rsid w:val="00776BC2"/>
    <w:rsid w:val="0078174D"/>
    <w:rsid w:val="0078494E"/>
    <w:rsid w:val="00785E59"/>
    <w:rsid w:val="00787F8E"/>
    <w:rsid w:val="007910F2"/>
    <w:rsid w:val="0079244A"/>
    <w:rsid w:val="00792731"/>
    <w:rsid w:val="00792F35"/>
    <w:rsid w:val="00794679"/>
    <w:rsid w:val="00794838"/>
    <w:rsid w:val="007A316F"/>
    <w:rsid w:val="007A716A"/>
    <w:rsid w:val="007B1E40"/>
    <w:rsid w:val="007B77CD"/>
    <w:rsid w:val="007C0211"/>
    <w:rsid w:val="007C57B8"/>
    <w:rsid w:val="007C6BD9"/>
    <w:rsid w:val="007D1990"/>
    <w:rsid w:val="007D28DD"/>
    <w:rsid w:val="007D2D74"/>
    <w:rsid w:val="007D54F7"/>
    <w:rsid w:val="007E0532"/>
    <w:rsid w:val="007E0832"/>
    <w:rsid w:val="007E1126"/>
    <w:rsid w:val="007E12C0"/>
    <w:rsid w:val="007E2CE9"/>
    <w:rsid w:val="007E6AA5"/>
    <w:rsid w:val="007E71D9"/>
    <w:rsid w:val="007E7E9F"/>
    <w:rsid w:val="007F0B1C"/>
    <w:rsid w:val="007F169D"/>
    <w:rsid w:val="007F2705"/>
    <w:rsid w:val="007F74BB"/>
    <w:rsid w:val="007F7630"/>
    <w:rsid w:val="008009D9"/>
    <w:rsid w:val="00805124"/>
    <w:rsid w:val="00810B33"/>
    <w:rsid w:val="00810E7B"/>
    <w:rsid w:val="00815413"/>
    <w:rsid w:val="00816E87"/>
    <w:rsid w:val="00817BEA"/>
    <w:rsid w:val="00823D5F"/>
    <w:rsid w:val="00825105"/>
    <w:rsid w:val="0082555A"/>
    <w:rsid w:val="00830441"/>
    <w:rsid w:val="008304FE"/>
    <w:rsid w:val="00831D71"/>
    <w:rsid w:val="00833C4B"/>
    <w:rsid w:val="00834E2E"/>
    <w:rsid w:val="00841579"/>
    <w:rsid w:val="008459AE"/>
    <w:rsid w:val="00852B77"/>
    <w:rsid w:val="00854CDA"/>
    <w:rsid w:val="00860801"/>
    <w:rsid w:val="00860D7D"/>
    <w:rsid w:val="008622D3"/>
    <w:rsid w:val="008624E0"/>
    <w:rsid w:val="008679DF"/>
    <w:rsid w:val="00867FD0"/>
    <w:rsid w:val="00871029"/>
    <w:rsid w:val="00873B01"/>
    <w:rsid w:val="0087447A"/>
    <w:rsid w:val="00876B0A"/>
    <w:rsid w:val="00880175"/>
    <w:rsid w:val="00880BD2"/>
    <w:rsid w:val="008827FC"/>
    <w:rsid w:val="008828C0"/>
    <w:rsid w:val="00882B17"/>
    <w:rsid w:val="00883374"/>
    <w:rsid w:val="00885F37"/>
    <w:rsid w:val="008876F7"/>
    <w:rsid w:val="00891572"/>
    <w:rsid w:val="008937A0"/>
    <w:rsid w:val="00894A23"/>
    <w:rsid w:val="008A2476"/>
    <w:rsid w:val="008A29A5"/>
    <w:rsid w:val="008B031F"/>
    <w:rsid w:val="008B1012"/>
    <w:rsid w:val="008B17C4"/>
    <w:rsid w:val="008B3C2D"/>
    <w:rsid w:val="008B4747"/>
    <w:rsid w:val="008C49B0"/>
    <w:rsid w:val="008C5735"/>
    <w:rsid w:val="008C7496"/>
    <w:rsid w:val="008C7674"/>
    <w:rsid w:val="008D0DEA"/>
    <w:rsid w:val="008D40E6"/>
    <w:rsid w:val="008D596F"/>
    <w:rsid w:val="008D6015"/>
    <w:rsid w:val="008D622D"/>
    <w:rsid w:val="008D7AEE"/>
    <w:rsid w:val="008E2645"/>
    <w:rsid w:val="008E3064"/>
    <w:rsid w:val="008E308A"/>
    <w:rsid w:val="008E6F34"/>
    <w:rsid w:val="008F0630"/>
    <w:rsid w:val="008F31DC"/>
    <w:rsid w:val="008F36C5"/>
    <w:rsid w:val="008F4959"/>
    <w:rsid w:val="008F5062"/>
    <w:rsid w:val="008F68F6"/>
    <w:rsid w:val="00900AF7"/>
    <w:rsid w:val="00901D17"/>
    <w:rsid w:val="009038EB"/>
    <w:rsid w:val="00903F61"/>
    <w:rsid w:val="00904DAB"/>
    <w:rsid w:val="00905A8C"/>
    <w:rsid w:val="009064B9"/>
    <w:rsid w:val="00910B7C"/>
    <w:rsid w:val="009113F0"/>
    <w:rsid w:val="009123C3"/>
    <w:rsid w:val="00915B64"/>
    <w:rsid w:val="00921397"/>
    <w:rsid w:val="0092215D"/>
    <w:rsid w:val="00923938"/>
    <w:rsid w:val="0092556E"/>
    <w:rsid w:val="009303C6"/>
    <w:rsid w:val="009309AE"/>
    <w:rsid w:val="00936541"/>
    <w:rsid w:val="00943BB3"/>
    <w:rsid w:val="00944969"/>
    <w:rsid w:val="0094588E"/>
    <w:rsid w:val="00953611"/>
    <w:rsid w:val="0095580C"/>
    <w:rsid w:val="0095705A"/>
    <w:rsid w:val="00962A69"/>
    <w:rsid w:val="00964323"/>
    <w:rsid w:val="00966956"/>
    <w:rsid w:val="00972BEA"/>
    <w:rsid w:val="009739B2"/>
    <w:rsid w:val="00975C17"/>
    <w:rsid w:val="00977AFB"/>
    <w:rsid w:val="00980C06"/>
    <w:rsid w:val="0098156B"/>
    <w:rsid w:val="00983F69"/>
    <w:rsid w:val="00991159"/>
    <w:rsid w:val="009917C8"/>
    <w:rsid w:val="00995AE5"/>
    <w:rsid w:val="00995D98"/>
    <w:rsid w:val="00996171"/>
    <w:rsid w:val="009A2DEA"/>
    <w:rsid w:val="009A32EC"/>
    <w:rsid w:val="009A499C"/>
    <w:rsid w:val="009A5202"/>
    <w:rsid w:val="009B0CE8"/>
    <w:rsid w:val="009B3FCF"/>
    <w:rsid w:val="009B5540"/>
    <w:rsid w:val="009B7A5F"/>
    <w:rsid w:val="009C4AE1"/>
    <w:rsid w:val="009C4C04"/>
    <w:rsid w:val="009C7BE1"/>
    <w:rsid w:val="009C7CB6"/>
    <w:rsid w:val="009D3418"/>
    <w:rsid w:val="009D3E13"/>
    <w:rsid w:val="009D4257"/>
    <w:rsid w:val="009D45F6"/>
    <w:rsid w:val="009E1320"/>
    <w:rsid w:val="009E27A2"/>
    <w:rsid w:val="009E390D"/>
    <w:rsid w:val="009F105B"/>
    <w:rsid w:val="009F4E46"/>
    <w:rsid w:val="00A01555"/>
    <w:rsid w:val="00A05131"/>
    <w:rsid w:val="00A0635E"/>
    <w:rsid w:val="00A079A3"/>
    <w:rsid w:val="00A11A00"/>
    <w:rsid w:val="00A151A6"/>
    <w:rsid w:val="00A1788D"/>
    <w:rsid w:val="00A178C8"/>
    <w:rsid w:val="00A3151C"/>
    <w:rsid w:val="00A33059"/>
    <w:rsid w:val="00A36476"/>
    <w:rsid w:val="00A40B7D"/>
    <w:rsid w:val="00A41A8F"/>
    <w:rsid w:val="00A45214"/>
    <w:rsid w:val="00A46B27"/>
    <w:rsid w:val="00A5036B"/>
    <w:rsid w:val="00A50E93"/>
    <w:rsid w:val="00A521B4"/>
    <w:rsid w:val="00A525F4"/>
    <w:rsid w:val="00A53887"/>
    <w:rsid w:val="00A62B76"/>
    <w:rsid w:val="00A637E1"/>
    <w:rsid w:val="00A63DEB"/>
    <w:rsid w:val="00A67060"/>
    <w:rsid w:val="00A70C99"/>
    <w:rsid w:val="00A72DDD"/>
    <w:rsid w:val="00A73488"/>
    <w:rsid w:val="00A74106"/>
    <w:rsid w:val="00A77282"/>
    <w:rsid w:val="00A847EF"/>
    <w:rsid w:val="00A8523A"/>
    <w:rsid w:val="00A941D1"/>
    <w:rsid w:val="00A96AAA"/>
    <w:rsid w:val="00A96E1F"/>
    <w:rsid w:val="00AA58C1"/>
    <w:rsid w:val="00AA5FB3"/>
    <w:rsid w:val="00AA61B9"/>
    <w:rsid w:val="00AA713B"/>
    <w:rsid w:val="00AB1071"/>
    <w:rsid w:val="00AB17D5"/>
    <w:rsid w:val="00AB6355"/>
    <w:rsid w:val="00AB6A9E"/>
    <w:rsid w:val="00AB6DFE"/>
    <w:rsid w:val="00AC074E"/>
    <w:rsid w:val="00AC09CB"/>
    <w:rsid w:val="00AC2330"/>
    <w:rsid w:val="00AC4C8B"/>
    <w:rsid w:val="00AC4F5E"/>
    <w:rsid w:val="00AC6EFE"/>
    <w:rsid w:val="00AD4F30"/>
    <w:rsid w:val="00AD63A1"/>
    <w:rsid w:val="00AE0829"/>
    <w:rsid w:val="00AE2935"/>
    <w:rsid w:val="00AE3C22"/>
    <w:rsid w:val="00AE5B23"/>
    <w:rsid w:val="00AF31F2"/>
    <w:rsid w:val="00AF7966"/>
    <w:rsid w:val="00B025B7"/>
    <w:rsid w:val="00B02859"/>
    <w:rsid w:val="00B04159"/>
    <w:rsid w:val="00B0504B"/>
    <w:rsid w:val="00B07386"/>
    <w:rsid w:val="00B2003A"/>
    <w:rsid w:val="00B23997"/>
    <w:rsid w:val="00B2418F"/>
    <w:rsid w:val="00B24A13"/>
    <w:rsid w:val="00B2651D"/>
    <w:rsid w:val="00B27CE6"/>
    <w:rsid w:val="00B31B57"/>
    <w:rsid w:val="00B36348"/>
    <w:rsid w:val="00B40487"/>
    <w:rsid w:val="00B405D6"/>
    <w:rsid w:val="00B41757"/>
    <w:rsid w:val="00B51CCD"/>
    <w:rsid w:val="00B53A9B"/>
    <w:rsid w:val="00B5404C"/>
    <w:rsid w:val="00B55466"/>
    <w:rsid w:val="00B55776"/>
    <w:rsid w:val="00B55CB6"/>
    <w:rsid w:val="00B5762A"/>
    <w:rsid w:val="00B605E4"/>
    <w:rsid w:val="00B61033"/>
    <w:rsid w:val="00B65E31"/>
    <w:rsid w:val="00B664CB"/>
    <w:rsid w:val="00B670DA"/>
    <w:rsid w:val="00B723FB"/>
    <w:rsid w:val="00B725DA"/>
    <w:rsid w:val="00B745F7"/>
    <w:rsid w:val="00B76191"/>
    <w:rsid w:val="00B81E04"/>
    <w:rsid w:val="00B840FE"/>
    <w:rsid w:val="00B91764"/>
    <w:rsid w:val="00BA0CCC"/>
    <w:rsid w:val="00BA2F7A"/>
    <w:rsid w:val="00BA46DB"/>
    <w:rsid w:val="00BB1216"/>
    <w:rsid w:val="00BC2146"/>
    <w:rsid w:val="00BC2A3F"/>
    <w:rsid w:val="00BC3E19"/>
    <w:rsid w:val="00BC5606"/>
    <w:rsid w:val="00BC56E1"/>
    <w:rsid w:val="00BC6190"/>
    <w:rsid w:val="00BD0B33"/>
    <w:rsid w:val="00BD5FC8"/>
    <w:rsid w:val="00BD7B58"/>
    <w:rsid w:val="00BD7FE9"/>
    <w:rsid w:val="00BE253F"/>
    <w:rsid w:val="00BE6A66"/>
    <w:rsid w:val="00BF2DB8"/>
    <w:rsid w:val="00BF6583"/>
    <w:rsid w:val="00C137D4"/>
    <w:rsid w:val="00C1492A"/>
    <w:rsid w:val="00C1667E"/>
    <w:rsid w:val="00C16F13"/>
    <w:rsid w:val="00C20877"/>
    <w:rsid w:val="00C220F3"/>
    <w:rsid w:val="00C250A7"/>
    <w:rsid w:val="00C27C38"/>
    <w:rsid w:val="00C303DE"/>
    <w:rsid w:val="00C31CF0"/>
    <w:rsid w:val="00C36EC4"/>
    <w:rsid w:val="00C40FF1"/>
    <w:rsid w:val="00C429CB"/>
    <w:rsid w:val="00C4576A"/>
    <w:rsid w:val="00C50DB0"/>
    <w:rsid w:val="00C53743"/>
    <w:rsid w:val="00C5680C"/>
    <w:rsid w:val="00C56F40"/>
    <w:rsid w:val="00C64017"/>
    <w:rsid w:val="00C657D5"/>
    <w:rsid w:val="00C71CA8"/>
    <w:rsid w:val="00C7256B"/>
    <w:rsid w:val="00C74630"/>
    <w:rsid w:val="00C802FA"/>
    <w:rsid w:val="00C826F7"/>
    <w:rsid w:val="00C87444"/>
    <w:rsid w:val="00C92067"/>
    <w:rsid w:val="00C9514E"/>
    <w:rsid w:val="00C95155"/>
    <w:rsid w:val="00C97F26"/>
    <w:rsid w:val="00CA3BE1"/>
    <w:rsid w:val="00CA44C6"/>
    <w:rsid w:val="00CA4619"/>
    <w:rsid w:val="00CA5B08"/>
    <w:rsid w:val="00CA6AC8"/>
    <w:rsid w:val="00CB0118"/>
    <w:rsid w:val="00CB1379"/>
    <w:rsid w:val="00CB1A96"/>
    <w:rsid w:val="00CB247B"/>
    <w:rsid w:val="00CB721A"/>
    <w:rsid w:val="00CB7DB3"/>
    <w:rsid w:val="00CC0DE3"/>
    <w:rsid w:val="00CC11BD"/>
    <w:rsid w:val="00CC4473"/>
    <w:rsid w:val="00CC50BE"/>
    <w:rsid w:val="00CC54EF"/>
    <w:rsid w:val="00CC5D34"/>
    <w:rsid w:val="00CE20C0"/>
    <w:rsid w:val="00CE33FC"/>
    <w:rsid w:val="00CE5150"/>
    <w:rsid w:val="00CE7163"/>
    <w:rsid w:val="00CF0CB0"/>
    <w:rsid w:val="00CF26B3"/>
    <w:rsid w:val="00CF73E8"/>
    <w:rsid w:val="00CF7B12"/>
    <w:rsid w:val="00CF7FC7"/>
    <w:rsid w:val="00D01974"/>
    <w:rsid w:val="00D03CA2"/>
    <w:rsid w:val="00D062CE"/>
    <w:rsid w:val="00D06B8A"/>
    <w:rsid w:val="00D10767"/>
    <w:rsid w:val="00D10B61"/>
    <w:rsid w:val="00D11BB9"/>
    <w:rsid w:val="00D12790"/>
    <w:rsid w:val="00D208DF"/>
    <w:rsid w:val="00D20DD1"/>
    <w:rsid w:val="00D21703"/>
    <w:rsid w:val="00D21BFA"/>
    <w:rsid w:val="00D229D0"/>
    <w:rsid w:val="00D22FD4"/>
    <w:rsid w:val="00D30675"/>
    <w:rsid w:val="00D3322F"/>
    <w:rsid w:val="00D357CD"/>
    <w:rsid w:val="00D36998"/>
    <w:rsid w:val="00D37E1F"/>
    <w:rsid w:val="00D40EC7"/>
    <w:rsid w:val="00D42134"/>
    <w:rsid w:val="00D42303"/>
    <w:rsid w:val="00D42453"/>
    <w:rsid w:val="00D42F1E"/>
    <w:rsid w:val="00D442DC"/>
    <w:rsid w:val="00D44F48"/>
    <w:rsid w:val="00D46532"/>
    <w:rsid w:val="00D46A32"/>
    <w:rsid w:val="00D53CED"/>
    <w:rsid w:val="00D557EC"/>
    <w:rsid w:val="00D5671D"/>
    <w:rsid w:val="00D56A04"/>
    <w:rsid w:val="00D627A6"/>
    <w:rsid w:val="00D66997"/>
    <w:rsid w:val="00D74FE6"/>
    <w:rsid w:val="00D759D7"/>
    <w:rsid w:val="00D803B4"/>
    <w:rsid w:val="00D856D9"/>
    <w:rsid w:val="00D85E92"/>
    <w:rsid w:val="00D866B5"/>
    <w:rsid w:val="00D868A9"/>
    <w:rsid w:val="00D914D1"/>
    <w:rsid w:val="00D93C0E"/>
    <w:rsid w:val="00D93FE0"/>
    <w:rsid w:val="00D9638B"/>
    <w:rsid w:val="00DA3B3B"/>
    <w:rsid w:val="00DA614C"/>
    <w:rsid w:val="00DA6207"/>
    <w:rsid w:val="00DA6D1A"/>
    <w:rsid w:val="00DB4827"/>
    <w:rsid w:val="00DB7B1F"/>
    <w:rsid w:val="00DC05DD"/>
    <w:rsid w:val="00DD0494"/>
    <w:rsid w:val="00DD0C39"/>
    <w:rsid w:val="00DD4B51"/>
    <w:rsid w:val="00DD5F09"/>
    <w:rsid w:val="00DD65C3"/>
    <w:rsid w:val="00DE1711"/>
    <w:rsid w:val="00DE19EB"/>
    <w:rsid w:val="00DE4B89"/>
    <w:rsid w:val="00DE53C3"/>
    <w:rsid w:val="00DE5947"/>
    <w:rsid w:val="00DE6FEA"/>
    <w:rsid w:val="00DF6C45"/>
    <w:rsid w:val="00DF70C2"/>
    <w:rsid w:val="00E00747"/>
    <w:rsid w:val="00E013B1"/>
    <w:rsid w:val="00E01730"/>
    <w:rsid w:val="00E02AB5"/>
    <w:rsid w:val="00E0443E"/>
    <w:rsid w:val="00E050E5"/>
    <w:rsid w:val="00E07ED8"/>
    <w:rsid w:val="00E11CE5"/>
    <w:rsid w:val="00E12FBC"/>
    <w:rsid w:val="00E1584B"/>
    <w:rsid w:val="00E20ABD"/>
    <w:rsid w:val="00E2265C"/>
    <w:rsid w:val="00E255FA"/>
    <w:rsid w:val="00E269CF"/>
    <w:rsid w:val="00E33BC0"/>
    <w:rsid w:val="00E37F91"/>
    <w:rsid w:val="00E4035B"/>
    <w:rsid w:val="00E40EE7"/>
    <w:rsid w:val="00E424D6"/>
    <w:rsid w:val="00E42C28"/>
    <w:rsid w:val="00E43317"/>
    <w:rsid w:val="00E46F19"/>
    <w:rsid w:val="00E50D32"/>
    <w:rsid w:val="00E54033"/>
    <w:rsid w:val="00E545B2"/>
    <w:rsid w:val="00E57E04"/>
    <w:rsid w:val="00E61823"/>
    <w:rsid w:val="00E657CB"/>
    <w:rsid w:val="00E65DA3"/>
    <w:rsid w:val="00E73774"/>
    <w:rsid w:val="00E74726"/>
    <w:rsid w:val="00E75096"/>
    <w:rsid w:val="00E770A6"/>
    <w:rsid w:val="00E773B3"/>
    <w:rsid w:val="00E80B7B"/>
    <w:rsid w:val="00E81D3E"/>
    <w:rsid w:val="00E81F15"/>
    <w:rsid w:val="00E82D00"/>
    <w:rsid w:val="00E835D0"/>
    <w:rsid w:val="00E838A2"/>
    <w:rsid w:val="00E842FD"/>
    <w:rsid w:val="00E84715"/>
    <w:rsid w:val="00E84B6F"/>
    <w:rsid w:val="00E85956"/>
    <w:rsid w:val="00E87BB6"/>
    <w:rsid w:val="00E942F8"/>
    <w:rsid w:val="00E949CB"/>
    <w:rsid w:val="00E950EC"/>
    <w:rsid w:val="00E954D4"/>
    <w:rsid w:val="00E95E83"/>
    <w:rsid w:val="00E970BB"/>
    <w:rsid w:val="00EB1843"/>
    <w:rsid w:val="00EB63BC"/>
    <w:rsid w:val="00EC453D"/>
    <w:rsid w:val="00EC51DD"/>
    <w:rsid w:val="00EC6253"/>
    <w:rsid w:val="00EC7C90"/>
    <w:rsid w:val="00EE3293"/>
    <w:rsid w:val="00EE3959"/>
    <w:rsid w:val="00EF1F27"/>
    <w:rsid w:val="00EF46B6"/>
    <w:rsid w:val="00EF4714"/>
    <w:rsid w:val="00EF4CBE"/>
    <w:rsid w:val="00EF51C9"/>
    <w:rsid w:val="00EF654F"/>
    <w:rsid w:val="00EF67B5"/>
    <w:rsid w:val="00EF6F8D"/>
    <w:rsid w:val="00F01B20"/>
    <w:rsid w:val="00F0259C"/>
    <w:rsid w:val="00F030A1"/>
    <w:rsid w:val="00F03649"/>
    <w:rsid w:val="00F0481A"/>
    <w:rsid w:val="00F070D9"/>
    <w:rsid w:val="00F1330D"/>
    <w:rsid w:val="00F1340E"/>
    <w:rsid w:val="00F13788"/>
    <w:rsid w:val="00F17131"/>
    <w:rsid w:val="00F1777B"/>
    <w:rsid w:val="00F22478"/>
    <w:rsid w:val="00F24E3B"/>
    <w:rsid w:val="00F272D7"/>
    <w:rsid w:val="00F313D1"/>
    <w:rsid w:val="00F336B6"/>
    <w:rsid w:val="00F35CC2"/>
    <w:rsid w:val="00F36C7F"/>
    <w:rsid w:val="00F371C0"/>
    <w:rsid w:val="00F41A1A"/>
    <w:rsid w:val="00F42C7D"/>
    <w:rsid w:val="00F43865"/>
    <w:rsid w:val="00F439F9"/>
    <w:rsid w:val="00F5013A"/>
    <w:rsid w:val="00F52EE8"/>
    <w:rsid w:val="00F54BEE"/>
    <w:rsid w:val="00F55034"/>
    <w:rsid w:val="00F55383"/>
    <w:rsid w:val="00F55A5B"/>
    <w:rsid w:val="00F56373"/>
    <w:rsid w:val="00F60315"/>
    <w:rsid w:val="00F63849"/>
    <w:rsid w:val="00F66D9D"/>
    <w:rsid w:val="00F716A7"/>
    <w:rsid w:val="00F75BB8"/>
    <w:rsid w:val="00F76C30"/>
    <w:rsid w:val="00F81EF1"/>
    <w:rsid w:val="00F82EB8"/>
    <w:rsid w:val="00F8521A"/>
    <w:rsid w:val="00F85676"/>
    <w:rsid w:val="00F8595E"/>
    <w:rsid w:val="00F86376"/>
    <w:rsid w:val="00F90925"/>
    <w:rsid w:val="00F924D5"/>
    <w:rsid w:val="00F94C60"/>
    <w:rsid w:val="00F96A29"/>
    <w:rsid w:val="00FA0A99"/>
    <w:rsid w:val="00FA1958"/>
    <w:rsid w:val="00FA20E8"/>
    <w:rsid w:val="00FA4E84"/>
    <w:rsid w:val="00FB1498"/>
    <w:rsid w:val="00FB15E5"/>
    <w:rsid w:val="00FB1F8D"/>
    <w:rsid w:val="00FB2CFB"/>
    <w:rsid w:val="00FB42DE"/>
    <w:rsid w:val="00FB4F4C"/>
    <w:rsid w:val="00FB7A6B"/>
    <w:rsid w:val="00FC039E"/>
    <w:rsid w:val="00FC20F1"/>
    <w:rsid w:val="00FC3902"/>
    <w:rsid w:val="00FC4507"/>
    <w:rsid w:val="00FC575F"/>
    <w:rsid w:val="00FC75DC"/>
    <w:rsid w:val="00FD0BDA"/>
    <w:rsid w:val="00FD2106"/>
    <w:rsid w:val="00FD4165"/>
    <w:rsid w:val="00FE0394"/>
    <w:rsid w:val="00FE3316"/>
    <w:rsid w:val="00FF1294"/>
    <w:rsid w:val="00FF3B85"/>
    <w:rsid w:val="00FF4AD7"/>
    <w:rsid w:val="00FF5D77"/>
    <w:rsid w:val="00FF672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0B"/>
    <w:pPr>
      <w:spacing w:after="0" w:line="480" w:lineRule="auto"/>
      <w:jc w:val="both"/>
    </w:pPr>
    <w:rPr>
      <w:rFonts w:ascii="AdvP41153C" w:hAnsi="AdvP41153C" w:cs="AdvP41153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0B7D"/>
    <w:pPr>
      <w:spacing w:afterLines="25" w:line="280" w:lineRule="exact"/>
      <w:ind w:firstLine="357"/>
    </w:pPr>
    <w:rPr>
      <w:rFonts w:ascii="Times New Roman" w:eastAsia="SimSun" w:hAnsi="Times New Roman" w:cs="Times New Roman"/>
      <w:sz w:val="22"/>
      <w:szCs w:val="20"/>
      <w:lang w:val="en-GB" w:eastAsia="zh-CN" w:bidi="ar-SA"/>
    </w:rPr>
  </w:style>
  <w:style w:type="character" w:customStyle="1" w:styleId="BodyTextChar">
    <w:name w:val="Body Text Char"/>
    <w:basedOn w:val="DefaultParagraphFont"/>
    <w:link w:val="BodyText"/>
    <w:rsid w:val="00A40B7D"/>
    <w:rPr>
      <w:rFonts w:ascii="Times New Roman" w:eastAsia="SimSun" w:hAnsi="Times New Roman" w:cs="Times New Roman"/>
      <w:szCs w:val="20"/>
      <w:lang w:val="en-GB" w:eastAsia="zh-CN" w:bidi="ar-SA"/>
    </w:rPr>
  </w:style>
  <w:style w:type="paragraph" w:styleId="BalloonText">
    <w:name w:val="Balloon Text"/>
    <w:basedOn w:val="Normal"/>
    <w:link w:val="BalloonTextChar"/>
    <w:uiPriority w:val="99"/>
    <w:semiHidden/>
    <w:unhideWhenUsed/>
    <w:rsid w:val="002A41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7B"/>
    <w:rPr>
      <w:rFonts w:ascii="Tahoma" w:hAnsi="Tahoma" w:cs="Tahoma"/>
      <w:sz w:val="16"/>
      <w:szCs w:val="16"/>
    </w:rPr>
  </w:style>
  <w:style w:type="paragraph" w:styleId="Caption">
    <w:name w:val="caption"/>
    <w:basedOn w:val="Normal"/>
    <w:next w:val="Normal"/>
    <w:uiPriority w:val="35"/>
    <w:unhideWhenUsed/>
    <w:qFormat/>
    <w:rsid w:val="00F1777B"/>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1215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2150"/>
    <w:rPr>
      <w:rFonts w:ascii="AdvP41153C" w:hAnsi="AdvP41153C" w:cs="AdvP41153C"/>
      <w:sz w:val="28"/>
      <w:szCs w:val="28"/>
    </w:rPr>
  </w:style>
  <w:style w:type="paragraph" w:styleId="Footer">
    <w:name w:val="footer"/>
    <w:basedOn w:val="Normal"/>
    <w:link w:val="FooterChar"/>
    <w:uiPriority w:val="99"/>
    <w:unhideWhenUsed/>
    <w:rsid w:val="00712150"/>
    <w:pPr>
      <w:tabs>
        <w:tab w:val="center" w:pos="4680"/>
        <w:tab w:val="right" w:pos="9360"/>
      </w:tabs>
      <w:spacing w:line="240" w:lineRule="auto"/>
    </w:pPr>
  </w:style>
  <w:style w:type="character" w:customStyle="1" w:styleId="FooterChar">
    <w:name w:val="Footer Char"/>
    <w:basedOn w:val="DefaultParagraphFont"/>
    <w:link w:val="Footer"/>
    <w:uiPriority w:val="99"/>
    <w:rsid w:val="00712150"/>
    <w:rPr>
      <w:rFonts w:ascii="AdvP41153C" w:hAnsi="AdvP41153C" w:cs="AdvP41153C"/>
      <w:sz w:val="28"/>
      <w:szCs w:val="28"/>
    </w:rPr>
  </w:style>
  <w:style w:type="paragraph" w:styleId="ListParagraph">
    <w:name w:val="List Paragraph"/>
    <w:basedOn w:val="Normal"/>
    <w:uiPriority w:val="34"/>
    <w:qFormat/>
    <w:rsid w:val="005563AE"/>
    <w:pPr>
      <w:bidi/>
      <w:spacing w:after="200" w:line="276" w:lineRule="auto"/>
      <w:ind w:left="720"/>
      <w:contextualSpacing/>
      <w:jc w:val="left"/>
    </w:pPr>
    <w:rPr>
      <w:rFonts w:asciiTheme="minorHAnsi" w:hAnsiTheme="minorHAnsi" w:cstheme="minorBidi"/>
      <w:sz w:val="22"/>
      <w:szCs w:val="22"/>
    </w:rPr>
  </w:style>
  <w:style w:type="paragraph" w:styleId="TOC2">
    <w:name w:val="toc 2"/>
    <w:basedOn w:val="Normal"/>
    <w:next w:val="Normal"/>
    <w:autoRedefine/>
    <w:uiPriority w:val="39"/>
    <w:semiHidden/>
    <w:unhideWhenUsed/>
    <w:rsid w:val="00D42453"/>
    <w:pPr>
      <w:spacing w:after="100"/>
      <w:ind w:left="280"/>
    </w:pPr>
  </w:style>
  <w:style w:type="paragraph" w:styleId="FootnoteText">
    <w:name w:val="footnote text"/>
    <w:basedOn w:val="Normal"/>
    <w:link w:val="FootnoteTextChar"/>
    <w:uiPriority w:val="99"/>
    <w:unhideWhenUsed/>
    <w:rsid w:val="002D212D"/>
    <w:pPr>
      <w:spacing w:line="240" w:lineRule="auto"/>
    </w:pPr>
    <w:rPr>
      <w:sz w:val="20"/>
      <w:szCs w:val="20"/>
    </w:rPr>
  </w:style>
  <w:style w:type="character" w:customStyle="1" w:styleId="FootnoteTextChar">
    <w:name w:val="Footnote Text Char"/>
    <w:basedOn w:val="DefaultParagraphFont"/>
    <w:link w:val="FootnoteText"/>
    <w:uiPriority w:val="99"/>
    <w:rsid w:val="002D212D"/>
    <w:rPr>
      <w:rFonts w:ascii="AdvP41153C" w:hAnsi="AdvP41153C" w:cs="AdvP41153C"/>
      <w:sz w:val="20"/>
      <w:szCs w:val="20"/>
    </w:rPr>
  </w:style>
  <w:style w:type="character" w:styleId="FootnoteReference">
    <w:name w:val="footnote reference"/>
    <w:basedOn w:val="DefaultParagraphFont"/>
    <w:uiPriority w:val="99"/>
    <w:semiHidden/>
    <w:unhideWhenUsed/>
    <w:rsid w:val="002D212D"/>
    <w:rPr>
      <w:vertAlign w:val="superscript"/>
    </w:rPr>
  </w:style>
  <w:style w:type="paragraph" w:styleId="EndnoteText">
    <w:name w:val="endnote text"/>
    <w:basedOn w:val="Normal"/>
    <w:link w:val="EndnoteTextChar"/>
    <w:uiPriority w:val="99"/>
    <w:semiHidden/>
    <w:unhideWhenUsed/>
    <w:rsid w:val="002D212D"/>
    <w:pPr>
      <w:spacing w:line="240" w:lineRule="auto"/>
    </w:pPr>
    <w:rPr>
      <w:sz w:val="20"/>
      <w:szCs w:val="20"/>
    </w:rPr>
  </w:style>
  <w:style w:type="character" w:customStyle="1" w:styleId="EndnoteTextChar">
    <w:name w:val="Endnote Text Char"/>
    <w:basedOn w:val="DefaultParagraphFont"/>
    <w:link w:val="EndnoteText"/>
    <w:uiPriority w:val="99"/>
    <w:semiHidden/>
    <w:rsid w:val="002D212D"/>
    <w:rPr>
      <w:rFonts w:ascii="AdvP41153C" w:hAnsi="AdvP41153C" w:cs="AdvP41153C"/>
      <w:sz w:val="20"/>
      <w:szCs w:val="20"/>
    </w:rPr>
  </w:style>
  <w:style w:type="character" w:styleId="EndnoteReference">
    <w:name w:val="endnote reference"/>
    <w:basedOn w:val="DefaultParagraphFont"/>
    <w:uiPriority w:val="99"/>
    <w:semiHidden/>
    <w:unhideWhenUsed/>
    <w:rsid w:val="002D212D"/>
    <w:rPr>
      <w:vertAlign w:val="superscript"/>
    </w:rPr>
  </w:style>
  <w:style w:type="character" w:styleId="Hyperlink">
    <w:name w:val="Hyperlink"/>
    <w:basedOn w:val="DefaultParagraphFont"/>
    <w:uiPriority w:val="99"/>
    <w:unhideWhenUsed/>
    <w:rsid w:val="00300299"/>
    <w:rPr>
      <w:color w:val="0000FF" w:themeColor="hyperlink"/>
      <w:u w:val="single"/>
    </w:rPr>
  </w:style>
  <w:style w:type="paragraph" w:customStyle="1" w:styleId="Default">
    <w:name w:val="Default"/>
    <w:rsid w:val="00E2265C"/>
    <w:pPr>
      <w:autoSpaceDE w:val="0"/>
      <w:autoSpaceDN w:val="0"/>
      <w:adjustRightInd w:val="0"/>
      <w:spacing w:after="0" w:line="240" w:lineRule="auto"/>
    </w:pPr>
    <w:rPr>
      <w:rFonts w:ascii="Adobe Garamond Pro Bold" w:hAnsi="Adobe Garamond Pro Bold" w:cs="Adobe Garamond Pro Bold"/>
      <w:color w:val="000000"/>
      <w:sz w:val="24"/>
      <w:szCs w:val="24"/>
    </w:rPr>
  </w:style>
  <w:style w:type="character" w:customStyle="1" w:styleId="A1">
    <w:name w:val="A1"/>
    <w:uiPriority w:val="99"/>
    <w:rsid w:val="00E2265C"/>
    <w:rPr>
      <w:rFonts w:cs="Adobe Garamond Pro Bold"/>
      <w:b/>
      <w:bCs/>
      <w:color w:val="000000"/>
      <w:sz w:val="28"/>
      <w:szCs w:val="28"/>
    </w:rPr>
  </w:style>
  <w:style w:type="paragraph" w:customStyle="1" w:styleId="Pa27">
    <w:name w:val="Pa27"/>
    <w:basedOn w:val="Default"/>
    <w:next w:val="Default"/>
    <w:uiPriority w:val="99"/>
    <w:rsid w:val="006F2808"/>
    <w:pPr>
      <w:spacing w:line="191" w:lineRule="atLeast"/>
    </w:pPr>
    <w:rPr>
      <w:rFonts w:ascii="Warnock Pro" w:hAnsi="Warnock Pro" w:cstheme="minorBidi"/>
      <w:color w:val="auto"/>
      <w:lang w:bidi="ar-SA"/>
    </w:rPr>
  </w:style>
  <w:style w:type="character" w:customStyle="1" w:styleId="A12">
    <w:name w:val="A12"/>
    <w:uiPriority w:val="99"/>
    <w:rsid w:val="006F2808"/>
    <w:rPr>
      <w:rFonts w:cs="Warnock Pro"/>
      <w:color w:val="000000"/>
      <w:sz w:val="18"/>
      <w:szCs w:val="18"/>
    </w:rPr>
  </w:style>
  <w:style w:type="character" w:styleId="LineNumber">
    <w:name w:val="line number"/>
    <w:basedOn w:val="DefaultParagraphFont"/>
    <w:uiPriority w:val="99"/>
    <w:semiHidden/>
    <w:unhideWhenUsed/>
    <w:rsid w:val="00357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0B"/>
    <w:pPr>
      <w:spacing w:after="0" w:line="480" w:lineRule="auto"/>
      <w:jc w:val="both"/>
    </w:pPr>
    <w:rPr>
      <w:rFonts w:ascii="AdvP41153C" w:hAnsi="AdvP41153C" w:cs="AdvP41153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0B7D"/>
    <w:pPr>
      <w:spacing w:afterLines="25" w:line="280" w:lineRule="exact"/>
      <w:ind w:firstLine="357"/>
    </w:pPr>
    <w:rPr>
      <w:rFonts w:ascii="Times New Roman" w:eastAsia="SimSun" w:hAnsi="Times New Roman" w:cs="Times New Roman"/>
      <w:sz w:val="22"/>
      <w:szCs w:val="20"/>
      <w:lang w:val="en-GB" w:eastAsia="zh-CN" w:bidi="ar-SA"/>
    </w:rPr>
  </w:style>
  <w:style w:type="character" w:customStyle="1" w:styleId="BodyTextChar">
    <w:name w:val="Body Text Char"/>
    <w:basedOn w:val="DefaultParagraphFont"/>
    <w:link w:val="BodyText"/>
    <w:rsid w:val="00A40B7D"/>
    <w:rPr>
      <w:rFonts w:ascii="Times New Roman" w:eastAsia="SimSun" w:hAnsi="Times New Roman" w:cs="Times New Roman"/>
      <w:szCs w:val="20"/>
      <w:lang w:val="en-GB" w:eastAsia="zh-CN" w:bidi="ar-SA"/>
    </w:rPr>
  </w:style>
  <w:style w:type="paragraph" w:styleId="BalloonText">
    <w:name w:val="Balloon Text"/>
    <w:basedOn w:val="Normal"/>
    <w:link w:val="BalloonTextChar"/>
    <w:uiPriority w:val="99"/>
    <w:semiHidden/>
    <w:unhideWhenUsed/>
    <w:rsid w:val="002A41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7B"/>
    <w:rPr>
      <w:rFonts w:ascii="Tahoma" w:hAnsi="Tahoma" w:cs="Tahoma"/>
      <w:sz w:val="16"/>
      <w:szCs w:val="16"/>
    </w:rPr>
  </w:style>
  <w:style w:type="paragraph" w:styleId="Caption">
    <w:name w:val="caption"/>
    <w:basedOn w:val="Normal"/>
    <w:next w:val="Normal"/>
    <w:uiPriority w:val="35"/>
    <w:unhideWhenUsed/>
    <w:qFormat/>
    <w:rsid w:val="00F1777B"/>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71215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2150"/>
    <w:rPr>
      <w:rFonts w:ascii="AdvP41153C" w:hAnsi="AdvP41153C" w:cs="AdvP41153C"/>
      <w:sz w:val="28"/>
      <w:szCs w:val="28"/>
    </w:rPr>
  </w:style>
  <w:style w:type="paragraph" w:styleId="Footer">
    <w:name w:val="footer"/>
    <w:basedOn w:val="Normal"/>
    <w:link w:val="FooterChar"/>
    <w:uiPriority w:val="99"/>
    <w:unhideWhenUsed/>
    <w:rsid w:val="00712150"/>
    <w:pPr>
      <w:tabs>
        <w:tab w:val="center" w:pos="4680"/>
        <w:tab w:val="right" w:pos="9360"/>
      </w:tabs>
      <w:spacing w:line="240" w:lineRule="auto"/>
    </w:pPr>
  </w:style>
  <w:style w:type="character" w:customStyle="1" w:styleId="FooterChar">
    <w:name w:val="Footer Char"/>
    <w:basedOn w:val="DefaultParagraphFont"/>
    <w:link w:val="Footer"/>
    <w:uiPriority w:val="99"/>
    <w:rsid w:val="00712150"/>
    <w:rPr>
      <w:rFonts w:ascii="AdvP41153C" w:hAnsi="AdvP41153C" w:cs="AdvP41153C"/>
      <w:sz w:val="28"/>
      <w:szCs w:val="28"/>
    </w:rPr>
  </w:style>
  <w:style w:type="paragraph" w:styleId="ListParagraph">
    <w:name w:val="List Paragraph"/>
    <w:basedOn w:val="Normal"/>
    <w:uiPriority w:val="34"/>
    <w:qFormat/>
    <w:rsid w:val="005563AE"/>
    <w:pPr>
      <w:bidi/>
      <w:spacing w:after="200" w:line="276" w:lineRule="auto"/>
      <w:ind w:left="720"/>
      <w:contextualSpacing/>
      <w:jc w:val="left"/>
    </w:pPr>
    <w:rPr>
      <w:rFonts w:asciiTheme="minorHAnsi" w:hAnsiTheme="minorHAnsi" w:cstheme="minorBidi"/>
      <w:sz w:val="22"/>
      <w:szCs w:val="22"/>
    </w:rPr>
  </w:style>
  <w:style w:type="paragraph" w:styleId="TOC2">
    <w:name w:val="toc 2"/>
    <w:basedOn w:val="Normal"/>
    <w:next w:val="Normal"/>
    <w:autoRedefine/>
    <w:uiPriority w:val="39"/>
    <w:semiHidden/>
    <w:unhideWhenUsed/>
    <w:rsid w:val="00D42453"/>
    <w:pPr>
      <w:spacing w:after="100"/>
      <w:ind w:left="280"/>
    </w:pPr>
  </w:style>
  <w:style w:type="paragraph" w:styleId="FootnoteText">
    <w:name w:val="footnote text"/>
    <w:basedOn w:val="Normal"/>
    <w:link w:val="FootnoteTextChar"/>
    <w:uiPriority w:val="99"/>
    <w:unhideWhenUsed/>
    <w:rsid w:val="002D212D"/>
    <w:pPr>
      <w:spacing w:line="240" w:lineRule="auto"/>
    </w:pPr>
    <w:rPr>
      <w:sz w:val="20"/>
      <w:szCs w:val="20"/>
    </w:rPr>
  </w:style>
  <w:style w:type="character" w:customStyle="1" w:styleId="FootnoteTextChar">
    <w:name w:val="Footnote Text Char"/>
    <w:basedOn w:val="DefaultParagraphFont"/>
    <w:link w:val="FootnoteText"/>
    <w:uiPriority w:val="99"/>
    <w:rsid w:val="002D212D"/>
    <w:rPr>
      <w:rFonts w:ascii="AdvP41153C" w:hAnsi="AdvP41153C" w:cs="AdvP41153C"/>
      <w:sz w:val="20"/>
      <w:szCs w:val="20"/>
    </w:rPr>
  </w:style>
  <w:style w:type="character" w:styleId="FootnoteReference">
    <w:name w:val="footnote reference"/>
    <w:basedOn w:val="DefaultParagraphFont"/>
    <w:uiPriority w:val="99"/>
    <w:semiHidden/>
    <w:unhideWhenUsed/>
    <w:rsid w:val="002D212D"/>
    <w:rPr>
      <w:vertAlign w:val="superscript"/>
    </w:rPr>
  </w:style>
  <w:style w:type="paragraph" w:styleId="EndnoteText">
    <w:name w:val="endnote text"/>
    <w:basedOn w:val="Normal"/>
    <w:link w:val="EndnoteTextChar"/>
    <w:uiPriority w:val="99"/>
    <w:semiHidden/>
    <w:unhideWhenUsed/>
    <w:rsid w:val="002D212D"/>
    <w:pPr>
      <w:spacing w:line="240" w:lineRule="auto"/>
    </w:pPr>
    <w:rPr>
      <w:sz w:val="20"/>
      <w:szCs w:val="20"/>
    </w:rPr>
  </w:style>
  <w:style w:type="character" w:customStyle="1" w:styleId="EndnoteTextChar">
    <w:name w:val="Endnote Text Char"/>
    <w:basedOn w:val="DefaultParagraphFont"/>
    <w:link w:val="EndnoteText"/>
    <w:uiPriority w:val="99"/>
    <w:semiHidden/>
    <w:rsid w:val="002D212D"/>
    <w:rPr>
      <w:rFonts w:ascii="AdvP41153C" w:hAnsi="AdvP41153C" w:cs="AdvP41153C"/>
      <w:sz w:val="20"/>
      <w:szCs w:val="20"/>
    </w:rPr>
  </w:style>
  <w:style w:type="character" w:styleId="EndnoteReference">
    <w:name w:val="endnote reference"/>
    <w:basedOn w:val="DefaultParagraphFont"/>
    <w:uiPriority w:val="99"/>
    <w:semiHidden/>
    <w:unhideWhenUsed/>
    <w:rsid w:val="002D212D"/>
    <w:rPr>
      <w:vertAlign w:val="superscript"/>
    </w:rPr>
  </w:style>
  <w:style w:type="character" w:styleId="Hyperlink">
    <w:name w:val="Hyperlink"/>
    <w:basedOn w:val="DefaultParagraphFont"/>
    <w:uiPriority w:val="99"/>
    <w:unhideWhenUsed/>
    <w:rsid w:val="00300299"/>
    <w:rPr>
      <w:color w:val="0000FF" w:themeColor="hyperlink"/>
      <w:u w:val="single"/>
    </w:rPr>
  </w:style>
  <w:style w:type="paragraph" w:customStyle="1" w:styleId="Default">
    <w:name w:val="Default"/>
    <w:rsid w:val="00E2265C"/>
    <w:pPr>
      <w:autoSpaceDE w:val="0"/>
      <w:autoSpaceDN w:val="0"/>
      <w:adjustRightInd w:val="0"/>
      <w:spacing w:after="0" w:line="240" w:lineRule="auto"/>
    </w:pPr>
    <w:rPr>
      <w:rFonts w:ascii="Adobe Garamond Pro Bold" w:hAnsi="Adobe Garamond Pro Bold" w:cs="Adobe Garamond Pro Bold"/>
      <w:color w:val="000000"/>
      <w:sz w:val="24"/>
      <w:szCs w:val="24"/>
    </w:rPr>
  </w:style>
  <w:style w:type="character" w:customStyle="1" w:styleId="A1">
    <w:name w:val="A1"/>
    <w:uiPriority w:val="99"/>
    <w:rsid w:val="00E2265C"/>
    <w:rPr>
      <w:rFonts w:cs="Adobe Garamond Pro Bold"/>
      <w:b/>
      <w:bCs/>
      <w:color w:val="000000"/>
      <w:sz w:val="28"/>
      <w:szCs w:val="28"/>
    </w:rPr>
  </w:style>
  <w:style w:type="paragraph" w:customStyle="1" w:styleId="Pa27">
    <w:name w:val="Pa27"/>
    <w:basedOn w:val="Default"/>
    <w:next w:val="Default"/>
    <w:uiPriority w:val="99"/>
    <w:rsid w:val="006F2808"/>
    <w:pPr>
      <w:spacing w:line="191" w:lineRule="atLeast"/>
    </w:pPr>
    <w:rPr>
      <w:rFonts w:ascii="Warnock Pro" w:hAnsi="Warnock Pro" w:cstheme="minorBidi"/>
      <w:color w:val="auto"/>
      <w:lang w:bidi="ar-SA"/>
    </w:rPr>
  </w:style>
  <w:style w:type="character" w:customStyle="1" w:styleId="A12">
    <w:name w:val="A12"/>
    <w:uiPriority w:val="99"/>
    <w:rsid w:val="006F2808"/>
    <w:rPr>
      <w:rFonts w:cs="Warnock Pro"/>
      <w:color w:val="000000"/>
      <w:sz w:val="18"/>
      <w:szCs w:val="18"/>
    </w:rPr>
  </w:style>
  <w:style w:type="character" w:styleId="LineNumber">
    <w:name w:val="line number"/>
    <w:basedOn w:val="DefaultParagraphFont"/>
    <w:uiPriority w:val="99"/>
    <w:semiHidden/>
    <w:unhideWhenUsed/>
    <w:rsid w:val="0035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3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zeynali.kh@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I:\tip%20encapsulation\Book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a-I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Lbls>
            <c:txPr>
              <a:bodyPr/>
              <a:lstStyle/>
              <a:p>
                <a:pPr>
                  <a:defRPr lang="en-US"/>
                </a:pPr>
                <a:endParaRPr lang="fa-IR"/>
              </a:p>
            </c:txPr>
            <c:dLblPos val="outEnd"/>
            <c:showLegendKey val="0"/>
            <c:showVal val="1"/>
            <c:showCatName val="0"/>
            <c:showSerName val="0"/>
            <c:showPercent val="0"/>
            <c:showBubbleSize val="0"/>
            <c:showLeaderLines val="0"/>
          </c:dLbls>
          <c:cat>
            <c:strRef>
              <c:f>article!$K$48:$K$50</c:f>
              <c:strCache>
                <c:ptCount val="3"/>
                <c:pt idx="0">
                  <c:v>calcuim chloride1%</c:v>
                </c:pt>
                <c:pt idx="1">
                  <c:v>calcuim chloride1.4%</c:v>
                </c:pt>
                <c:pt idx="2">
                  <c:v>calcuim chloride2%</c:v>
                </c:pt>
              </c:strCache>
            </c:strRef>
          </c:cat>
          <c:val>
            <c:numRef>
              <c:f>article!$L$48:$L$50</c:f>
              <c:numCache>
                <c:formatCode>General</c:formatCode>
                <c:ptCount val="3"/>
              </c:numCache>
            </c:numRef>
          </c:val>
        </c:ser>
        <c:ser>
          <c:idx val="1"/>
          <c:order val="1"/>
          <c:spPr>
            <a:solidFill>
              <a:sysClr val="windowText" lastClr="000000"/>
            </a:solidFill>
            <a:ln>
              <a:solidFill>
                <a:schemeClr val="accent1"/>
              </a:solidFill>
            </a:ln>
            <a:effectLst>
              <a:innerShdw dir="10800000">
                <a:sysClr val="windowText" lastClr="000000">
                  <a:alpha val="50000"/>
                </a:sysClr>
              </a:innerShdw>
            </a:effectLst>
            <a:scene3d>
              <a:camera prst="orthographicFront"/>
              <a:lightRig rig="harsh" dir="t"/>
            </a:scene3d>
            <a:sp3d prstMaterial="metal">
              <a:bevelT w="279400" h="355600"/>
              <a:bevelB w="292100" h="273050"/>
            </a:sp3d>
          </c:spPr>
          <c:invertIfNegative val="0"/>
          <c:dLbls>
            <c:dLbl>
              <c:idx val="0"/>
              <c:tx>
                <c:rich>
                  <a:bodyPr/>
                  <a:lstStyle/>
                  <a:p>
                    <a:pPr>
                      <a:defRPr lang="en-US" sz="1400">
                        <a:latin typeface="Times New Roman" pitchFamily="18" charset="0"/>
                        <a:cs typeface="Times New Roman" pitchFamily="18" charset="0"/>
                      </a:defRPr>
                    </a:pPr>
                    <a:r>
                      <a:rPr lang="en-US" sz="1400">
                        <a:latin typeface="Times New Roman" pitchFamily="18" charset="0"/>
                        <a:cs typeface="Times New Roman" pitchFamily="18" charset="0"/>
                      </a:rPr>
                      <a:t>a</a:t>
                    </a:r>
                  </a:p>
                </c:rich>
              </c:tx>
              <c:numFmt formatCode="General" sourceLinked="0"/>
              <c:spPr/>
              <c:dLblPos val="outEnd"/>
              <c:showLegendKey val="0"/>
              <c:showVal val="0"/>
              <c:showCatName val="0"/>
              <c:showSerName val="1"/>
              <c:showPercent val="0"/>
              <c:showBubbleSize val="0"/>
              <c:separator>, </c:separator>
            </c:dLbl>
            <c:dLbl>
              <c:idx val="1"/>
              <c:tx>
                <c:rich>
                  <a:bodyPr/>
                  <a:lstStyle/>
                  <a:p>
                    <a:pPr>
                      <a:defRPr lang="en-US" sz="1400">
                        <a:latin typeface="Times New Roman" pitchFamily="18" charset="0"/>
                        <a:cs typeface="Times New Roman" pitchFamily="18" charset="0"/>
                      </a:defRPr>
                    </a:pPr>
                    <a:r>
                      <a:rPr lang="en-US" sz="1400">
                        <a:latin typeface="Times New Roman" pitchFamily="18" charset="0"/>
                        <a:cs typeface="Times New Roman" pitchFamily="18" charset="0"/>
                      </a:rPr>
                      <a:t>a</a:t>
                    </a:r>
                  </a:p>
                </c:rich>
              </c:tx>
              <c:numFmt formatCode="General" sourceLinked="0"/>
              <c:spPr/>
              <c:dLblPos val="outEnd"/>
              <c:showLegendKey val="0"/>
              <c:showVal val="0"/>
              <c:showCatName val="0"/>
              <c:showSerName val="1"/>
              <c:showPercent val="0"/>
              <c:showBubbleSize val="0"/>
              <c:separator>, </c:separator>
            </c:dLbl>
            <c:dLbl>
              <c:idx val="2"/>
              <c:tx>
                <c:rich>
                  <a:bodyPr/>
                  <a:lstStyle/>
                  <a:p>
                    <a:pPr>
                      <a:defRPr lang="en-US" sz="1400">
                        <a:latin typeface="Times New Roman" pitchFamily="18" charset="0"/>
                        <a:cs typeface="Times New Roman" pitchFamily="18" charset="0"/>
                      </a:defRPr>
                    </a:pPr>
                    <a:r>
                      <a:rPr lang="en-US" sz="1400">
                        <a:latin typeface="Times New Roman" pitchFamily="18" charset="0"/>
                        <a:cs typeface="Times New Roman" pitchFamily="18" charset="0"/>
                      </a:rPr>
                      <a:t>a</a:t>
                    </a:r>
                  </a:p>
                </c:rich>
              </c:tx>
              <c:numFmt formatCode="General" sourceLinked="0"/>
              <c:spPr/>
              <c:dLblPos val="outEnd"/>
              <c:showLegendKey val="0"/>
              <c:showVal val="0"/>
              <c:showCatName val="0"/>
              <c:showSerName val="1"/>
              <c:showPercent val="0"/>
              <c:showBubbleSize val="0"/>
              <c:separator>, </c:separator>
            </c:dLbl>
            <c:numFmt formatCode="General" sourceLinked="0"/>
            <c:txPr>
              <a:bodyPr/>
              <a:lstStyle/>
              <a:p>
                <a:pPr>
                  <a:defRPr lang="en-US"/>
                </a:pPr>
                <a:endParaRPr lang="fa-IR"/>
              </a:p>
            </c:txPr>
            <c:dLblPos val="outEnd"/>
            <c:showLegendKey val="0"/>
            <c:showVal val="0"/>
            <c:showCatName val="0"/>
            <c:showSerName val="1"/>
            <c:showPercent val="0"/>
            <c:showBubbleSize val="0"/>
            <c:separator>, </c:separator>
            <c:showLeaderLines val="0"/>
          </c:dLbls>
          <c:cat>
            <c:strRef>
              <c:f>article!$K$48:$K$50</c:f>
              <c:strCache>
                <c:ptCount val="3"/>
                <c:pt idx="0">
                  <c:v>calcuim chloride1%</c:v>
                </c:pt>
                <c:pt idx="1">
                  <c:v>calcuim chloride1.4%</c:v>
                </c:pt>
                <c:pt idx="2">
                  <c:v>calcuim chloride2%</c:v>
                </c:pt>
              </c:strCache>
            </c:strRef>
          </c:cat>
          <c:val>
            <c:numRef>
              <c:f>article!$M$48:$M$50</c:f>
              <c:numCache>
                <c:formatCode>General</c:formatCode>
                <c:ptCount val="3"/>
                <c:pt idx="0">
                  <c:v>61.482222222222227</c:v>
                </c:pt>
                <c:pt idx="1">
                  <c:v>65.517037037037028</c:v>
                </c:pt>
                <c:pt idx="2">
                  <c:v>70.120370370369073</c:v>
                </c:pt>
              </c:numCache>
            </c:numRef>
          </c:val>
        </c:ser>
        <c:dLbls>
          <c:showLegendKey val="0"/>
          <c:showVal val="0"/>
          <c:showCatName val="0"/>
          <c:showSerName val="0"/>
          <c:showPercent val="0"/>
          <c:showBubbleSize val="0"/>
        </c:dLbls>
        <c:gapWidth val="150"/>
        <c:axId val="145021568"/>
        <c:axId val="145376000"/>
      </c:barChart>
      <c:catAx>
        <c:axId val="145021568"/>
        <c:scaling>
          <c:orientation val="minMax"/>
        </c:scaling>
        <c:delete val="0"/>
        <c:axPos val="b"/>
        <c:title>
          <c:tx>
            <c:rich>
              <a:bodyPr/>
              <a:lstStyle/>
              <a:p>
                <a:pPr>
                  <a:defRPr lang="en-US"/>
                </a:pPr>
                <a:r>
                  <a:rPr lang="en-US"/>
                  <a:t>Calcium</a:t>
                </a:r>
                <a:r>
                  <a:rPr lang="en-US" baseline="0"/>
                  <a:t> chloride concentration</a:t>
                </a:r>
                <a:endParaRPr lang="en-US"/>
              </a:p>
            </c:rich>
          </c:tx>
          <c:overlay val="0"/>
        </c:title>
        <c:majorTickMark val="in"/>
        <c:minorTickMark val="in"/>
        <c:tickLblPos val="nextTo"/>
        <c:txPr>
          <a:bodyPr/>
          <a:lstStyle/>
          <a:p>
            <a:pPr>
              <a:defRPr lang="en-US"/>
            </a:pPr>
            <a:endParaRPr lang="fa-IR"/>
          </a:p>
        </c:txPr>
        <c:crossAx val="145376000"/>
        <c:crosses val="autoZero"/>
        <c:auto val="1"/>
        <c:lblAlgn val="ctr"/>
        <c:lblOffset val="100"/>
        <c:noMultiLvlLbl val="0"/>
      </c:catAx>
      <c:valAx>
        <c:axId val="145376000"/>
        <c:scaling>
          <c:orientation val="minMax"/>
          <c:max val="72"/>
          <c:min val="56"/>
        </c:scaling>
        <c:delete val="0"/>
        <c:axPos val="l"/>
        <c:title>
          <c:tx>
            <c:rich>
              <a:bodyPr rot="-5400000" vert="horz"/>
              <a:lstStyle/>
              <a:p>
                <a:pPr>
                  <a:defRPr lang="en-US"/>
                </a:pPr>
                <a:r>
                  <a:rPr lang="en-US"/>
                  <a:t>Shoot</a:t>
                </a:r>
                <a:r>
                  <a:rPr lang="en-US" baseline="0"/>
                  <a:t> recovery(%)</a:t>
                </a:r>
                <a:endParaRPr lang="en-US"/>
              </a:p>
            </c:rich>
          </c:tx>
          <c:overlay val="0"/>
        </c:title>
        <c:numFmt formatCode="General" sourceLinked="1"/>
        <c:majorTickMark val="in"/>
        <c:minorTickMark val="none"/>
        <c:tickLblPos val="nextTo"/>
        <c:txPr>
          <a:bodyPr/>
          <a:lstStyle/>
          <a:p>
            <a:pPr>
              <a:defRPr lang="en-US"/>
            </a:pPr>
            <a:endParaRPr lang="fa-IR"/>
          </a:p>
        </c:txPr>
        <c:crossAx val="145021568"/>
        <c:crosses val="autoZero"/>
        <c:crossBetween val="between"/>
        <c:majorUnit val="2"/>
        <c:minorUnit val="0.4"/>
      </c:valAx>
    </c:plotArea>
    <c:plotVisOnly val="1"/>
    <c:dispBlanksAs val="gap"/>
    <c:showDLblsOverMax val="0"/>
  </c:chart>
  <c:spPr>
    <a:no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8244E0-0F8E-4AC3-B83F-5CAABF51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ARYAN</Company>
  <LinksUpToDate>false</LinksUpToDate>
  <CharactersWithSpaces>27289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86113104</dc:creator>
  <cp:lastModifiedBy>Dear User!</cp:lastModifiedBy>
  <cp:revision>12</cp:revision>
  <cp:lastPrinted>2013-12-11T13:18:00Z</cp:lastPrinted>
  <dcterms:created xsi:type="dcterms:W3CDTF">2013-12-11T13:17:00Z</dcterms:created>
  <dcterms:modified xsi:type="dcterms:W3CDTF">2014-01-10T06:31:00Z</dcterms:modified>
</cp:coreProperties>
</file>