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539" w:rsidRDefault="00350539" w:rsidP="00350539">
      <w:pPr>
        <w:spacing w:line="360" w:lineRule="auto"/>
        <w:ind w:left="709" w:hanging="709"/>
        <w:rPr>
          <w:rFonts w:ascii="Times New Roman" w:hAnsi="Times New Roman"/>
          <w:b/>
          <w:lang w:val="en-US"/>
        </w:rPr>
      </w:pPr>
    </w:p>
    <w:p w:rsidR="00350539" w:rsidRPr="00E70B75" w:rsidRDefault="00350539" w:rsidP="00350539">
      <w:pPr>
        <w:tabs>
          <w:tab w:val="left" w:pos="2107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lang w:val="en-US"/>
        </w:rPr>
      </w:pPr>
    </w:p>
    <w:p w:rsidR="00350539" w:rsidRPr="00E70B75" w:rsidRDefault="00350539" w:rsidP="00350539">
      <w:pPr>
        <w:tabs>
          <w:tab w:val="left" w:pos="210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lang w:val="en-US"/>
        </w:rPr>
      </w:pPr>
      <w:r w:rsidRPr="00533409">
        <w:rPr>
          <w:rFonts w:ascii="Times New Roman" w:hAnsi="Times New Roman"/>
          <w:noProof/>
          <w:lang w:eastAsia="es-MX"/>
        </w:rPr>
        <w:drawing>
          <wp:inline distT="0" distB="0" distL="0" distR="0" wp14:anchorId="5959BAD8" wp14:editId="6261E6B4">
            <wp:extent cx="5167423" cy="3125972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50539" w:rsidRPr="00E70B75" w:rsidRDefault="00350539" w:rsidP="00350539">
      <w:pPr>
        <w:tabs>
          <w:tab w:val="left" w:pos="2107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lang w:val="en-US"/>
        </w:rPr>
      </w:pPr>
      <w:r w:rsidRPr="00350539">
        <w:rPr>
          <w:rFonts w:ascii="Times New Roman" w:hAnsi="Times New Roman"/>
          <w:b/>
          <w:sz w:val="24"/>
          <w:szCs w:val="24"/>
          <w:lang w:val="en-US"/>
        </w:rPr>
        <w:t>Figure 1.</w:t>
      </w:r>
      <w:r w:rsidRPr="00350539">
        <w:rPr>
          <w:rFonts w:ascii="Times New Roman" w:hAnsi="Times New Roman"/>
          <w:sz w:val="24"/>
          <w:szCs w:val="24"/>
          <w:lang w:val="en-US"/>
        </w:rPr>
        <w:t xml:space="preserve"> Mortality progress of seedlings produced </w:t>
      </w:r>
      <w:r w:rsidRPr="00350539">
        <w:rPr>
          <w:rFonts w:ascii="Times New Roman" w:hAnsi="Times New Roman"/>
          <w:i/>
          <w:sz w:val="24"/>
          <w:szCs w:val="24"/>
          <w:lang w:val="en-US"/>
        </w:rPr>
        <w:t xml:space="preserve">in vitro </w:t>
      </w:r>
      <w:r w:rsidRPr="00350539">
        <w:rPr>
          <w:rFonts w:ascii="Times New Roman" w:hAnsi="Times New Roman"/>
          <w:sz w:val="24"/>
          <w:szCs w:val="24"/>
          <w:lang w:val="en-US"/>
        </w:rPr>
        <w:t>and cultivated in four environments. Winter-Spring 2010</w:t>
      </w:r>
      <w:r w:rsidR="00473BC4">
        <w:rPr>
          <w:rFonts w:ascii="Times New Roman" w:hAnsi="Times New Roman"/>
          <w:sz w:val="24"/>
          <w:szCs w:val="24"/>
          <w:lang w:val="en-US"/>
        </w:rPr>
        <w:t>, 2011</w:t>
      </w:r>
      <w:r w:rsidRPr="00350539">
        <w:rPr>
          <w:rFonts w:ascii="Times New Roman" w:hAnsi="Times New Roman"/>
          <w:sz w:val="24"/>
          <w:szCs w:val="24"/>
          <w:lang w:val="en-US"/>
        </w:rPr>
        <w:t xml:space="preserve"> cycle</w:t>
      </w:r>
      <w:r w:rsidR="00473BC4">
        <w:rPr>
          <w:rFonts w:ascii="Times New Roman" w:hAnsi="Times New Roman"/>
          <w:sz w:val="24"/>
          <w:szCs w:val="24"/>
          <w:lang w:val="en-US"/>
        </w:rPr>
        <w:t>s</w:t>
      </w:r>
      <w:bookmarkStart w:id="0" w:name="_GoBack"/>
      <w:bookmarkEnd w:id="0"/>
      <w:r w:rsidRPr="00E70B75">
        <w:rPr>
          <w:rFonts w:ascii="Times New Roman" w:hAnsi="Times New Roman"/>
          <w:lang w:val="en-US"/>
        </w:rPr>
        <w:t>.</w:t>
      </w:r>
    </w:p>
    <w:p w:rsidR="00350539" w:rsidRPr="00E70B75" w:rsidRDefault="00350539" w:rsidP="00350539">
      <w:pPr>
        <w:tabs>
          <w:tab w:val="left" w:pos="2107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lang w:val="en-US"/>
        </w:rPr>
      </w:pPr>
    </w:p>
    <w:p w:rsidR="00350539" w:rsidRPr="00B75554" w:rsidRDefault="00350539" w:rsidP="00350539">
      <w:pPr>
        <w:spacing w:line="360" w:lineRule="auto"/>
        <w:ind w:left="709" w:hanging="709"/>
        <w:rPr>
          <w:rFonts w:ascii="Times New Roman" w:hAnsi="Times New Roman"/>
          <w:b/>
          <w:lang w:val="en-US"/>
        </w:rPr>
      </w:pPr>
    </w:p>
    <w:p w:rsidR="009B1E0C" w:rsidRDefault="009B1E0C"/>
    <w:sectPr w:rsidR="009B1E0C" w:rsidSect="00350539">
      <w:footerReference w:type="default" r:id="rId8"/>
      <w:pgSz w:w="12242" w:h="15842" w:code="1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96E" w:rsidRDefault="0019296E">
      <w:pPr>
        <w:spacing w:line="240" w:lineRule="auto"/>
      </w:pPr>
      <w:r>
        <w:separator/>
      </w:r>
    </w:p>
  </w:endnote>
  <w:endnote w:type="continuationSeparator" w:id="0">
    <w:p w:rsidR="0019296E" w:rsidRDefault="00192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7845803"/>
      <w:docPartObj>
        <w:docPartGallery w:val="Page Numbers (Bottom of Page)"/>
        <w:docPartUnique/>
      </w:docPartObj>
    </w:sdtPr>
    <w:sdtEndPr/>
    <w:sdtContent>
      <w:p w:rsidR="00E70B75" w:rsidRDefault="0035053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BC4" w:rsidRPr="00473BC4">
          <w:rPr>
            <w:noProof/>
            <w:lang w:val="es-ES"/>
          </w:rPr>
          <w:t>1</w:t>
        </w:r>
        <w:r>
          <w:fldChar w:fldCharType="end"/>
        </w:r>
      </w:p>
    </w:sdtContent>
  </w:sdt>
  <w:p w:rsidR="00E70B75" w:rsidRDefault="001929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96E" w:rsidRDefault="0019296E">
      <w:pPr>
        <w:spacing w:line="240" w:lineRule="auto"/>
      </w:pPr>
      <w:r>
        <w:separator/>
      </w:r>
    </w:p>
  </w:footnote>
  <w:footnote w:type="continuationSeparator" w:id="0">
    <w:p w:rsidR="0019296E" w:rsidRDefault="001929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39"/>
    <w:rsid w:val="0019296E"/>
    <w:rsid w:val="00331AB6"/>
    <w:rsid w:val="00350539"/>
    <w:rsid w:val="00473BC4"/>
    <w:rsid w:val="007B1A44"/>
    <w:rsid w:val="009B1E0C"/>
    <w:rsid w:val="00D2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7F40CF-A442-4793-881F-6C231081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539"/>
    <w:pPr>
      <w:spacing w:after="0" w:line="480" w:lineRule="auto"/>
      <w:jc w:val="both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35053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539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0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539"/>
    <w:rPr>
      <w:rFonts w:ascii="Tahoma" w:eastAsia="Calibri" w:hAnsi="Tahoma" w:cs="Tahoma"/>
      <w:sz w:val="16"/>
      <w:szCs w:val="16"/>
    </w:rPr>
  </w:style>
  <w:style w:type="character" w:styleId="Nmerodelnea">
    <w:name w:val="line number"/>
    <w:basedOn w:val="Fuentedeprrafopredeter"/>
    <w:uiPriority w:val="99"/>
    <w:semiHidden/>
    <w:unhideWhenUsed/>
    <w:rsid w:val="00350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128745062858564"/>
          <c:y val="2.8655853904403797E-2"/>
          <c:w val="0.86156422031341273"/>
          <c:h val="0.8043272169117133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'T1'!$B$20</c:f>
              <c:strCache>
                <c:ptCount val="1"/>
                <c:pt idx="0">
                  <c:v> Open air</c:v>
                </c:pt>
              </c:strCache>
            </c:strRef>
          </c:tx>
          <c:spPr>
            <a:ln w="31750">
              <a:solidFill>
                <a:schemeClr val="tx1"/>
              </a:solidFill>
              <a:prstDash val="sysDot"/>
            </a:ln>
          </c:spPr>
          <c:marker>
            <c:spPr>
              <a:solidFill>
                <a:schemeClr val="tx1"/>
              </a:solidFill>
              <a:ln w="22225">
                <a:solidFill>
                  <a:schemeClr val="tx1"/>
                </a:solidFill>
              </a:ln>
            </c:spPr>
          </c:marker>
          <c:dPt>
            <c:idx val="5"/>
            <c:bubble3D val="0"/>
          </c:dPt>
          <c:xVal>
            <c:numRef>
              <c:f>'T1'!$A$21:$A$31</c:f>
              <c:numCache>
                <c:formatCode>General</c:formatCode>
                <c:ptCount val="11"/>
                <c:pt idx="0">
                  <c:v>0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17</c:v>
                </c:pt>
                <c:pt idx="5">
                  <c:v>21</c:v>
                </c:pt>
                <c:pt idx="6">
                  <c:v>25</c:v>
                </c:pt>
                <c:pt idx="7">
                  <c:v>29</c:v>
                </c:pt>
                <c:pt idx="8">
                  <c:v>33</c:v>
                </c:pt>
                <c:pt idx="9">
                  <c:v>37</c:v>
                </c:pt>
                <c:pt idx="10">
                  <c:v>40</c:v>
                </c:pt>
              </c:numCache>
            </c:numRef>
          </c:xVal>
          <c:yVal>
            <c:numRef>
              <c:f>'T1'!$B$21:$B$31</c:f>
              <c:numCache>
                <c:formatCode>General</c:formatCode>
                <c:ptCount val="11"/>
                <c:pt idx="0">
                  <c:v>0</c:v>
                </c:pt>
                <c:pt idx="1">
                  <c:v>18.75</c:v>
                </c:pt>
                <c:pt idx="2">
                  <c:v>43.75</c:v>
                </c:pt>
                <c:pt idx="3">
                  <c:v>56.25</c:v>
                </c:pt>
                <c:pt idx="4">
                  <c:v>59.375</c:v>
                </c:pt>
                <c:pt idx="5">
                  <c:v>59.375</c:v>
                </c:pt>
                <c:pt idx="6">
                  <c:v>59.375</c:v>
                </c:pt>
                <c:pt idx="7">
                  <c:v>71.875</c:v>
                </c:pt>
                <c:pt idx="8">
                  <c:v>78.125</c:v>
                </c:pt>
                <c:pt idx="9">
                  <c:v>84.375</c:v>
                </c:pt>
                <c:pt idx="10">
                  <c:v>93.75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'T1'!$C$20</c:f>
              <c:strCache>
                <c:ptCount val="1"/>
                <c:pt idx="0">
                  <c:v>75 % Reducing mesh</c:v>
                </c:pt>
              </c:strCache>
            </c:strRef>
          </c:tx>
          <c:spPr>
            <a:ln w="25400">
              <a:solidFill>
                <a:schemeClr val="tx1"/>
              </a:solidFill>
              <a:prstDash val="lgDash"/>
            </a:ln>
          </c:spPr>
          <c:marker>
            <c:symbol val="circle"/>
            <c:size val="9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xVal>
            <c:numRef>
              <c:f>'T1'!$A$21:$A$31</c:f>
              <c:numCache>
                <c:formatCode>General</c:formatCode>
                <c:ptCount val="11"/>
                <c:pt idx="0">
                  <c:v>0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17</c:v>
                </c:pt>
                <c:pt idx="5">
                  <c:v>21</c:v>
                </c:pt>
                <c:pt idx="6">
                  <c:v>25</c:v>
                </c:pt>
                <c:pt idx="7">
                  <c:v>29</c:v>
                </c:pt>
                <c:pt idx="8">
                  <c:v>33</c:v>
                </c:pt>
                <c:pt idx="9">
                  <c:v>37</c:v>
                </c:pt>
                <c:pt idx="10">
                  <c:v>40</c:v>
                </c:pt>
              </c:numCache>
            </c:numRef>
          </c:xVal>
          <c:yVal>
            <c:numRef>
              <c:f>'T1'!$C$21:$C$31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3.125</c:v>
                </c:pt>
                <c:pt idx="3">
                  <c:v>3.125</c:v>
                </c:pt>
                <c:pt idx="4">
                  <c:v>3.125</c:v>
                </c:pt>
                <c:pt idx="5">
                  <c:v>3.125</c:v>
                </c:pt>
                <c:pt idx="6">
                  <c:v>3.125</c:v>
                </c:pt>
                <c:pt idx="7">
                  <c:v>3.125</c:v>
                </c:pt>
                <c:pt idx="8">
                  <c:v>3.125</c:v>
                </c:pt>
                <c:pt idx="9">
                  <c:v>3.125</c:v>
                </c:pt>
                <c:pt idx="10">
                  <c:v>3.125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'T1'!$D$20</c:f>
              <c:strCache>
                <c:ptCount val="1"/>
                <c:pt idx="0">
                  <c:v>50 % Reducing Mesh</c:v>
                </c:pt>
              </c:strCache>
            </c:strRef>
          </c:tx>
          <c:spPr>
            <a:ln w="25400">
              <a:solidFill>
                <a:schemeClr val="tx1"/>
              </a:solidFill>
              <a:prstDash val="dashDot"/>
            </a:ln>
          </c:spPr>
          <c:marker>
            <c:symbol val="x"/>
            <c:size val="9"/>
            <c:spPr>
              <a:noFill/>
              <a:ln w="12700">
                <a:solidFill>
                  <a:schemeClr val="tx1"/>
                </a:solidFill>
              </a:ln>
            </c:spPr>
          </c:marker>
          <c:xVal>
            <c:numRef>
              <c:f>'T1'!$A$21:$A$31</c:f>
              <c:numCache>
                <c:formatCode>General</c:formatCode>
                <c:ptCount val="11"/>
                <c:pt idx="0">
                  <c:v>0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17</c:v>
                </c:pt>
                <c:pt idx="5">
                  <c:v>21</c:v>
                </c:pt>
                <c:pt idx="6">
                  <c:v>25</c:v>
                </c:pt>
                <c:pt idx="7">
                  <c:v>29</c:v>
                </c:pt>
                <c:pt idx="8">
                  <c:v>33</c:v>
                </c:pt>
                <c:pt idx="9">
                  <c:v>37</c:v>
                </c:pt>
                <c:pt idx="10">
                  <c:v>40</c:v>
                </c:pt>
              </c:numCache>
            </c:numRef>
          </c:xVal>
          <c:yVal>
            <c:numRef>
              <c:f>'T1'!$D$21:$D$31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3.125</c:v>
                </c:pt>
                <c:pt idx="4">
                  <c:v>3.125</c:v>
                </c:pt>
                <c:pt idx="5">
                  <c:v>3.125</c:v>
                </c:pt>
                <c:pt idx="6">
                  <c:v>6.25</c:v>
                </c:pt>
                <c:pt idx="7">
                  <c:v>6.25</c:v>
                </c:pt>
                <c:pt idx="8">
                  <c:v>6.25</c:v>
                </c:pt>
                <c:pt idx="9">
                  <c:v>6.25</c:v>
                </c:pt>
                <c:pt idx="10">
                  <c:v>9.375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'T1'!$E$20</c:f>
              <c:strCache>
                <c:ptCount val="1"/>
                <c:pt idx="0">
                  <c:v>Plastic Cover</c:v>
                </c:pt>
              </c:strCache>
            </c:strRef>
          </c:tx>
          <c:spPr>
            <a:ln w="31750">
              <a:solidFill>
                <a:schemeClr val="tx1"/>
              </a:solidFill>
              <a:prstDash val="dash"/>
            </a:ln>
          </c:spPr>
          <c:marker>
            <c:symbol val="triangle"/>
            <c:size val="9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dPt>
            <c:idx val="7"/>
            <c:bubble3D val="0"/>
          </c:dPt>
          <c:xVal>
            <c:numRef>
              <c:f>'T1'!$A$21:$A$31</c:f>
              <c:numCache>
                <c:formatCode>General</c:formatCode>
                <c:ptCount val="11"/>
                <c:pt idx="0">
                  <c:v>0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17</c:v>
                </c:pt>
                <c:pt idx="5">
                  <c:v>21</c:v>
                </c:pt>
                <c:pt idx="6">
                  <c:v>25</c:v>
                </c:pt>
                <c:pt idx="7">
                  <c:v>29</c:v>
                </c:pt>
                <c:pt idx="8">
                  <c:v>33</c:v>
                </c:pt>
                <c:pt idx="9">
                  <c:v>37</c:v>
                </c:pt>
                <c:pt idx="10">
                  <c:v>40</c:v>
                </c:pt>
              </c:numCache>
            </c:numRef>
          </c:xVal>
          <c:yVal>
            <c:numRef>
              <c:f>'T1'!$E$21:$E$31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3.125</c:v>
                </c:pt>
                <c:pt idx="3">
                  <c:v>9.375</c:v>
                </c:pt>
                <c:pt idx="4">
                  <c:v>12.5</c:v>
                </c:pt>
                <c:pt idx="5">
                  <c:v>15.625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28.125</c:v>
                </c:pt>
                <c:pt idx="10">
                  <c:v>34.375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881824"/>
        <c:axId val="214882216"/>
      </c:scatterChart>
      <c:valAx>
        <c:axId val="214881824"/>
        <c:scaling>
          <c:orientation val="minMax"/>
          <c:max val="4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Days</a:t>
                </a:r>
                <a:r>
                  <a:rPr lang="en-US" sz="1100" baseline="0"/>
                  <a:t> after establishment</a:t>
                </a:r>
                <a:endParaRPr lang="en-US" sz="11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100" b="0"/>
            </a:pPr>
            <a:endParaRPr lang="es-MX"/>
          </a:p>
        </c:txPr>
        <c:crossAx val="214882216"/>
        <c:crosses val="autoZero"/>
        <c:crossBetween val="midCat"/>
        <c:majorUnit val="5"/>
        <c:minorUnit val="2"/>
      </c:valAx>
      <c:valAx>
        <c:axId val="214882216"/>
        <c:scaling>
          <c:orientation val="minMax"/>
          <c:max val="10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100" b="0"/>
                </a:pPr>
                <a:r>
                  <a:rPr lang="en-US" sz="1100" b="0"/>
                  <a:t>Mortality 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100" b="0"/>
            </a:pPr>
            <a:endParaRPr lang="es-MX"/>
          </a:p>
        </c:txPr>
        <c:crossAx val="214881824"/>
        <c:crosses val="autoZero"/>
        <c:crossBetween val="midCat"/>
        <c:majorUnit val="20"/>
      </c:valAx>
    </c:plotArea>
    <c:legend>
      <c:legendPos val="r"/>
      <c:layout>
        <c:manualLayout>
          <c:xMode val="edge"/>
          <c:yMode val="edge"/>
          <c:x val="0.12178835017829295"/>
          <c:y val="1.7133024040715917E-2"/>
          <c:w val="0.80816128753136618"/>
          <c:h val="0.1615308237905409"/>
        </c:manualLayout>
      </c:layout>
      <c:overlay val="0"/>
      <c:txPr>
        <a:bodyPr/>
        <a:lstStyle/>
        <a:p>
          <a:pPr>
            <a:defRPr sz="1100"/>
          </a:pPr>
          <a:endParaRPr lang="es-MX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200" b="1">
          <a:latin typeface="Times New Roman" pitchFamily="18" charset="0"/>
          <a:cs typeface="Times New Roman" pitchFamily="18" charset="0"/>
        </a:defRPr>
      </a:pPr>
      <a:endParaRPr lang="es-MX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3CE04-3340-49F4-A3FA-77CA15F57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 Gope</cp:lastModifiedBy>
  <cp:revision>2</cp:revision>
  <dcterms:created xsi:type="dcterms:W3CDTF">2014-02-19T14:29:00Z</dcterms:created>
  <dcterms:modified xsi:type="dcterms:W3CDTF">2014-03-31T21:18:00Z</dcterms:modified>
</cp:coreProperties>
</file>