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9C6" w:rsidRPr="007847FC" w:rsidRDefault="00AC2417" w:rsidP="00221086">
      <w:pPr>
        <w:spacing w:line="480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MEDIUM-TERM CONSERVATION OF </w:t>
      </w:r>
      <w:r w:rsidR="00590791">
        <w:rPr>
          <w:b/>
          <w:sz w:val="28"/>
          <w:szCs w:val="28"/>
          <w:lang w:val="en-GB"/>
        </w:rPr>
        <w:t xml:space="preserve">THYME </w:t>
      </w:r>
      <w:r w:rsidR="00404733">
        <w:rPr>
          <w:b/>
          <w:sz w:val="28"/>
          <w:szCs w:val="28"/>
          <w:lang w:val="en-GB"/>
        </w:rPr>
        <w:t xml:space="preserve">SHOOT CULTURES BY </w:t>
      </w:r>
      <w:r w:rsidR="00AB3F9F" w:rsidRPr="00404733">
        <w:rPr>
          <w:b/>
          <w:i/>
          <w:sz w:val="28"/>
          <w:szCs w:val="28"/>
          <w:lang w:val="en-GB"/>
        </w:rPr>
        <w:t>IN</w:t>
      </w:r>
      <w:r w:rsidR="00AB3F9F">
        <w:rPr>
          <w:b/>
          <w:sz w:val="28"/>
          <w:szCs w:val="28"/>
          <w:lang w:val="en-GB"/>
        </w:rPr>
        <w:t xml:space="preserve"> </w:t>
      </w:r>
      <w:r w:rsidR="00AB3F9F" w:rsidRPr="00404733">
        <w:rPr>
          <w:b/>
          <w:i/>
          <w:sz w:val="28"/>
          <w:szCs w:val="28"/>
          <w:lang w:val="en-GB"/>
        </w:rPr>
        <w:t xml:space="preserve">VITRO </w:t>
      </w:r>
      <w:r>
        <w:rPr>
          <w:b/>
          <w:sz w:val="28"/>
          <w:szCs w:val="28"/>
          <w:lang w:val="en-GB"/>
        </w:rPr>
        <w:t>SLOW GROWTH STORAGE</w:t>
      </w:r>
    </w:p>
    <w:p w:rsidR="005D13D6" w:rsidRDefault="005D13D6" w:rsidP="00221086">
      <w:pPr>
        <w:spacing w:line="480" w:lineRule="auto"/>
        <w:jc w:val="center"/>
        <w:rPr>
          <w:b/>
          <w:lang w:val="en-GB"/>
        </w:rPr>
      </w:pPr>
    </w:p>
    <w:p w:rsidR="00647192" w:rsidRPr="00221086" w:rsidRDefault="00647192" w:rsidP="00221086">
      <w:pPr>
        <w:spacing w:line="480" w:lineRule="auto"/>
        <w:jc w:val="center"/>
        <w:rPr>
          <w:b/>
          <w:lang w:val="en-GB"/>
        </w:rPr>
      </w:pPr>
      <w:r w:rsidRPr="00221086">
        <w:rPr>
          <w:b/>
          <w:lang w:val="en-GB"/>
        </w:rPr>
        <w:t>Elif Aylin Ozudogru*</w:t>
      </w:r>
      <w:r w:rsidR="00E369F5" w:rsidRPr="00221086">
        <w:rPr>
          <w:b/>
          <w:lang w:val="en-GB"/>
        </w:rPr>
        <w:t>, Ergun Kaya</w:t>
      </w:r>
    </w:p>
    <w:p w:rsidR="005D13D6" w:rsidRDefault="005D13D6" w:rsidP="00221086">
      <w:pPr>
        <w:spacing w:line="480" w:lineRule="auto"/>
        <w:jc w:val="center"/>
        <w:rPr>
          <w:lang w:val="en-GB"/>
        </w:rPr>
      </w:pPr>
    </w:p>
    <w:p w:rsidR="00221086" w:rsidRDefault="007B5B8A" w:rsidP="00221086">
      <w:pPr>
        <w:spacing w:line="480" w:lineRule="auto"/>
        <w:jc w:val="center"/>
        <w:rPr>
          <w:lang w:val="en-GB"/>
        </w:rPr>
      </w:pPr>
      <w:r w:rsidRPr="007B5B8A">
        <w:rPr>
          <w:lang w:val="en-GB"/>
        </w:rPr>
        <w:t xml:space="preserve">Gebze Institute of Technology, Faculty of Science, Department of Molecular Biology and Genetics, </w:t>
      </w:r>
      <w:smartTag w:uri="urn:schemas-microsoft-com:office:smarttags" w:element="City">
        <w:smartTag w:uri="urn:schemas-microsoft-com:office:smarttags" w:element="place">
          <w:r w:rsidRPr="007B5B8A">
            <w:rPr>
              <w:lang w:val="en-GB"/>
            </w:rPr>
            <w:t>Istanbul</w:t>
          </w:r>
        </w:smartTag>
      </w:smartTag>
      <w:r w:rsidRPr="007B5B8A">
        <w:rPr>
          <w:lang w:val="en-GB"/>
        </w:rPr>
        <w:t xml:space="preserve"> caddesi, N° 101, 41400, Gebze, </w:t>
      </w:r>
      <w:smartTag w:uri="urn:schemas-microsoft-com:office:smarttags" w:element="place">
        <w:smartTag w:uri="urn:schemas-microsoft-com:office:smarttags" w:element="City">
          <w:r w:rsidRPr="007B5B8A">
            <w:rPr>
              <w:lang w:val="en-GB"/>
            </w:rPr>
            <w:t>Kocaeli</w:t>
          </w:r>
        </w:smartTag>
        <w:r w:rsidRPr="007B5B8A">
          <w:rPr>
            <w:lang w:val="en-GB"/>
          </w:rPr>
          <w:t xml:space="preserve">, </w:t>
        </w:r>
        <w:smartTag w:uri="urn:schemas-microsoft-com:office:smarttags" w:element="country-region">
          <w:r w:rsidRPr="007B5B8A">
            <w:rPr>
              <w:lang w:val="en-GB"/>
            </w:rPr>
            <w:t>Turkey</w:t>
          </w:r>
        </w:smartTag>
      </w:smartTag>
      <w:r w:rsidR="00221086">
        <w:rPr>
          <w:lang w:val="en-GB"/>
        </w:rPr>
        <w:t xml:space="preserve"> </w:t>
      </w:r>
    </w:p>
    <w:p w:rsidR="007B5B8A" w:rsidRPr="00E0481C" w:rsidRDefault="00647192" w:rsidP="00221086">
      <w:pPr>
        <w:spacing w:line="480" w:lineRule="auto"/>
        <w:jc w:val="center"/>
        <w:rPr>
          <w:lang w:val="en-GB"/>
        </w:rPr>
      </w:pPr>
      <w:r w:rsidRPr="00E0481C">
        <w:rPr>
          <w:lang w:val="en-GB"/>
        </w:rPr>
        <w:t>*Fax: 0090 262 605 25 02</w:t>
      </w:r>
      <w:r w:rsidR="00221086" w:rsidRPr="00E0481C">
        <w:rPr>
          <w:lang w:val="en-GB"/>
        </w:rPr>
        <w:t>, *</w:t>
      </w:r>
      <w:r w:rsidRPr="00E0481C">
        <w:rPr>
          <w:lang w:val="en-GB"/>
        </w:rPr>
        <w:t>E-mail:</w:t>
      </w:r>
      <w:r w:rsidR="00E0481C" w:rsidRPr="00E0481C">
        <w:rPr>
          <w:lang w:val="en-GB"/>
        </w:rPr>
        <w:t xml:space="preserve"> </w:t>
      </w:r>
      <w:hyperlink r:id="rId7" w:history="1">
        <w:r w:rsidR="00E0481C" w:rsidRPr="00E0481C">
          <w:rPr>
            <w:rStyle w:val="Hyperlink"/>
            <w:color w:val="auto"/>
            <w:u w:val="none"/>
            <w:lang w:val="en-GB"/>
          </w:rPr>
          <w:t>elifaylinozudogru@yahoo.it</w:t>
        </w:r>
      </w:hyperlink>
      <w:r w:rsidR="00E0481C" w:rsidRPr="00E0481C">
        <w:rPr>
          <w:lang w:val="en-GB"/>
        </w:rPr>
        <w:t xml:space="preserve">, </w:t>
      </w:r>
      <w:hyperlink r:id="rId8" w:history="1">
        <w:r w:rsidR="00E0481C" w:rsidRPr="00E0481C">
          <w:rPr>
            <w:rStyle w:val="Hyperlink"/>
            <w:color w:val="auto"/>
            <w:u w:val="none"/>
            <w:lang w:val="en-GB"/>
          </w:rPr>
          <w:t>elif@gyte.edu.tr</w:t>
        </w:r>
      </w:hyperlink>
    </w:p>
    <w:p w:rsidR="007B5B8A" w:rsidRPr="009A4EF1" w:rsidRDefault="007B5B8A" w:rsidP="00AC2417">
      <w:pPr>
        <w:spacing w:line="480" w:lineRule="auto"/>
        <w:jc w:val="both"/>
        <w:rPr>
          <w:lang w:val="en-GB"/>
        </w:rPr>
      </w:pPr>
    </w:p>
    <w:p w:rsidR="003A1B0D" w:rsidRDefault="007847FC" w:rsidP="003A1B0D">
      <w:pPr>
        <w:autoSpaceDE w:val="0"/>
        <w:autoSpaceDN w:val="0"/>
        <w:adjustRightInd w:val="0"/>
        <w:spacing w:before="40" w:line="480" w:lineRule="auto"/>
        <w:jc w:val="center"/>
        <w:rPr>
          <w:b/>
          <w:lang w:val="en-GB"/>
        </w:rPr>
      </w:pPr>
      <w:r w:rsidRPr="00E3020A">
        <w:rPr>
          <w:b/>
          <w:lang w:val="en-GB"/>
        </w:rPr>
        <w:t>Abstract</w:t>
      </w:r>
    </w:p>
    <w:p w:rsidR="000E7181" w:rsidRPr="000E7181" w:rsidRDefault="00E64D57" w:rsidP="00E3020A">
      <w:pPr>
        <w:autoSpaceDE w:val="0"/>
        <w:autoSpaceDN w:val="0"/>
        <w:adjustRightInd w:val="0"/>
        <w:spacing w:line="480" w:lineRule="auto"/>
        <w:jc w:val="both"/>
        <w:rPr>
          <w:rFonts w:eastAsia="AdvGulliv-R"/>
          <w:lang w:val="en-GB"/>
        </w:rPr>
      </w:pPr>
      <w:r>
        <w:rPr>
          <w:lang w:val="en-GB"/>
        </w:rPr>
        <w:t>Thyme (</w:t>
      </w:r>
      <w:r w:rsidRPr="00590791">
        <w:rPr>
          <w:i/>
          <w:lang w:val="en-GB"/>
        </w:rPr>
        <w:t>Thymus vulgaris</w:t>
      </w:r>
      <w:r>
        <w:rPr>
          <w:lang w:val="en-GB"/>
        </w:rPr>
        <w:t xml:space="preserve"> L.) is an important aromatic and medicinal plant of the Lamiaceae family. It is native to Mediterranean region, but is cultivated worldwide both as a landscape plant, and as a natural source of fresh and dried herbs and essential oils. Thyme essential oils are used extensively for medicinal, culinary and industrial</w:t>
      </w:r>
      <w:r w:rsidR="00593FD0">
        <w:rPr>
          <w:iCs/>
          <w:lang w:val="en-GB"/>
        </w:rPr>
        <w:t xml:space="preserve"> </w:t>
      </w:r>
      <w:r>
        <w:rPr>
          <w:lang w:val="en-GB"/>
        </w:rPr>
        <w:t>purposes.</w:t>
      </w:r>
      <w:r w:rsidR="00593FD0">
        <w:rPr>
          <w:lang w:val="en-GB"/>
        </w:rPr>
        <w:t xml:space="preserve"> This makes thyme a unique natural source of products, highly appreciated by the society. However</w:t>
      </w:r>
      <w:r w:rsidR="0058268B">
        <w:rPr>
          <w:lang w:val="en-GB"/>
        </w:rPr>
        <w:t>,</w:t>
      </w:r>
      <w:r w:rsidR="00593FD0">
        <w:rPr>
          <w:lang w:val="en-GB"/>
        </w:rPr>
        <w:t xml:space="preserve"> this growing demand and</w:t>
      </w:r>
      <w:r w:rsidR="0058268B">
        <w:rPr>
          <w:lang w:val="en-GB"/>
        </w:rPr>
        <w:t>,</w:t>
      </w:r>
      <w:r w:rsidR="00593FD0">
        <w:rPr>
          <w:lang w:val="en-GB"/>
        </w:rPr>
        <w:t xml:space="preserve"> </w:t>
      </w:r>
      <w:r w:rsidR="00765A9D">
        <w:rPr>
          <w:lang w:val="en-GB"/>
        </w:rPr>
        <w:t>as a consequence</w:t>
      </w:r>
      <w:r w:rsidR="0058268B">
        <w:rPr>
          <w:lang w:val="en-GB"/>
        </w:rPr>
        <w:t>,</w:t>
      </w:r>
      <w:r w:rsidR="00765A9D">
        <w:rPr>
          <w:lang w:val="en-GB"/>
        </w:rPr>
        <w:t xml:space="preserve"> </w:t>
      </w:r>
      <w:r w:rsidR="00593FD0">
        <w:rPr>
          <w:lang w:val="en-GB"/>
        </w:rPr>
        <w:t xml:space="preserve">uncontrolled harvesting </w:t>
      </w:r>
      <w:r w:rsidR="00765A9D">
        <w:rPr>
          <w:lang w:val="en-GB"/>
        </w:rPr>
        <w:t>of</w:t>
      </w:r>
      <w:r w:rsidR="0058268B">
        <w:rPr>
          <w:lang w:val="en-GB"/>
        </w:rPr>
        <w:t xml:space="preserve"> </w:t>
      </w:r>
      <w:r w:rsidR="00AB3F9F">
        <w:rPr>
          <w:lang w:val="en-GB"/>
        </w:rPr>
        <w:t xml:space="preserve">natural </w:t>
      </w:r>
      <w:r w:rsidR="00E92D35">
        <w:rPr>
          <w:lang w:val="en-GB"/>
        </w:rPr>
        <w:t>plant</w:t>
      </w:r>
      <w:r w:rsidR="0058268B">
        <w:rPr>
          <w:lang w:val="en-GB"/>
        </w:rPr>
        <w:t>s</w:t>
      </w:r>
      <w:r w:rsidR="00765A9D">
        <w:rPr>
          <w:lang w:val="en-GB"/>
        </w:rPr>
        <w:t xml:space="preserve"> lead</w:t>
      </w:r>
      <w:r w:rsidR="00593FD0">
        <w:rPr>
          <w:lang w:val="en-GB"/>
        </w:rPr>
        <w:t xml:space="preserve"> to the disturbance or even loss of natural thyme populations. </w:t>
      </w:r>
      <w:r w:rsidR="00E92D35">
        <w:rPr>
          <w:lang w:val="en-GB"/>
        </w:rPr>
        <w:t xml:space="preserve">Besides, </w:t>
      </w:r>
      <w:r w:rsidR="00E92D35">
        <w:rPr>
          <w:iCs/>
          <w:lang w:val="en-GB"/>
        </w:rPr>
        <w:t xml:space="preserve">natural populations are usually heterogeneous, and this affects the homogeneity of oil yield and its chemical </w:t>
      </w:r>
      <w:r w:rsidR="00E92D35" w:rsidRPr="00047E9C">
        <w:rPr>
          <w:iCs/>
          <w:lang w:val="en-GB"/>
        </w:rPr>
        <w:t>composition</w:t>
      </w:r>
      <w:r w:rsidR="00E92D35">
        <w:rPr>
          <w:iCs/>
          <w:lang w:val="en-GB"/>
        </w:rPr>
        <w:t xml:space="preserve">. </w:t>
      </w:r>
      <w:r w:rsidR="00E3020A">
        <w:rPr>
          <w:iCs/>
          <w:lang w:val="en-GB"/>
        </w:rPr>
        <w:t xml:space="preserve">Today, advanced biotechnological applications provide a unique alternative for propagation and conservation of such valuable germplasm. For instance, </w:t>
      </w:r>
      <w:r w:rsidR="00E3020A" w:rsidRPr="00770DAA">
        <w:rPr>
          <w:i/>
          <w:iCs/>
          <w:lang w:val="en-GB"/>
        </w:rPr>
        <w:t>in vitro</w:t>
      </w:r>
      <w:r w:rsidR="00E3020A">
        <w:rPr>
          <w:iCs/>
          <w:lang w:val="en-GB"/>
        </w:rPr>
        <w:t xml:space="preserve"> clonal shoot lines of selected thyme chemotypes can be established by plant tissue culture methods and maintained </w:t>
      </w:r>
      <w:r w:rsidR="00E3020A" w:rsidRPr="00A1585B">
        <w:rPr>
          <w:i/>
          <w:iCs/>
          <w:lang w:val="en-GB"/>
        </w:rPr>
        <w:t>in vitro</w:t>
      </w:r>
      <w:r w:rsidR="00E3020A">
        <w:rPr>
          <w:iCs/>
          <w:lang w:val="en-GB"/>
        </w:rPr>
        <w:t xml:space="preserve"> for several years or even more by using slow growth storage (</w:t>
      </w:r>
      <w:r w:rsidR="00A1585B">
        <w:rPr>
          <w:iCs/>
          <w:lang w:val="en-GB"/>
        </w:rPr>
        <w:t>‘</w:t>
      </w:r>
      <w:r w:rsidR="00DF7DD8">
        <w:rPr>
          <w:iCs/>
          <w:lang w:val="en-GB"/>
        </w:rPr>
        <w:t>medium-</w:t>
      </w:r>
      <w:r w:rsidR="00E3020A">
        <w:rPr>
          <w:iCs/>
          <w:lang w:val="en-GB"/>
        </w:rPr>
        <w:t>term conservation</w:t>
      </w:r>
      <w:r w:rsidR="00A1585B">
        <w:rPr>
          <w:iCs/>
          <w:lang w:val="en-GB"/>
        </w:rPr>
        <w:t>’</w:t>
      </w:r>
      <w:r w:rsidR="00E3020A">
        <w:rPr>
          <w:iCs/>
          <w:lang w:val="en-GB"/>
        </w:rPr>
        <w:t>) and cryopreservation (</w:t>
      </w:r>
      <w:r w:rsidR="00A1585B">
        <w:rPr>
          <w:iCs/>
          <w:lang w:val="en-GB"/>
        </w:rPr>
        <w:t>‘</w:t>
      </w:r>
      <w:r w:rsidR="00DF7DD8">
        <w:rPr>
          <w:iCs/>
          <w:lang w:val="en-GB"/>
        </w:rPr>
        <w:t>long-</w:t>
      </w:r>
      <w:r w:rsidR="00E3020A">
        <w:rPr>
          <w:iCs/>
          <w:lang w:val="en-GB"/>
        </w:rPr>
        <w:t>term conservation</w:t>
      </w:r>
      <w:r w:rsidR="00A1585B">
        <w:rPr>
          <w:iCs/>
          <w:lang w:val="en-GB"/>
        </w:rPr>
        <w:t>’</w:t>
      </w:r>
      <w:r w:rsidR="00E3020A">
        <w:rPr>
          <w:iCs/>
          <w:lang w:val="en-GB"/>
        </w:rPr>
        <w:t xml:space="preserve">) techniques. </w:t>
      </w:r>
      <w:r w:rsidR="00007A21">
        <w:rPr>
          <w:rFonts w:eastAsia="AdvGulliv-R"/>
          <w:lang w:val="en-GB"/>
        </w:rPr>
        <w:t>The p</w:t>
      </w:r>
      <w:r w:rsidR="00E055BA" w:rsidRPr="00E055BA">
        <w:rPr>
          <w:rFonts w:eastAsia="AdvGulliv-R"/>
          <w:lang w:val="en-GB"/>
        </w:rPr>
        <w:t xml:space="preserve">resent study is focused on development of </w:t>
      </w:r>
      <w:r w:rsidR="00DF7DD8">
        <w:rPr>
          <w:rFonts w:eastAsia="AdvGulliv-R"/>
          <w:lang w:val="en-GB"/>
        </w:rPr>
        <w:t>efficient medium-</w:t>
      </w:r>
      <w:r w:rsidR="00E3020A">
        <w:rPr>
          <w:rFonts w:eastAsia="AdvGulliv-R"/>
          <w:lang w:val="en-GB"/>
        </w:rPr>
        <w:t xml:space="preserve">term conservation approach </w:t>
      </w:r>
      <w:r w:rsidR="00E055BA" w:rsidRPr="00E055BA">
        <w:rPr>
          <w:rFonts w:eastAsia="AdvGulliv-R"/>
          <w:lang w:val="en-GB"/>
        </w:rPr>
        <w:t>for</w:t>
      </w:r>
      <w:r w:rsidR="00C71EE4">
        <w:rPr>
          <w:rFonts w:eastAsia="AdvGulliv-R"/>
          <w:lang w:val="en-GB"/>
        </w:rPr>
        <w:t xml:space="preserve"> </w:t>
      </w:r>
      <w:r w:rsidR="00C71EE4" w:rsidRPr="00C71EE4">
        <w:rPr>
          <w:rFonts w:eastAsia="AdvGulliv-R"/>
          <w:i/>
          <w:lang w:val="en-GB"/>
        </w:rPr>
        <w:t xml:space="preserve">in vitro </w:t>
      </w:r>
      <w:r w:rsidR="00C71EE4">
        <w:rPr>
          <w:rFonts w:eastAsia="AdvGulliv-R"/>
          <w:lang w:val="en-GB"/>
        </w:rPr>
        <w:t>shoot cultures of</w:t>
      </w:r>
      <w:r w:rsidR="00E055BA" w:rsidRPr="00E055BA">
        <w:rPr>
          <w:rFonts w:eastAsia="AdvGulliv-R"/>
          <w:lang w:val="en-GB"/>
        </w:rPr>
        <w:t xml:space="preserve"> </w:t>
      </w:r>
      <w:r w:rsidR="00E055BA" w:rsidRPr="00E055BA">
        <w:rPr>
          <w:rFonts w:eastAsia="AdvGulliv-R"/>
          <w:i/>
          <w:lang w:val="en-GB"/>
        </w:rPr>
        <w:t>T</w:t>
      </w:r>
      <w:r w:rsidR="00F1136B">
        <w:rPr>
          <w:rFonts w:eastAsia="AdvGulliv-R"/>
          <w:i/>
          <w:lang w:val="en-GB"/>
        </w:rPr>
        <w:t xml:space="preserve">. vulgaris </w:t>
      </w:r>
      <w:r w:rsidR="00F1136B">
        <w:rPr>
          <w:rFonts w:eastAsia="AdvGulliv-R"/>
          <w:lang w:val="en-GB"/>
        </w:rPr>
        <w:t>L</w:t>
      </w:r>
      <w:r w:rsidR="00E055BA">
        <w:rPr>
          <w:rFonts w:eastAsia="AdvGulliv-R"/>
          <w:lang w:val="en-GB"/>
        </w:rPr>
        <w:t>.</w:t>
      </w:r>
      <w:r w:rsidR="000E7181">
        <w:rPr>
          <w:rFonts w:eastAsia="AdvGulliv-R"/>
          <w:lang w:val="en-GB"/>
        </w:rPr>
        <w:t xml:space="preserve"> </w:t>
      </w:r>
      <w:r w:rsidR="000E7181" w:rsidRPr="000E7181">
        <w:rPr>
          <w:lang w:val="en-GB"/>
        </w:rPr>
        <w:t xml:space="preserve">When shoots were </w:t>
      </w:r>
      <w:r w:rsidR="000E7181">
        <w:rPr>
          <w:lang w:val="en-GB"/>
        </w:rPr>
        <w:t>transferred to glass jars,</w:t>
      </w:r>
      <w:r w:rsidR="000E7181" w:rsidRPr="000E7181">
        <w:rPr>
          <w:lang w:val="en-GB"/>
        </w:rPr>
        <w:t xml:space="preserve"> on semi-solid MS </w:t>
      </w:r>
      <w:r w:rsidR="000E7181" w:rsidRPr="000E7181">
        <w:rPr>
          <w:lang w:val="en-GB"/>
        </w:rPr>
        <w:lastRenderedPageBreak/>
        <w:t>medium supplemented with 1 mg l</w:t>
      </w:r>
      <w:r w:rsidR="000E7181" w:rsidRPr="000E7181">
        <w:rPr>
          <w:vertAlign w:val="superscript"/>
          <w:lang w:val="en-GB"/>
        </w:rPr>
        <w:t>-1</w:t>
      </w:r>
      <w:r w:rsidR="000E7181" w:rsidRPr="000E7181">
        <w:rPr>
          <w:lang w:val="en-GB"/>
        </w:rPr>
        <w:t xml:space="preserve"> kinetin and 0.3 mg l</w:t>
      </w:r>
      <w:r w:rsidR="000E7181" w:rsidRPr="000E7181">
        <w:rPr>
          <w:vertAlign w:val="superscript"/>
          <w:lang w:val="en-GB"/>
        </w:rPr>
        <w:t>-1</w:t>
      </w:r>
      <w:r w:rsidR="000E7181" w:rsidRPr="000E7181">
        <w:rPr>
          <w:lang w:val="en-GB"/>
        </w:rPr>
        <w:t xml:space="preserve"> GA</w:t>
      </w:r>
      <w:r w:rsidR="000E7181" w:rsidRPr="000E7181">
        <w:rPr>
          <w:vertAlign w:val="subscript"/>
          <w:lang w:val="en-GB"/>
        </w:rPr>
        <w:t>3</w:t>
      </w:r>
      <w:r w:rsidR="000E7181" w:rsidRPr="000E7181">
        <w:rPr>
          <w:lang w:val="en-GB"/>
        </w:rPr>
        <w:t>, and stored at 4°C in darkness, maximum storage period was 12 months. Indeed, shoot</w:t>
      </w:r>
      <w:r w:rsidR="000E7181">
        <w:rPr>
          <w:lang w:val="en-GB"/>
        </w:rPr>
        <w:t xml:space="preserve"> tips coming from this material</w:t>
      </w:r>
      <w:r w:rsidR="000E7181" w:rsidRPr="000E7181">
        <w:rPr>
          <w:lang w:val="en-GB"/>
        </w:rPr>
        <w:t xml:space="preserve"> showed a good regrowth potential which allowed a fast re-stablishment of shoot cultures in post-conservation. Medium/tissue browning and shoot etiolation were observed, especially starting from 6 months of cold storage. However, shoot etiolation never compromised the </w:t>
      </w:r>
      <w:r w:rsidR="000E7181">
        <w:rPr>
          <w:lang w:val="en-GB"/>
        </w:rPr>
        <w:t>regrowth of excised shoot tips</w:t>
      </w:r>
      <w:r w:rsidR="000E7181" w:rsidRPr="000E7181">
        <w:rPr>
          <w:lang w:val="en-GB"/>
        </w:rPr>
        <w:t xml:space="preserve"> when they were moved to standard culture conditions.</w:t>
      </w:r>
    </w:p>
    <w:p w:rsidR="00F1136B" w:rsidRDefault="00F1136B" w:rsidP="00E3020A">
      <w:pPr>
        <w:autoSpaceDE w:val="0"/>
        <w:autoSpaceDN w:val="0"/>
        <w:adjustRightInd w:val="0"/>
        <w:spacing w:before="40" w:line="480" w:lineRule="auto"/>
        <w:jc w:val="both"/>
        <w:rPr>
          <w:b/>
          <w:lang w:val="en-GB"/>
        </w:rPr>
      </w:pPr>
    </w:p>
    <w:p w:rsidR="007847FC" w:rsidRDefault="007847FC" w:rsidP="00AC2417">
      <w:pPr>
        <w:spacing w:line="480" w:lineRule="auto"/>
        <w:jc w:val="both"/>
        <w:rPr>
          <w:lang w:val="en-GB"/>
        </w:rPr>
      </w:pPr>
      <w:r w:rsidRPr="007847FC">
        <w:rPr>
          <w:b/>
          <w:lang w:val="en-GB"/>
        </w:rPr>
        <w:t>Key</w:t>
      </w:r>
      <w:r w:rsidR="00221086">
        <w:rPr>
          <w:b/>
          <w:lang w:val="en-GB"/>
        </w:rPr>
        <w:t xml:space="preserve"> </w:t>
      </w:r>
      <w:r w:rsidRPr="007847FC">
        <w:rPr>
          <w:b/>
          <w:lang w:val="en-GB"/>
        </w:rPr>
        <w:t>words</w:t>
      </w:r>
      <w:r w:rsidRPr="007847FC">
        <w:rPr>
          <w:lang w:val="en-GB"/>
        </w:rPr>
        <w:t xml:space="preserve"> </w:t>
      </w:r>
      <w:r w:rsidR="00760020">
        <w:rPr>
          <w:lang w:val="en-GB"/>
        </w:rPr>
        <w:t>cold storage,</w:t>
      </w:r>
      <w:r w:rsidRPr="007847FC">
        <w:rPr>
          <w:lang w:val="en-GB"/>
        </w:rPr>
        <w:t xml:space="preserve"> </w:t>
      </w:r>
      <w:r w:rsidR="00E369F5" w:rsidRPr="00E369F5">
        <w:rPr>
          <w:i/>
          <w:lang w:val="en-GB"/>
        </w:rPr>
        <w:t>in vitro</w:t>
      </w:r>
      <w:r w:rsidR="00E369F5">
        <w:rPr>
          <w:lang w:val="en-GB"/>
        </w:rPr>
        <w:t xml:space="preserve"> conservation, medium-term </w:t>
      </w:r>
      <w:r w:rsidR="00AC2417">
        <w:rPr>
          <w:lang w:val="en-GB"/>
        </w:rPr>
        <w:t>conservation</w:t>
      </w:r>
      <w:r w:rsidRPr="007847FC">
        <w:rPr>
          <w:lang w:val="en-GB"/>
        </w:rPr>
        <w:t>,</w:t>
      </w:r>
      <w:r w:rsidR="00404733">
        <w:rPr>
          <w:lang w:val="en-GB"/>
        </w:rPr>
        <w:t xml:space="preserve"> </w:t>
      </w:r>
      <w:r w:rsidR="00590791" w:rsidRPr="00590791">
        <w:rPr>
          <w:i/>
          <w:lang w:val="en-GB"/>
        </w:rPr>
        <w:t>T</w:t>
      </w:r>
      <w:r w:rsidR="00404733" w:rsidRPr="00590791">
        <w:rPr>
          <w:i/>
          <w:lang w:val="en-GB"/>
        </w:rPr>
        <w:t>hym</w:t>
      </w:r>
      <w:r w:rsidR="00590791" w:rsidRPr="00590791">
        <w:rPr>
          <w:i/>
          <w:lang w:val="en-GB"/>
        </w:rPr>
        <w:t>us vulgaris</w:t>
      </w:r>
      <w:r w:rsidR="00590791">
        <w:rPr>
          <w:lang w:val="en-GB"/>
        </w:rPr>
        <w:t xml:space="preserve"> L.</w:t>
      </w:r>
      <w:r w:rsidR="00AC2417">
        <w:rPr>
          <w:lang w:val="en-GB"/>
        </w:rPr>
        <w:t xml:space="preserve"> </w:t>
      </w:r>
      <w:r w:rsidRPr="007847FC">
        <w:rPr>
          <w:lang w:val="en-GB"/>
        </w:rPr>
        <w:t xml:space="preserve"> </w:t>
      </w:r>
    </w:p>
    <w:p w:rsidR="007847FC" w:rsidRDefault="00404733" w:rsidP="00AC2417">
      <w:pPr>
        <w:spacing w:line="480" w:lineRule="auto"/>
        <w:jc w:val="both"/>
        <w:rPr>
          <w:lang w:val="en-GB"/>
        </w:rPr>
      </w:pPr>
      <w:r w:rsidRPr="00404733">
        <w:rPr>
          <w:b/>
          <w:lang w:val="en-GB"/>
        </w:rPr>
        <w:t xml:space="preserve">Running </w:t>
      </w:r>
      <w:r w:rsidR="00221086">
        <w:rPr>
          <w:b/>
          <w:lang w:val="en-GB"/>
        </w:rPr>
        <w:t>title</w:t>
      </w:r>
      <w:r w:rsidRPr="00404733">
        <w:rPr>
          <w:b/>
          <w:lang w:val="en-GB"/>
        </w:rPr>
        <w:t>:</w:t>
      </w:r>
      <w:r>
        <w:rPr>
          <w:lang w:val="en-GB"/>
        </w:rPr>
        <w:t xml:space="preserve"> Medium-term conservation of thyme</w:t>
      </w:r>
    </w:p>
    <w:p w:rsidR="00E3020A" w:rsidRDefault="00E3020A" w:rsidP="00AC2417">
      <w:pPr>
        <w:spacing w:line="480" w:lineRule="auto"/>
        <w:jc w:val="both"/>
        <w:rPr>
          <w:b/>
          <w:lang w:val="en-GB"/>
        </w:rPr>
      </w:pPr>
    </w:p>
    <w:p w:rsidR="001B257C" w:rsidRPr="00E746CA" w:rsidRDefault="003A1B0D" w:rsidP="00AC2417">
      <w:pPr>
        <w:spacing w:line="480" w:lineRule="auto"/>
        <w:jc w:val="both"/>
        <w:rPr>
          <w:b/>
          <w:lang w:val="en-GB"/>
        </w:rPr>
      </w:pPr>
      <w:r w:rsidRPr="00E746CA">
        <w:rPr>
          <w:b/>
          <w:lang w:val="en-GB"/>
        </w:rPr>
        <w:t>INTRODUCTION</w:t>
      </w:r>
      <w:r w:rsidR="00D54328">
        <w:rPr>
          <w:b/>
          <w:lang w:val="en-GB"/>
        </w:rPr>
        <w:t xml:space="preserve">   </w:t>
      </w:r>
    </w:p>
    <w:p w:rsidR="006B347F" w:rsidRDefault="00590791" w:rsidP="00C213C4">
      <w:pPr>
        <w:autoSpaceDE w:val="0"/>
        <w:autoSpaceDN w:val="0"/>
        <w:adjustRightInd w:val="0"/>
        <w:spacing w:line="480" w:lineRule="auto"/>
        <w:ind w:firstLine="709"/>
        <w:jc w:val="both"/>
        <w:rPr>
          <w:iCs/>
          <w:lang w:val="en-GB"/>
        </w:rPr>
      </w:pPr>
      <w:r>
        <w:rPr>
          <w:lang w:val="en-GB"/>
        </w:rPr>
        <w:t>Thyme (</w:t>
      </w:r>
      <w:r w:rsidRPr="00590791">
        <w:rPr>
          <w:i/>
          <w:lang w:val="en-GB"/>
        </w:rPr>
        <w:t>Thymus vulgaris</w:t>
      </w:r>
      <w:r>
        <w:rPr>
          <w:lang w:val="en-GB"/>
        </w:rPr>
        <w:t xml:space="preserve"> L.), also known as </w:t>
      </w:r>
      <w:r w:rsidR="004317D1">
        <w:rPr>
          <w:lang w:val="en-GB"/>
        </w:rPr>
        <w:t>‘</w:t>
      </w:r>
      <w:r>
        <w:rPr>
          <w:lang w:val="en-GB"/>
        </w:rPr>
        <w:t>common thyme</w:t>
      </w:r>
      <w:r w:rsidR="004317D1">
        <w:rPr>
          <w:lang w:val="en-GB"/>
        </w:rPr>
        <w:t>’</w:t>
      </w:r>
      <w:r>
        <w:rPr>
          <w:lang w:val="en-GB"/>
        </w:rPr>
        <w:t>, is a small (10-30 cm tall), aromatic and medicinal sub</w:t>
      </w:r>
      <w:r w:rsidR="004317D1">
        <w:rPr>
          <w:lang w:val="en-GB"/>
        </w:rPr>
        <w:t>-</w:t>
      </w:r>
      <w:r>
        <w:rPr>
          <w:lang w:val="en-GB"/>
        </w:rPr>
        <w:t xml:space="preserve">shrub of the Mediterranean region, belonging to Lamiaceae family </w:t>
      </w:r>
      <w:r w:rsidRPr="00832A13">
        <w:rPr>
          <w:iCs/>
          <w:lang w:val="en-GB"/>
        </w:rPr>
        <w:t>(</w:t>
      </w:r>
      <w:r w:rsidRPr="00832A13">
        <w:rPr>
          <w:lang w:val="en-GB"/>
        </w:rPr>
        <w:t>Loziene et al. 2007)</w:t>
      </w:r>
      <w:r>
        <w:rPr>
          <w:lang w:val="en-GB"/>
        </w:rPr>
        <w:t xml:space="preserve">. The </w:t>
      </w:r>
      <w:r w:rsidR="00CC3DC2">
        <w:rPr>
          <w:lang w:val="en-GB"/>
        </w:rPr>
        <w:t xml:space="preserve">typical </w:t>
      </w:r>
      <w:r>
        <w:rPr>
          <w:lang w:val="en-GB"/>
        </w:rPr>
        <w:t>aroma</w:t>
      </w:r>
      <w:r w:rsidR="00CC3DC2">
        <w:rPr>
          <w:lang w:val="en-GB"/>
        </w:rPr>
        <w:t xml:space="preserve"> of the plant</w:t>
      </w:r>
      <w:r>
        <w:rPr>
          <w:lang w:val="en-GB"/>
        </w:rPr>
        <w:t xml:space="preserve"> comes from essential oil glands in the leaves, calyces and corallas. </w:t>
      </w:r>
      <w:r w:rsidR="00CC3DC2">
        <w:rPr>
          <w:lang w:val="en-GB"/>
        </w:rPr>
        <w:t>Thyme bloo</w:t>
      </w:r>
      <w:r w:rsidR="00A710F8">
        <w:rPr>
          <w:lang w:val="en-GB"/>
        </w:rPr>
        <w:t xml:space="preserve">ms from March to July </w:t>
      </w:r>
      <w:r w:rsidR="004317D1">
        <w:rPr>
          <w:lang w:val="en-GB"/>
        </w:rPr>
        <w:t>(</w:t>
      </w:r>
      <w:r w:rsidR="00A710F8">
        <w:rPr>
          <w:lang w:val="en-GB"/>
        </w:rPr>
        <w:t xml:space="preserve">in </w:t>
      </w:r>
      <w:r w:rsidR="004317D1">
        <w:rPr>
          <w:lang w:val="en-GB"/>
        </w:rPr>
        <w:t xml:space="preserve">the Northern Hemisphere) </w:t>
      </w:r>
      <w:r w:rsidR="00A710F8">
        <w:rPr>
          <w:lang w:val="en-GB"/>
        </w:rPr>
        <w:t xml:space="preserve">dainty </w:t>
      </w:r>
      <w:r w:rsidR="00CC3DC2">
        <w:rPr>
          <w:lang w:val="en-GB"/>
        </w:rPr>
        <w:t>pink</w:t>
      </w:r>
      <w:r w:rsidR="00A710F8">
        <w:rPr>
          <w:lang w:val="en-GB"/>
        </w:rPr>
        <w:t xml:space="preserve">ish flowers, and thanks to </w:t>
      </w:r>
      <w:r w:rsidR="00D54328">
        <w:rPr>
          <w:lang w:val="en-GB"/>
        </w:rPr>
        <w:t xml:space="preserve">that </w:t>
      </w:r>
      <w:r w:rsidR="00D54328">
        <w:rPr>
          <w:iCs/>
          <w:lang w:val="en-GB"/>
        </w:rPr>
        <w:t>beautiful colour which covers the land during the summer months, as well to</w:t>
      </w:r>
      <w:r w:rsidR="00D54328">
        <w:rPr>
          <w:lang w:val="en-GB"/>
        </w:rPr>
        <w:t xml:space="preserve"> </w:t>
      </w:r>
      <w:r w:rsidR="00A710F8">
        <w:rPr>
          <w:lang w:val="en-GB"/>
        </w:rPr>
        <w:t>its low</w:t>
      </w:r>
      <w:r w:rsidR="00D54328">
        <w:rPr>
          <w:lang w:val="en-GB"/>
        </w:rPr>
        <w:t>-growing stature, it</w:t>
      </w:r>
      <w:r w:rsidR="00A710F8">
        <w:rPr>
          <w:iCs/>
          <w:lang w:val="en-GB"/>
        </w:rPr>
        <w:t xml:space="preserve"> </w:t>
      </w:r>
      <w:r w:rsidR="00A710F8">
        <w:rPr>
          <w:lang w:val="en-GB"/>
        </w:rPr>
        <w:t xml:space="preserve">is widely cultivated in gardens as landscape plants </w:t>
      </w:r>
      <w:r w:rsidRPr="002930E4">
        <w:rPr>
          <w:iCs/>
          <w:lang w:val="en-GB"/>
        </w:rPr>
        <w:t>(</w:t>
      </w:r>
      <w:r w:rsidR="00CC3DC2" w:rsidRPr="00047E9C">
        <w:rPr>
          <w:iCs/>
          <w:lang w:val="en-GB"/>
        </w:rPr>
        <w:t xml:space="preserve">Morales </w:t>
      </w:r>
      <w:r w:rsidR="00BE7FB2">
        <w:rPr>
          <w:iCs/>
          <w:lang w:val="en-GB"/>
        </w:rPr>
        <w:t>2002</w:t>
      </w:r>
      <w:r w:rsidR="00CC3DC2" w:rsidRPr="00047E9C">
        <w:rPr>
          <w:iCs/>
          <w:lang w:val="en-GB"/>
        </w:rPr>
        <w:t>,</w:t>
      </w:r>
      <w:r w:rsidR="00CC3DC2">
        <w:rPr>
          <w:iCs/>
          <w:lang w:val="en-GB"/>
        </w:rPr>
        <w:t xml:space="preserve"> </w:t>
      </w:r>
      <w:r w:rsidRPr="002930E4">
        <w:rPr>
          <w:iCs/>
          <w:lang w:val="en-GB"/>
        </w:rPr>
        <w:t>Lawrence and Tucker 2002</w:t>
      </w:r>
      <w:r>
        <w:rPr>
          <w:iCs/>
          <w:lang w:val="en-GB"/>
        </w:rPr>
        <w:t>)</w:t>
      </w:r>
      <w:r w:rsidRPr="002930E4">
        <w:rPr>
          <w:iCs/>
          <w:lang w:val="en-GB"/>
        </w:rPr>
        <w:t xml:space="preserve">. </w:t>
      </w:r>
    </w:p>
    <w:p w:rsidR="0062192A" w:rsidRDefault="006B347F" w:rsidP="00C213C4">
      <w:pPr>
        <w:autoSpaceDE w:val="0"/>
        <w:autoSpaceDN w:val="0"/>
        <w:adjustRightInd w:val="0"/>
        <w:spacing w:line="480" w:lineRule="auto"/>
        <w:ind w:firstLine="709"/>
        <w:jc w:val="both"/>
        <w:rPr>
          <w:lang/>
        </w:rPr>
      </w:pPr>
      <w:r>
        <w:rPr>
          <w:iCs/>
          <w:lang w:val="en-GB"/>
        </w:rPr>
        <w:t>Other benefits of thyme in animal and human welfare are mainly related to its essential oils</w:t>
      </w:r>
      <w:r w:rsidR="00C01E46">
        <w:rPr>
          <w:iCs/>
          <w:lang w:val="en-GB"/>
        </w:rPr>
        <w:t xml:space="preserve"> (usually referred as thyme oil)</w:t>
      </w:r>
      <w:r>
        <w:rPr>
          <w:iCs/>
          <w:lang w:val="en-GB"/>
        </w:rPr>
        <w:t>, used extensively in many industrial (mainly food, fragrance and cosmetic) and pharmaceutical / medical applications (</w:t>
      </w:r>
      <w:r w:rsidR="00D54328">
        <w:rPr>
          <w:iCs/>
          <w:lang w:val="en-GB"/>
        </w:rPr>
        <w:t>Leung and Foster 1996</w:t>
      </w:r>
      <w:r>
        <w:rPr>
          <w:iCs/>
          <w:lang w:val="en-GB"/>
        </w:rPr>
        <w:t>).</w:t>
      </w:r>
      <w:r w:rsidR="00C01E46">
        <w:rPr>
          <w:iCs/>
          <w:lang w:val="en-GB"/>
        </w:rPr>
        <w:t xml:space="preserve"> Thyme oil, of which main components are thymol and carvacrol, is known to have a high antimicrobial (biostatic and/or biocidal against a wide spectrum of bacteria and fungi), carminative and expectorant activity (</w:t>
      </w:r>
      <w:r w:rsidR="00967581">
        <w:rPr>
          <w:iCs/>
          <w:lang w:val="en-GB"/>
        </w:rPr>
        <w:t xml:space="preserve">de </w:t>
      </w:r>
      <w:r w:rsidR="00047E9C">
        <w:rPr>
          <w:iCs/>
          <w:lang w:val="en-GB"/>
        </w:rPr>
        <w:t xml:space="preserve">Bouchberg et al. 1976, Leung and Foster 1996, </w:t>
      </w:r>
      <w:r w:rsidR="00047E9C">
        <w:rPr>
          <w:iCs/>
          <w:lang w:val="en-GB"/>
        </w:rPr>
        <w:lastRenderedPageBreak/>
        <w:t>Reddy et al. 1998, Ferhout et al. 1999, Chao et al. 2000, Horne et al. 2001</w:t>
      </w:r>
      <w:r w:rsidR="00C01E46">
        <w:rPr>
          <w:iCs/>
          <w:lang w:val="en-GB"/>
        </w:rPr>
        <w:t xml:space="preserve">). Thyme is also used widely, especially in Mediterranean region, either as fresh or dried herbs, to add flavour to foods </w:t>
      </w:r>
      <w:r w:rsidR="00C01E46" w:rsidRPr="002930E4">
        <w:rPr>
          <w:iCs/>
          <w:lang w:val="en-GB"/>
        </w:rPr>
        <w:t>(Lawrence and Tucker 2002</w:t>
      </w:r>
      <w:r w:rsidR="00C01E46">
        <w:rPr>
          <w:iCs/>
          <w:lang w:val="en-GB"/>
        </w:rPr>
        <w:t xml:space="preserve">). </w:t>
      </w:r>
      <w:r w:rsidR="004317D1">
        <w:rPr>
          <w:iCs/>
          <w:lang w:val="en-GB"/>
        </w:rPr>
        <w:t>Hence</w:t>
      </w:r>
      <w:r w:rsidR="00C01E46">
        <w:rPr>
          <w:iCs/>
          <w:lang w:val="en-GB"/>
        </w:rPr>
        <w:t xml:space="preserve">, thyme and its products can be considered as a unique natural source for medicine and industries. </w:t>
      </w:r>
      <w:r w:rsidR="00113763">
        <w:rPr>
          <w:iCs/>
          <w:lang w:val="en-GB"/>
        </w:rPr>
        <w:t xml:space="preserve">This is also reflected by the increasing </w:t>
      </w:r>
      <w:r w:rsidR="00113763" w:rsidRPr="00047E9C">
        <w:rPr>
          <w:iCs/>
          <w:lang w:val="en-GB"/>
        </w:rPr>
        <w:t>demands of the society to such natural products (</w:t>
      </w:r>
      <w:r w:rsidR="00047E9C" w:rsidRPr="00047E9C">
        <w:rPr>
          <w:iCs/>
          <w:lang w:val="en-GB"/>
        </w:rPr>
        <w:t>ESTACOM</w:t>
      </w:r>
      <w:r w:rsidR="00113763" w:rsidRPr="00047E9C">
        <w:rPr>
          <w:iCs/>
          <w:lang w:val="en-GB"/>
        </w:rPr>
        <w:t xml:space="preserve"> 2000). However, </w:t>
      </w:r>
      <w:r w:rsidR="00113763">
        <w:rPr>
          <w:iCs/>
          <w:lang w:val="en-GB"/>
        </w:rPr>
        <w:t>natural thyme populations are far from being adequate to meet those demands (Rey and Sáez</w:t>
      </w:r>
      <w:r w:rsidR="00113763" w:rsidRPr="00444551">
        <w:rPr>
          <w:iCs/>
          <w:lang w:val="en-GB"/>
        </w:rPr>
        <w:t xml:space="preserve"> 2002)</w:t>
      </w:r>
      <w:r w:rsidR="00113763">
        <w:rPr>
          <w:iCs/>
          <w:lang w:val="en-GB"/>
        </w:rPr>
        <w:t xml:space="preserve">. In addition, natural populations are usually heterogeneous, </w:t>
      </w:r>
      <w:r w:rsidR="00770DAA">
        <w:rPr>
          <w:iCs/>
          <w:lang w:val="en-GB"/>
        </w:rPr>
        <w:t xml:space="preserve">composed of plants of different chemotypes, which also affects the homogeneity of oil yield and its chemical </w:t>
      </w:r>
      <w:r w:rsidR="00770DAA" w:rsidRPr="00047E9C">
        <w:rPr>
          <w:iCs/>
          <w:lang w:val="en-GB"/>
        </w:rPr>
        <w:t xml:space="preserve">composition (Echeverrigaray et </w:t>
      </w:r>
      <w:r w:rsidR="003F737F">
        <w:rPr>
          <w:iCs/>
          <w:lang w:val="en-GB"/>
        </w:rPr>
        <w:t>al.</w:t>
      </w:r>
      <w:r w:rsidR="00047E9C" w:rsidRPr="00047E9C">
        <w:rPr>
          <w:iCs/>
          <w:lang w:val="en-GB"/>
        </w:rPr>
        <w:t xml:space="preserve"> 2001</w:t>
      </w:r>
      <w:r w:rsidR="00770DAA" w:rsidRPr="00047E9C">
        <w:rPr>
          <w:iCs/>
          <w:lang w:val="en-GB"/>
        </w:rPr>
        <w:t>). Possible solution to this great variability which</w:t>
      </w:r>
      <w:r w:rsidR="00770DAA">
        <w:rPr>
          <w:iCs/>
          <w:lang w:val="en-GB"/>
        </w:rPr>
        <w:t xml:space="preserve"> </w:t>
      </w:r>
      <w:r w:rsidR="000F41C1">
        <w:rPr>
          <w:iCs/>
          <w:lang w:val="en-GB"/>
        </w:rPr>
        <w:t>thyme</w:t>
      </w:r>
      <w:r w:rsidR="00770DAA">
        <w:rPr>
          <w:iCs/>
          <w:lang w:val="en-GB"/>
        </w:rPr>
        <w:t xml:space="preserve"> exhibit</w:t>
      </w:r>
      <w:r w:rsidR="000F41C1">
        <w:rPr>
          <w:iCs/>
          <w:lang w:val="en-GB"/>
        </w:rPr>
        <w:t>s</w:t>
      </w:r>
      <w:r w:rsidR="00770DAA">
        <w:rPr>
          <w:iCs/>
          <w:lang w:val="en-GB"/>
        </w:rPr>
        <w:t xml:space="preserve">, as well as to the loss of </w:t>
      </w:r>
      <w:r w:rsidR="000F41C1">
        <w:rPr>
          <w:iCs/>
          <w:lang w:val="en-GB"/>
        </w:rPr>
        <w:t xml:space="preserve">its </w:t>
      </w:r>
      <w:r w:rsidR="00770DAA">
        <w:rPr>
          <w:iCs/>
          <w:lang w:val="en-GB"/>
        </w:rPr>
        <w:t xml:space="preserve">natural populations in nature, can be the establishment </w:t>
      </w:r>
      <w:r w:rsidR="00A40FF8">
        <w:rPr>
          <w:iCs/>
          <w:lang w:val="en-GB"/>
        </w:rPr>
        <w:t>and conservation</w:t>
      </w:r>
      <w:r w:rsidR="00770DAA">
        <w:rPr>
          <w:iCs/>
          <w:lang w:val="en-GB"/>
        </w:rPr>
        <w:t xml:space="preserve"> </w:t>
      </w:r>
      <w:r w:rsidR="00770DAA" w:rsidRPr="00770DAA">
        <w:rPr>
          <w:i/>
          <w:iCs/>
          <w:lang w:val="en-GB"/>
        </w:rPr>
        <w:t>in vitro</w:t>
      </w:r>
      <w:r w:rsidR="00770DAA">
        <w:rPr>
          <w:iCs/>
          <w:lang w:val="en-GB"/>
        </w:rPr>
        <w:t xml:space="preserve"> </w:t>
      </w:r>
      <w:r w:rsidR="00A40FF8">
        <w:rPr>
          <w:iCs/>
          <w:lang w:val="en-GB"/>
        </w:rPr>
        <w:t xml:space="preserve">of </w:t>
      </w:r>
      <w:r w:rsidR="00770DAA">
        <w:rPr>
          <w:iCs/>
          <w:lang w:val="en-GB"/>
        </w:rPr>
        <w:t>shoot lines f</w:t>
      </w:r>
      <w:r w:rsidR="00A40FF8">
        <w:rPr>
          <w:iCs/>
          <w:lang w:val="en-GB"/>
        </w:rPr>
        <w:t>rom</w:t>
      </w:r>
      <w:r w:rsidR="00770DAA">
        <w:rPr>
          <w:iCs/>
          <w:lang w:val="en-GB"/>
        </w:rPr>
        <w:t xml:space="preserve"> selected thyme </w:t>
      </w:r>
      <w:r w:rsidR="00212680">
        <w:rPr>
          <w:iCs/>
          <w:lang w:val="en-GB"/>
        </w:rPr>
        <w:t>populations</w:t>
      </w:r>
      <w:r w:rsidR="00770DAA">
        <w:rPr>
          <w:iCs/>
          <w:lang w:val="en-GB"/>
        </w:rPr>
        <w:t xml:space="preserve"> and their </w:t>
      </w:r>
      <w:r w:rsidR="00A40FF8">
        <w:rPr>
          <w:iCs/>
          <w:lang w:val="en-GB"/>
        </w:rPr>
        <w:t>exploitation</w:t>
      </w:r>
      <w:r w:rsidR="00770DAA">
        <w:rPr>
          <w:iCs/>
          <w:lang w:val="en-GB"/>
        </w:rPr>
        <w:t xml:space="preserve"> for industrial purposes. Today, thanks to the advanced biotechnological applications, such clonal lines can be established from a single selected explant by using plant tissue culture approaches (especially </w:t>
      </w:r>
      <w:r w:rsidR="0062192A">
        <w:rPr>
          <w:iCs/>
          <w:lang w:val="en-GB"/>
        </w:rPr>
        <w:t>‘</w:t>
      </w:r>
      <w:r w:rsidR="00770DAA">
        <w:rPr>
          <w:iCs/>
          <w:lang w:val="en-GB"/>
        </w:rPr>
        <w:t>micropropagation</w:t>
      </w:r>
      <w:r w:rsidR="0062192A">
        <w:rPr>
          <w:iCs/>
          <w:lang w:val="en-GB"/>
        </w:rPr>
        <w:t>’</w:t>
      </w:r>
      <w:r w:rsidR="00770DAA">
        <w:rPr>
          <w:iCs/>
          <w:lang w:val="en-GB"/>
        </w:rPr>
        <w:t>)</w:t>
      </w:r>
      <w:r w:rsidR="00A710F8">
        <w:rPr>
          <w:iCs/>
          <w:lang w:val="en-GB"/>
        </w:rPr>
        <w:t>. One disadvantage of plant tissue culture can be the risk of spontaneous changes</w:t>
      </w:r>
      <w:r w:rsidR="00553B79">
        <w:rPr>
          <w:iCs/>
          <w:lang w:val="en-GB"/>
        </w:rPr>
        <w:t>, which may arise in response</w:t>
      </w:r>
      <w:r w:rsidR="00A710F8">
        <w:rPr>
          <w:iCs/>
          <w:lang w:val="en-GB"/>
        </w:rPr>
        <w:t xml:space="preserve"> to</w:t>
      </w:r>
      <w:r w:rsidR="00553B79">
        <w:rPr>
          <w:iCs/>
          <w:lang w:val="en-GB"/>
        </w:rPr>
        <w:t xml:space="preserve"> continuous </w:t>
      </w:r>
      <w:r w:rsidR="00A710F8" w:rsidRPr="00A710F8">
        <w:rPr>
          <w:i/>
          <w:iCs/>
          <w:lang w:val="en-GB"/>
        </w:rPr>
        <w:t>in vitro</w:t>
      </w:r>
      <w:r w:rsidR="00A710F8">
        <w:rPr>
          <w:iCs/>
          <w:lang w:val="en-GB"/>
        </w:rPr>
        <w:t xml:space="preserve"> manipulations (</w:t>
      </w:r>
      <w:r w:rsidR="00553B79">
        <w:rPr>
          <w:iCs/>
          <w:lang w:val="en-GB"/>
        </w:rPr>
        <w:t>i.e.</w:t>
      </w:r>
      <w:r w:rsidR="00A710F8">
        <w:rPr>
          <w:iCs/>
          <w:lang w:val="en-GB"/>
        </w:rPr>
        <w:t xml:space="preserve">, periodic subculturing to media containing growth regulators). </w:t>
      </w:r>
      <w:r w:rsidR="00553B79">
        <w:rPr>
          <w:iCs/>
          <w:lang w:val="en-GB"/>
        </w:rPr>
        <w:t xml:space="preserve">In this </w:t>
      </w:r>
      <w:r w:rsidR="00A40FF8">
        <w:rPr>
          <w:iCs/>
          <w:lang w:val="en-GB"/>
        </w:rPr>
        <w:t>sense</w:t>
      </w:r>
      <w:r w:rsidR="00553B79">
        <w:rPr>
          <w:iCs/>
          <w:lang w:val="en-GB"/>
        </w:rPr>
        <w:t xml:space="preserve">, </w:t>
      </w:r>
      <w:r w:rsidR="00A40FF8">
        <w:rPr>
          <w:iCs/>
          <w:lang w:val="en-GB"/>
        </w:rPr>
        <w:t xml:space="preserve">the </w:t>
      </w:r>
      <w:r w:rsidR="00553B79">
        <w:rPr>
          <w:iCs/>
          <w:lang w:val="en-GB"/>
        </w:rPr>
        <w:t xml:space="preserve">‘slow growth storage’ technique </w:t>
      </w:r>
      <w:r w:rsidR="00A40FF8">
        <w:rPr>
          <w:iCs/>
          <w:lang w:val="en-GB"/>
        </w:rPr>
        <w:t>is</w:t>
      </w:r>
      <w:r w:rsidR="00553B79">
        <w:rPr>
          <w:iCs/>
          <w:lang w:val="en-GB"/>
        </w:rPr>
        <w:t xml:space="preserve"> an ideal tool for an efficient and safe </w:t>
      </w:r>
      <w:r w:rsidR="00A40FF8">
        <w:rPr>
          <w:iCs/>
          <w:lang w:val="en-GB"/>
        </w:rPr>
        <w:t xml:space="preserve">medium-term </w:t>
      </w:r>
      <w:r w:rsidR="00553B79">
        <w:rPr>
          <w:iCs/>
          <w:lang w:val="en-GB"/>
        </w:rPr>
        <w:t xml:space="preserve">conservation of valuable </w:t>
      </w:r>
      <w:r w:rsidR="00A40FF8">
        <w:rPr>
          <w:iCs/>
          <w:lang w:val="en-GB"/>
        </w:rPr>
        <w:t xml:space="preserve">shoot </w:t>
      </w:r>
      <w:r w:rsidR="00553B79">
        <w:rPr>
          <w:iCs/>
          <w:lang w:val="en-GB"/>
        </w:rPr>
        <w:t xml:space="preserve">lines. </w:t>
      </w:r>
      <w:r w:rsidR="00A40FF8">
        <w:rPr>
          <w:iCs/>
          <w:lang w:val="en-GB"/>
        </w:rPr>
        <w:t>T</w:t>
      </w:r>
      <w:r w:rsidR="00553B79">
        <w:rPr>
          <w:iCs/>
          <w:lang w:val="en-GB"/>
        </w:rPr>
        <w:t xml:space="preserve">he technique </w:t>
      </w:r>
      <w:r w:rsidR="00444551" w:rsidRPr="00444551">
        <w:rPr>
          <w:lang/>
        </w:rPr>
        <w:t xml:space="preserve">enables  shoot cultures to be </w:t>
      </w:r>
      <w:r w:rsidR="009A4EF1">
        <w:rPr>
          <w:lang/>
        </w:rPr>
        <w:t xml:space="preserve">kept </w:t>
      </w:r>
      <w:r w:rsidR="00444551" w:rsidRPr="00444551">
        <w:rPr>
          <w:lang/>
        </w:rPr>
        <w:t>fo</w:t>
      </w:r>
      <w:r w:rsidR="009A4EF1">
        <w:rPr>
          <w:lang/>
        </w:rPr>
        <w:t>r</w:t>
      </w:r>
      <w:r w:rsidR="00444551" w:rsidRPr="00444551">
        <w:rPr>
          <w:lang/>
        </w:rPr>
        <w:t xml:space="preserve"> several months</w:t>
      </w:r>
      <w:r w:rsidR="009A4EF1">
        <w:rPr>
          <w:lang/>
        </w:rPr>
        <w:t xml:space="preserve"> (</w:t>
      </w:r>
      <w:r w:rsidR="00A40FF8">
        <w:rPr>
          <w:lang/>
        </w:rPr>
        <w:t xml:space="preserve">or, </w:t>
      </w:r>
      <w:r w:rsidR="009A4EF1">
        <w:rPr>
          <w:lang/>
        </w:rPr>
        <w:t xml:space="preserve">for some species, </w:t>
      </w:r>
      <w:r w:rsidR="00A40FF8">
        <w:rPr>
          <w:lang/>
        </w:rPr>
        <w:t>one</w:t>
      </w:r>
      <w:r w:rsidR="009A4EF1">
        <w:rPr>
          <w:lang/>
        </w:rPr>
        <w:t xml:space="preserve"> year or more)</w:t>
      </w:r>
      <w:r w:rsidR="00444551" w:rsidRPr="00444551">
        <w:rPr>
          <w:lang/>
        </w:rPr>
        <w:t xml:space="preserve"> under</w:t>
      </w:r>
      <w:r w:rsidR="009A4EF1">
        <w:rPr>
          <w:lang/>
        </w:rPr>
        <w:t xml:space="preserve"> the</w:t>
      </w:r>
      <w:r w:rsidR="00444551" w:rsidRPr="00444551">
        <w:rPr>
          <w:lang/>
        </w:rPr>
        <w:t xml:space="preserve"> aseptic conditions of tissue culture. Depending on the species an</w:t>
      </w:r>
      <w:r w:rsidR="00D54328">
        <w:rPr>
          <w:lang/>
        </w:rPr>
        <w:t>d the method used, periodic sub</w:t>
      </w:r>
      <w:r w:rsidR="00444551" w:rsidRPr="00444551">
        <w:rPr>
          <w:lang/>
        </w:rPr>
        <w:t xml:space="preserve">culturing of the material can be </w:t>
      </w:r>
      <w:r w:rsidR="009A4EF1">
        <w:rPr>
          <w:lang/>
        </w:rPr>
        <w:t xml:space="preserve">markedly </w:t>
      </w:r>
      <w:r w:rsidR="00444551" w:rsidRPr="00444551">
        <w:rPr>
          <w:lang/>
        </w:rPr>
        <w:t>diminished during slow growth storage, without affecting viability and regrowth potential of shoot cultures</w:t>
      </w:r>
      <w:r w:rsidR="009A4EF1">
        <w:rPr>
          <w:lang/>
        </w:rPr>
        <w:t>. T</w:t>
      </w:r>
      <w:r w:rsidR="00444551" w:rsidRPr="00444551">
        <w:rPr>
          <w:lang/>
        </w:rPr>
        <w:t>hus</w:t>
      </w:r>
      <w:r w:rsidR="009A4EF1">
        <w:rPr>
          <w:lang/>
        </w:rPr>
        <w:t>,</w:t>
      </w:r>
      <w:r w:rsidR="00444551" w:rsidRPr="00444551">
        <w:rPr>
          <w:lang/>
        </w:rPr>
        <w:t xml:space="preserve"> </w:t>
      </w:r>
      <w:r w:rsidR="00553B79">
        <w:rPr>
          <w:lang/>
        </w:rPr>
        <w:t xml:space="preserve">risk of spontenous </w:t>
      </w:r>
      <w:r w:rsidR="00A40FF8">
        <w:rPr>
          <w:lang/>
        </w:rPr>
        <w:t>alteration</w:t>
      </w:r>
      <w:r w:rsidR="00553B79">
        <w:rPr>
          <w:lang/>
        </w:rPr>
        <w:t xml:space="preserve">s, as well as </w:t>
      </w:r>
      <w:r w:rsidR="00444551" w:rsidRPr="00444551">
        <w:rPr>
          <w:lang/>
        </w:rPr>
        <w:t xml:space="preserve">manual labor, cost and risk of contamination </w:t>
      </w:r>
      <w:r w:rsidR="00E30F82">
        <w:rPr>
          <w:lang/>
        </w:rPr>
        <w:t>can be reduced</w:t>
      </w:r>
      <w:r w:rsidR="0078224A">
        <w:rPr>
          <w:lang/>
        </w:rPr>
        <w:t xml:space="preserve"> (Lambardi and De Carlo 2003)</w:t>
      </w:r>
      <w:r w:rsidR="00E30F82">
        <w:rPr>
          <w:lang/>
        </w:rPr>
        <w:t>.</w:t>
      </w:r>
      <w:r w:rsidR="00154391" w:rsidRPr="00444551">
        <w:rPr>
          <w:lang/>
        </w:rPr>
        <w:t xml:space="preserve"> </w:t>
      </w:r>
    </w:p>
    <w:p w:rsidR="00212680" w:rsidRDefault="00D54328" w:rsidP="00C213C4">
      <w:pPr>
        <w:autoSpaceDE w:val="0"/>
        <w:autoSpaceDN w:val="0"/>
        <w:adjustRightInd w:val="0"/>
        <w:spacing w:line="480" w:lineRule="auto"/>
        <w:ind w:firstLine="709"/>
        <w:jc w:val="both"/>
        <w:rPr>
          <w:lang/>
        </w:rPr>
      </w:pPr>
      <w:r>
        <w:rPr>
          <w:lang/>
        </w:rPr>
        <w:t xml:space="preserve">The present study </w:t>
      </w:r>
      <w:r w:rsidR="00212680">
        <w:rPr>
          <w:lang/>
        </w:rPr>
        <w:t>represents the</w:t>
      </w:r>
      <w:r w:rsidR="00A93348">
        <w:rPr>
          <w:lang/>
        </w:rPr>
        <w:t xml:space="preserve"> first attempt</w:t>
      </w:r>
      <w:r>
        <w:rPr>
          <w:lang/>
        </w:rPr>
        <w:t xml:space="preserve"> to develop an efficient</w:t>
      </w:r>
      <w:r w:rsidR="00212680">
        <w:rPr>
          <w:lang/>
        </w:rPr>
        <w:t xml:space="preserve"> and repetitive</w:t>
      </w:r>
      <w:r>
        <w:rPr>
          <w:lang/>
        </w:rPr>
        <w:t xml:space="preserve"> medium</w:t>
      </w:r>
      <w:r w:rsidR="00A40FF8">
        <w:rPr>
          <w:lang/>
        </w:rPr>
        <w:t>-</w:t>
      </w:r>
      <w:r>
        <w:rPr>
          <w:lang/>
        </w:rPr>
        <w:t xml:space="preserve">term conservation approach for </w:t>
      </w:r>
      <w:r w:rsidRPr="00D54328">
        <w:rPr>
          <w:i/>
          <w:lang/>
        </w:rPr>
        <w:t>in vitro</w:t>
      </w:r>
      <w:r>
        <w:rPr>
          <w:lang/>
        </w:rPr>
        <w:t xml:space="preserve"> shoot cultures of </w:t>
      </w:r>
      <w:r w:rsidRPr="00D54328">
        <w:rPr>
          <w:i/>
          <w:lang/>
        </w:rPr>
        <w:t>T. vulgaris</w:t>
      </w:r>
      <w:r>
        <w:rPr>
          <w:lang/>
        </w:rPr>
        <w:t xml:space="preserve"> L.</w:t>
      </w:r>
      <w:r w:rsidR="00212680">
        <w:rPr>
          <w:lang/>
        </w:rPr>
        <w:t xml:space="preserve"> </w:t>
      </w:r>
      <w:r w:rsidR="007315EE">
        <w:rPr>
          <w:lang/>
        </w:rPr>
        <w:t xml:space="preserve">As a major </w:t>
      </w:r>
      <w:r w:rsidR="007315EE">
        <w:rPr>
          <w:lang/>
        </w:rPr>
        <w:lastRenderedPageBreak/>
        <w:t>aim, the developed slow growth storage technique</w:t>
      </w:r>
      <w:r w:rsidR="00212680">
        <w:rPr>
          <w:lang/>
        </w:rPr>
        <w:t xml:space="preserve"> will allow to improve the </w:t>
      </w:r>
      <w:r w:rsidR="007315EE">
        <w:rPr>
          <w:lang/>
        </w:rPr>
        <w:t>industri</w:t>
      </w:r>
      <w:r w:rsidR="00212680">
        <w:rPr>
          <w:lang/>
        </w:rPr>
        <w:t>al exploitation of thyme</w:t>
      </w:r>
      <w:r w:rsidR="000F41C1">
        <w:rPr>
          <w:lang/>
        </w:rPr>
        <w:t xml:space="preserve">, </w:t>
      </w:r>
      <w:r w:rsidR="00212680">
        <w:rPr>
          <w:lang/>
        </w:rPr>
        <w:t xml:space="preserve">through the </w:t>
      </w:r>
      <w:r w:rsidR="007315EE">
        <w:rPr>
          <w:lang/>
        </w:rPr>
        <w:t xml:space="preserve">possibility of </w:t>
      </w:r>
      <w:r w:rsidR="00212680">
        <w:rPr>
          <w:lang/>
        </w:rPr>
        <w:t>conserv</w:t>
      </w:r>
      <w:r w:rsidR="007315EE">
        <w:rPr>
          <w:lang/>
        </w:rPr>
        <w:t>ing numerous</w:t>
      </w:r>
      <w:r w:rsidR="00212680">
        <w:rPr>
          <w:lang/>
        </w:rPr>
        <w:t xml:space="preserve"> populations, </w:t>
      </w:r>
      <w:r w:rsidR="000F41C1">
        <w:rPr>
          <w:lang/>
        </w:rPr>
        <w:t>selected for their valuable characteristics in terms of essential oil profiles.</w:t>
      </w:r>
      <w:r>
        <w:rPr>
          <w:lang/>
        </w:rPr>
        <w:t xml:space="preserve"> </w:t>
      </w:r>
    </w:p>
    <w:p w:rsidR="00221086" w:rsidRDefault="00221086" w:rsidP="00AC2417">
      <w:pPr>
        <w:spacing w:line="480" w:lineRule="auto"/>
        <w:jc w:val="both"/>
        <w:rPr>
          <w:b/>
          <w:lang w:val="en-GB"/>
        </w:rPr>
      </w:pPr>
    </w:p>
    <w:p w:rsidR="001B257C" w:rsidRPr="001B257C" w:rsidRDefault="003A1B0D" w:rsidP="00AC2417">
      <w:pPr>
        <w:spacing w:line="480" w:lineRule="auto"/>
        <w:jc w:val="both"/>
        <w:rPr>
          <w:b/>
          <w:lang w:val="en-GB"/>
        </w:rPr>
      </w:pPr>
      <w:r w:rsidRPr="001B257C">
        <w:rPr>
          <w:b/>
          <w:lang w:val="en-GB"/>
        </w:rPr>
        <w:t>MATERIALS AND METHODS</w:t>
      </w:r>
    </w:p>
    <w:p w:rsidR="001B257C" w:rsidRPr="003A1B0D" w:rsidRDefault="001B257C" w:rsidP="00AC2417">
      <w:pPr>
        <w:spacing w:line="480" w:lineRule="auto"/>
        <w:jc w:val="both"/>
        <w:rPr>
          <w:b/>
          <w:i/>
          <w:lang w:val="en-GB"/>
        </w:rPr>
      </w:pPr>
      <w:r w:rsidRPr="00B2288A">
        <w:rPr>
          <w:b/>
          <w:i/>
          <w:lang w:val="en-GB"/>
        </w:rPr>
        <w:t xml:space="preserve">Plant </w:t>
      </w:r>
      <w:r w:rsidR="00B2288A">
        <w:rPr>
          <w:b/>
          <w:i/>
          <w:lang w:val="en-GB"/>
        </w:rPr>
        <w:t>m</w:t>
      </w:r>
      <w:r w:rsidRPr="00B2288A">
        <w:rPr>
          <w:b/>
          <w:i/>
          <w:lang w:val="en-GB"/>
        </w:rPr>
        <w:t>aterial</w:t>
      </w:r>
      <w:r w:rsidR="003A1B0D" w:rsidRPr="00B2288A">
        <w:rPr>
          <w:b/>
          <w:i/>
          <w:lang w:val="en-GB"/>
        </w:rPr>
        <w:t xml:space="preserve"> and surface disinfection</w:t>
      </w:r>
    </w:p>
    <w:p w:rsidR="00C17708" w:rsidRDefault="001E7837" w:rsidP="00BA457F">
      <w:pPr>
        <w:spacing w:line="480" w:lineRule="auto"/>
        <w:ind w:firstLine="709"/>
        <w:jc w:val="both"/>
        <w:rPr>
          <w:lang w:val="en-GB"/>
        </w:rPr>
      </w:pPr>
      <w:r w:rsidRPr="00DF7DD8">
        <w:rPr>
          <w:lang w:val="en-GB"/>
        </w:rPr>
        <w:t xml:space="preserve">Seeds of </w:t>
      </w:r>
      <w:r w:rsidRPr="00DF7DD8">
        <w:rPr>
          <w:i/>
          <w:iCs/>
          <w:lang w:val="en-GB"/>
        </w:rPr>
        <w:t>T. vulgaris</w:t>
      </w:r>
      <w:r w:rsidR="00C17708" w:rsidRPr="00DF7DD8">
        <w:rPr>
          <w:i/>
          <w:iCs/>
          <w:lang w:val="en-GB"/>
        </w:rPr>
        <w:t xml:space="preserve"> </w:t>
      </w:r>
      <w:r w:rsidR="00C17708" w:rsidRPr="00DF7DD8">
        <w:rPr>
          <w:iCs/>
          <w:lang w:val="en-GB"/>
        </w:rPr>
        <w:t>L.</w:t>
      </w:r>
      <w:r w:rsidR="001A24D4" w:rsidRPr="00DF7DD8">
        <w:rPr>
          <w:iCs/>
          <w:lang w:val="en-GB"/>
        </w:rPr>
        <w:t xml:space="preserve">, collected in the </w:t>
      </w:r>
      <w:r w:rsidR="00472313" w:rsidRPr="00DF7DD8">
        <w:rPr>
          <w:iCs/>
          <w:lang w:val="en-GB"/>
        </w:rPr>
        <w:t>Cilento</w:t>
      </w:r>
      <w:r w:rsidR="001A24D4" w:rsidRPr="00DF7DD8">
        <w:rPr>
          <w:iCs/>
          <w:lang w:val="en-GB"/>
        </w:rPr>
        <w:t xml:space="preserve"> park (</w:t>
      </w:r>
      <w:r w:rsidR="00472313" w:rsidRPr="00DF7DD8">
        <w:rPr>
          <w:iCs/>
          <w:lang w:val="en-GB"/>
        </w:rPr>
        <w:t>Campania, Italy)</w:t>
      </w:r>
      <w:r w:rsidR="001A24D4" w:rsidRPr="00DF7DD8">
        <w:rPr>
          <w:iCs/>
          <w:lang w:val="en-GB"/>
        </w:rPr>
        <w:t xml:space="preserve"> and</w:t>
      </w:r>
      <w:r w:rsidR="00B2288A" w:rsidRPr="00DF7DD8">
        <w:rPr>
          <w:iCs/>
          <w:lang w:val="en-GB"/>
        </w:rPr>
        <w:t xml:space="preserve"> </w:t>
      </w:r>
      <w:r w:rsidRPr="00DF7DD8">
        <w:rPr>
          <w:lang w:val="en-GB"/>
        </w:rPr>
        <w:t>provided</w:t>
      </w:r>
      <w:r w:rsidRPr="00225A0A">
        <w:rPr>
          <w:lang w:val="en-GB"/>
        </w:rPr>
        <w:t xml:space="preserve"> by Florsilva (Bologna, Italy)</w:t>
      </w:r>
      <w:r w:rsidR="00B2288A">
        <w:rPr>
          <w:lang w:val="en-GB"/>
        </w:rPr>
        <w:t xml:space="preserve">, were </w:t>
      </w:r>
      <w:r w:rsidR="00892849">
        <w:rPr>
          <w:lang w:val="en-GB"/>
        </w:rPr>
        <w:t>disinfect</w:t>
      </w:r>
      <w:r w:rsidR="00B2288A">
        <w:rPr>
          <w:lang w:val="en-GB"/>
        </w:rPr>
        <w:t xml:space="preserve">ed </w:t>
      </w:r>
      <w:r w:rsidR="00892849">
        <w:rPr>
          <w:lang w:val="en-GB"/>
        </w:rPr>
        <w:t>by 70% ethanol (5 min), 10% H</w:t>
      </w:r>
      <w:r w:rsidR="00892849" w:rsidRPr="00B2288A">
        <w:rPr>
          <w:vertAlign w:val="subscript"/>
          <w:lang w:val="en-GB"/>
        </w:rPr>
        <w:t>2</w:t>
      </w:r>
      <w:r w:rsidR="00892849">
        <w:rPr>
          <w:lang w:val="en-GB"/>
        </w:rPr>
        <w:t>O</w:t>
      </w:r>
      <w:r w:rsidR="00892849" w:rsidRPr="00B2288A">
        <w:rPr>
          <w:vertAlign w:val="subscript"/>
          <w:lang w:val="en-GB"/>
        </w:rPr>
        <w:t>2</w:t>
      </w:r>
      <w:r w:rsidR="00892849">
        <w:rPr>
          <w:lang w:val="en-GB"/>
        </w:rPr>
        <w:t xml:space="preserve"> (5 min) and </w:t>
      </w:r>
      <w:r w:rsidR="00B2288A">
        <w:rPr>
          <w:lang w:val="en-GB"/>
        </w:rPr>
        <w:t>20% commercial bleach containing 2% active chlorine (15 min), respectively, with consecutive rinses in sterile dH</w:t>
      </w:r>
      <w:r w:rsidR="00B2288A" w:rsidRPr="00B2288A">
        <w:rPr>
          <w:vertAlign w:val="subscript"/>
          <w:lang w:val="en-GB"/>
        </w:rPr>
        <w:t>2</w:t>
      </w:r>
      <w:r w:rsidR="00B2288A">
        <w:rPr>
          <w:lang w:val="en-GB"/>
        </w:rPr>
        <w:t xml:space="preserve">O after each step. Seeds were then </w:t>
      </w:r>
      <w:r>
        <w:rPr>
          <w:lang w:val="en-GB"/>
        </w:rPr>
        <w:t xml:space="preserve">germinated </w:t>
      </w:r>
      <w:r w:rsidRPr="001E7837">
        <w:rPr>
          <w:i/>
          <w:lang w:val="en-GB"/>
        </w:rPr>
        <w:t>in vitro</w:t>
      </w:r>
      <w:r w:rsidR="00101028">
        <w:rPr>
          <w:i/>
          <w:lang w:val="en-GB"/>
        </w:rPr>
        <w:t xml:space="preserve"> </w:t>
      </w:r>
      <w:r w:rsidR="006E2AE8">
        <w:rPr>
          <w:lang w:val="en-GB"/>
        </w:rPr>
        <w:t>on semi-</w:t>
      </w:r>
      <w:r w:rsidR="00101028">
        <w:rPr>
          <w:lang w:val="en-GB"/>
        </w:rPr>
        <w:t xml:space="preserve">solid MS </w:t>
      </w:r>
      <w:r w:rsidR="00590C16">
        <w:rPr>
          <w:lang w:val="en-GB"/>
        </w:rPr>
        <w:t>medium (Murashige and Skoog</w:t>
      </w:r>
      <w:r w:rsidR="00101028">
        <w:rPr>
          <w:lang w:val="en-GB"/>
        </w:rPr>
        <w:t xml:space="preserve"> 1962) devoid of growth regulators</w:t>
      </w:r>
      <w:r w:rsidR="006E2AE8">
        <w:rPr>
          <w:lang w:val="en-GB"/>
        </w:rPr>
        <w:t>. 15 day-</w:t>
      </w:r>
      <w:r w:rsidR="00C17708">
        <w:rPr>
          <w:lang w:val="en-GB"/>
        </w:rPr>
        <w:t xml:space="preserve">old seedlings served as a plant source for shoot tip explants. </w:t>
      </w:r>
    </w:p>
    <w:p w:rsidR="00DE1EEF" w:rsidRDefault="00DE1EEF" w:rsidP="00AC2417">
      <w:pPr>
        <w:spacing w:line="480" w:lineRule="auto"/>
        <w:jc w:val="both"/>
        <w:rPr>
          <w:b/>
          <w:i/>
          <w:lang w:val="en-GB"/>
        </w:rPr>
      </w:pPr>
    </w:p>
    <w:p w:rsidR="00C17708" w:rsidRPr="003A1B0D" w:rsidRDefault="00C17708" w:rsidP="00AC2417">
      <w:pPr>
        <w:spacing w:line="480" w:lineRule="auto"/>
        <w:jc w:val="both"/>
        <w:rPr>
          <w:b/>
          <w:i/>
          <w:lang w:val="en-GB"/>
        </w:rPr>
      </w:pPr>
      <w:r w:rsidRPr="003A1B0D">
        <w:rPr>
          <w:b/>
          <w:i/>
          <w:lang w:val="en-GB"/>
        </w:rPr>
        <w:t>Establishment of in vitro shoot cultures</w:t>
      </w:r>
    </w:p>
    <w:p w:rsidR="0031000D" w:rsidRPr="00225A0A" w:rsidRDefault="00C17708" w:rsidP="0031000D">
      <w:pPr>
        <w:spacing w:line="480" w:lineRule="auto"/>
        <w:ind w:firstLine="709"/>
        <w:jc w:val="both"/>
        <w:rPr>
          <w:lang w:val="en-GB"/>
        </w:rPr>
      </w:pPr>
      <w:r w:rsidRPr="00414A94">
        <w:rPr>
          <w:i/>
          <w:lang w:val="en-GB"/>
        </w:rPr>
        <w:t>In vitro</w:t>
      </w:r>
      <w:r>
        <w:rPr>
          <w:lang w:val="en-GB"/>
        </w:rPr>
        <w:t xml:space="preserve"> shoot cultures were </w:t>
      </w:r>
      <w:r w:rsidR="00B27F18">
        <w:rPr>
          <w:lang w:val="en-GB"/>
        </w:rPr>
        <w:t xml:space="preserve">initially </w:t>
      </w:r>
      <w:r>
        <w:rPr>
          <w:lang w:val="en-GB"/>
        </w:rPr>
        <w:t xml:space="preserve">established </w:t>
      </w:r>
      <w:r w:rsidR="00B27F18">
        <w:rPr>
          <w:lang w:val="en-GB"/>
        </w:rPr>
        <w:t xml:space="preserve">in 9-cm Petri dishes </w:t>
      </w:r>
      <w:r>
        <w:rPr>
          <w:lang w:val="en-GB"/>
        </w:rPr>
        <w:t xml:space="preserve">by transferring 1-1.5 cm-long shoot tips on MS medium, </w:t>
      </w:r>
      <w:r w:rsidRPr="00EC45E6">
        <w:rPr>
          <w:lang w:val="en-GB"/>
        </w:rPr>
        <w:t>supplemented with 1 mg l</w:t>
      </w:r>
      <w:r w:rsidRPr="00EC45E6">
        <w:rPr>
          <w:vertAlign w:val="superscript"/>
          <w:lang w:val="en-GB"/>
        </w:rPr>
        <w:t>-1</w:t>
      </w:r>
      <w:r w:rsidRPr="00EC45E6">
        <w:rPr>
          <w:lang w:val="en-GB"/>
        </w:rPr>
        <w:t xml:space="preserve"> </w:t>
      </w:r>
      <w:r>
        <w:rPr>
          <w:lang w:val="en-GB"/>
        </w:rPr>
        <w:t>kinetin</w:t>
      </w:r>
      <w:r w:rsidRPr="00EC45E6">
        <w:rPr>
          <w:lang w:val="en-GB"/>
        </w:rPr>
        <w:t xml:space="preserve"> (</w:t>
      </w:r>
      <w:r>
        <w:rPr>
          <w:lang w:val="en-GB"/>
        </w:rPr>
        <w:t xml:space="preserve">Kin) and 0.3 </w:t>
      </w:r>
      <w:r w:rsidRPr="00EC45E6">
        <w:rPr>
          <w:lang w:val="en-GB"/>
        </w:rPr>
        <w:t>mg l</w:t>
      </w:r>
      <w:r w:rsidRPr="00EC45E6">
        <w:rPr>
          <w:vertAlign w:val="superscript"/>
          <w:lang w:val="en-GB"/>
        </w:rPr>
        <w:t>-1</w:t>
      </w:r>
      <w:r>
        <w:rPr>
          <w:vertAlign w:val="superscript"/>
          <w:lang w:val="en-GB"/>
        </w:rPr>
        <w:t xml:space="preserve"> </w:t>
      </w:r>
      <w:r>
        <w:rPr>
          <w:lang w:val="en-GB"/>
        </w:rPr>
        <w:t>gibberellic acid (GA</w:t>
      </w:r>
      <w:r w:rsidRPr="003A7B78">
        <w:rPr>
          <w:vertAlign w:val="subscript"/>
          <w:lang w:val="en-GB"/>
        </w:rPr>
        <w:t>3</w:t>
      </w:r>
      <w:r>
        <w:rPr>
          <w:lang w:val="en-GB"/>
        </w:rPr>
        <w:t xml:space="preserve">) (i.e., regeneration medium, Ozudogru et al., 2011). </w:t>
      </w:r>
      <w:r w:rsidR="0031000D">
        <w:rPr>
          <w:lang w:val="en-GB"/>
        </w:rPr>
        <w:t xml:space="preserve">All the media used in the study </w:t>
      </w:r>
      <w:r w:rsidR="0031000D" w:rsidRPr="00E2535B">
        <w:rPr>
          <w:lang w:val="en-GB"/>
        </w:rPr>
        <w:t xml:space="preserve">were </w:t>
      </w:r>
      <w:r w:rsidR="0031000D" w:rsidRPr="00816FD3">
        <w:rPr>
          <w:lang w:val="en-GB"/>
        </w:rPr>
        <w:t xml:space="preserve">supplemented with </w:t>
      </w:r>
      <w:smartTag w:uri="urn:schemas-microsoft-com:office:smarttags" w:element="metricconverter">
        <w:smartTagPr>
          <w:attr w:name="ProductID" w:val="30 g"/>
        </w:smartTagPr>
        <w:r w:rsidR="0031000D" w:rsidRPr="00816FD3">
          <w:rPr>
            <w:lang w:val="en-GB"/>
          </w:rPr>
          <w:t>30 g</w:t>
        </w:r>
      </w:smartTag>
      <w:r w:rsidR="0031000D" w:rsidRPr="00816FD3">
        <w:rPr>
          <w:lang w:val="en-GB"/>
        </w:rPr>
        <w:t xml:space="preserve"> l</w:t>
      </w:r>
      <w:r w:rsidR="0031000D" w:rsidRPr="00816FD3">
        <w:rPr>
          <w:vertAlign w:val="superscript"/>
          <w:lang w:val="en-GB"/>
        </w:rPr>
        <w:t>-1</w:t>
      </w:r>
      <w:r w:rsidR="0031000D" w:rsidRPr="00816FD3">
        <w:rPr>
          <w:lang w:val="en-GB"/>
        </w:rPr>
        <w:t xml:space="preserve"> </w:t>
      </w:r>
      <w:r w:rsidR="0031000D" w:rsidRPr="00D46CBC">
        <w:rPr>
          <w:lang w:val="en-GB"/>
        </w:rPr>
        <w:t>sucrose and gelled with 3 g l</w:t>
      </w:r>
      <w:r w:rsidR="0031000D" w:rsidRPr="00D46CBC">
        <w:rPr>
          <w:vertAlign w:val="superscript"/>
          <w:lang w:val="en-GB"/>
        </w:rPr>
        <w:t>-1</w:t>
      </w:r>
      <w:r w:rsidR="0031000D" w:rsidRPr="00D46CBC">
        <w:rPr>
          <w:lang w:val="en-GB"/>
        </w:rPr>
        <w:t xml:space="preserve"> gelrite. The pH was adjusted to 5.8 with 1N NaOH</w:t>
      </w:r>
      <w:r w:rsidR="0031000D" w:rsidRPr="00816FD3">
        <w:rPr>
          <w:lang w:val="en-GB"/>
        </w:rPr>
        <w:t xml:space="preserve"> </w:t>
      </w:r>
      <w:r w:rsidR="0031000D" w:rsidRPr="00D46CBC">
        <w:rPr>
          <w:lang w:val="en-GB"/>
        </w:rPr>
        <w:t xml:space="preserve">or HCl prior to the inclusion of gelrite and autoclaved </w:t>
      </w:r>
      <w:r w:rsidR="0031000D">
        <w:rPr>
          <w:lang w:val="en-GB"/>
        </w:rPr>
        <w:t>for</w:t>
      </w:r>
      <w:r w:rsidR="0031000D" w:rsidRPr="00D46CBC">
        <w:rPr>
          <w:lang w:val="en-GB"/>
        </w:rPr>
        <w:t xml:space="preserve"> 20 min at </w:t>
      </w:r>
      <w:smartTag w:uri="urn:schemas-microsoft-com:office:smarttags" w:element="metricconverter">
        <w:smartTagPr>
          <w:attr w:name="ProductID" w:val="121ﾰC"/>
        </w:smartTagPr>
        <w:r w:rsidR="0031000D" w:rsidRPr="00D46CBC">
          <w:rPr>
            <w:lang w:val="en-GB"/>
          </w:rPr>
          <w:t>121°C</w:t>
        </w:r>
      </w:smartTag>
      <w:r w:rsidR="0031000D" w:rsidRPr="00D46CBC">
        <w:rPr>
          <w:lang w:val="en-GB"/>
        </w:rPr>
        <w:t>.</w:t>
      </w:r>
    </w:p>
    <w:p w:rsidR="00C17708" w:rsidRDefault="00B27F18" w:rsidP="00BA457F">
      <w:pPr>
        <w:spacing w:line="480" w:lineRule="auto"/>
        <w:ind w:firstLine="709"/>
        <w:jc w:val="both"/>
        <w:rPr>
          <w:lang w:val="en-GB"/>
        </w:rPr>
      </w:pPr>
      <w:r>
        <w:rPr>
          <w:lang w:val="en-GB"/>
        </w:rPr>
        <w:t>Established shoot</w:t>
      </w:r>
      <w:r w:rsidR="00C17708">
        <w:rPr>
          <w:lang w:val="en-GB"/>
        </w:rPr>
        <w:t xml:space="preserve"> cultures were maintained </w:t>
      </w:r>
      <w:r>
        <w:rPr>
          <w:lang w:val="en-GB"/>
        </w:rPr>
        <w:t>in glass jars (98.5 mm height, with a capacity of 170 ml, Sigma</w:t>
      </w:r>
      <w:r w:rsidRPr="00E31F14">
        <w:rPr>
          <w:vertAlign w:val="superscript"/>
          <w:lang w:val="en-GB"/>
        </w:rPr>
        <w:t>®</w:t>
      </w:r>
      <w:r>
        <w:rPr>
          <w:lang w:val="en-GB"/>
        </w:rPr>
        <w:t xml:space="preserve"> V0633), </w:t>
      </w:r>
      <w:r w:rsidR="00C17708">
        <w:rPr>
          <w:lang w:val="en-GB"/>
        </w:rPr>
        <w:t xml:space="preserve">at </w:t>
      </w:r>
      <w:r w:rsidR="00C17708" w:rsidRPr="00EC45E6">
        <w:rPr>
          <w:lang w:val="en-GB"/>
        </w:rPr>
        <w:t>23±2°C, under a 16 h photoperiod, provided by cool daylight fluorescent lamps</w:t>
      </w:r>
      <w:r w:rsidR="00C17708">
        <w:rPr>
          <w:lang w:val="en-GB"/>
        </w:rPr>
        <w:t xml:space="preserve"> at </w:t>
      </w:r>
      <w:r w:rsidR="00C17708" w:rsidRPr="00E2535B">
        <w:rPr>
          <w:lang w:val="en-GB"/>
        </w:rPr>
        <w:t>36 µmol m</w:t>
      </w:r>
      <w:r w:rsidR="00C17708" w:rsidRPr="00BF2749">
        <w:rPr>
          <w:vertAlign w:val="superscript"/>
          <w:lang w:val="en-GB"/>
        </w:rPr>
        <w:t>-2</w:t>
      </w:r>
      <w:r w:rsidR="00C17708" w:rsidRPr="00E2535B">
        <w:rPr>
          <w:lang w:val="en-GB"/>
        </w:rPr>
        <w:t xml:space="preserve"> s</w:t>
      </w:r>
      <w:r w:rsidR="00C17708" w:rsidRPr="00BF2749">
        <w:rPr>
          <w:vertAlign w:val="superscript"/>
          <w:lang w:val="en-GB"/>
        </w:rPr>
        <w:t>-1</w:t>
      </w:r>
      <w:r w:rsidR="00C17708">
        <w:rPr>
          <w:lang w:val="en-GB"/>
        </w:rPr>
        <w:t xml:space="preserve"> (i.e., standard culture conditions) by periodically subculturing (at 4-week intervals) to </w:t>
      </w:r>
      <w:r w:rsidR="00C17708" w:rsidRPr="00EC45E6">
        <w:rPr>
          <w:lang w:val="en-GB"/>
        </w:rPr>
        <w:t xml:space="preserve">semi-solid </w:t>
      </w:r>
      <w:r w:rsidR="00C17708">
        <w:rPr>
          <w:lang w:val="en-GB"/>
        </w:rPr>
        <w:t xml:space="preserve">MS medium of the same composition. </w:t>
      </w:r>
    </w:p>
    <w:p w:rsidR="000A7FB7" w:rsidRDefault="000A7FB7" w:rsidP="00AC2417">
      <w:pPr>
        <w:spacing w:line="480" w:lineRule="auto"/>
        <w:jc w:val="both"/>
        <w:rPr>
          <w:b/>
          <w:i/>
          <w:lang w:val="en-GB"/>
        </w:rPr>
      </w:pPr>
    </w:p>
    <w:p w:rsidR="006F5397" w:rsidRPr="003A1B0D" w:rsidRDefault="006F5397" w:rsidP="00AC2417">
      <w:pPr>
        <w:spacing w:line="480" w:lineRule="auto"/>
        <w:jc w:val="both"/>
        <w:rPr>
          <w:b/>
          <w:i/>
          <w:lang w:val="en-GB"/>
        </w:rPr>
      </w:pPr>
      <w:r w:rsidRPr="003A1B0D">
        <w:rPr>
          <w:b/>
          <w:i/>
          <w:lang w:val="en-GB"/>
        </w:rPr>
        <w:lastRenderedPageBreak/>
        <w:t>Slow growth storage</w:t>
      </w:r>
    </w:p>
    <w:p w:rsidR="00B2288A" w:rsidRDefault="006F5397" w:rsidP="00C246BB">
      <w:pPr>
        <w:spacing w:line="480" w:lineRule="auto"/>
        <w:ind w:firstLine="709"/>
        <w:jc w:val="both"/>
        <w:rPr>
          <w:lang w:val="en-GB"/>
        </w:rPr>
      </w:pPr>
      <w:r>
        <w:rPr>
          <w:lang w:val="en-GB"/>
        </w:rPr>
        <w:t xml:space="preserve">Shoot cultures were subcultured to fresh regeneration medium and maintained at standard culture conditions for 14 days, </w:t>
      </w:r>
      <w:r w:rsidR="009957E4">
        <w:rPr>
          <w:lang w:val="en-GB"/>
        </w:rPr>
        <w:t xml:space="preserve">after which </w:t>
      </w:r>
      <w:r>
        <w:rPr>
          <w:lang w:val="en-GB"/>
        </w:rPr>
        <w:t xml:space="preserve">they were transferred to </w:t>
      </w:r>
      <w:r w:rsidRPr="00D90845">
        <w:rPr>
          <w:lang w:val="en-GB"/>
        </w:rPr>
        <w:t xml:space="preserve">cold storage conditions (i.e., 4°C, in darkness). </w:t>
      </w:r>
      <w:r>
        <w:rPr>
          <w:lang w:val="en-GB"/>
        </w:rPr>
        <w:t>Over</w:t>
      </w:r>
      <w:r w:rsidRPr="00D90845">
        <w:rPr>
          <w:lang w:val="en-GB"/>
        </w:rPr>
        <w:t xml:space="preserve"> 13 months, </w:t>
      </w:r>
      <w:r>
        <w:rPr>
          <w:lang w:val="en-GB"/>
        </w:rPr>
        <w:t>four randomly-selected glass jars were recovered monthly from cold storage conditions and</w:t>
      </w:r>
      <w:r w:rsidR="0031000D">
        <w:rPr>
          <w:lang w:val="en-GB"/>
        </w:rPr>
        <w:t xml:space="preserve"> the shoot cultures evaluated for their characteristics of conservation.  </w:t>
      </w:r>
      <w:r>
        <w:rPr>
          <w:lang w:val="en-GB"/>
        </w:rPr>
        <w:t xml:space="preserve"> </w:t>
      </w:r>
    </w:p>
    <w:p w:rsidR="00A93348" w:rsidRDefault="00A93348" w:rsidP="00C246BB">
      <w:pPr>
        <w:spacing w:line="480" w:lineRule="auto"/>
        <w:ind w:firstLine="709"/>
        <w:jc w:val="both"/>
        <w:rPr>
          <w:lang w:val="en-GB"/>
        </w:rPr>
      </w:pPr>
    </w:p>
    <w:p w:rsidR="00B2288A" w:rsidRPr="00B2288A" w:rsidRDefault="00B2288A" w:rsidP="00AC2417">
      <w:pPr>
        <w:spacing w:line="480" w:lineRule="auto"/>
        <w:jc w:val="both"/>
        <w:rPr>
          <w:b/>
          <w:i/>
          <w:lang w:val="en-GB"/>
        </w:rPr>
      </w:pPr>
      <w:r w:rsidRPr="00B2288A">
        <w:rPr>
          <w:b/>
          <w:i/>
          <w:lang w:val="en-GB"/>
        </w:rPr>
        <w:t>Re</w:t>
      </w:r>
      <w:r w:rsidR="003F737F">
        <w:rPr>
          <w:b/>
          <w:i/>
          <w:lang w:val="en-GB"/>
        </w:rPr>
        <w:t>-</w:t>
      </w:r>
      <w:r w:rsidRPr="00B2288A">
        <w:rPr>
          <w:b/>
          <w:i/>
          <w:lang w:val="en-GB"/>
        </w:rPr>
        <w:t>establishment of in vitro shoot cultures after cold storage</w:t>
      </w:r>
    </w:p>
    <w:p w:rsidR="006F5397" w:rsidRDefault="006F5397" w:rsidP="00BA457F">
      <w:pPr>
        <w:spacing w:line="480" w:lineRule="auto"/>
        <w:ind w:firstLine="709"/>
        <w:jc w:val="both"/>
        <w:rPr>
          <w:lang w:val="en-GB"/>
        </w:rPr>
      </w:pPr>
      <w:r>
        <w:rPr>
          <w:lang w:val="en-GB"/>
        </w:rPr>
        <w:t xml:space="preserve">Shoots showing strong browning and decay </w:t>
      </w:r>
      <w:r w:rsidR="00B2288A">
        <w:rPr>
          <w:lang w:val="en-GB"/>
        </w:rPr>
        <w:t xml:space="preserve">in response to cold storage </w:t>
      </w:r>
      <w:r>
        <w:rPr>
          <w:lang w:val="en-GB"/>
        </w:rPr>
        <w:t xml:space="preserve">were discarded, while </w:t>
      </w:r>
      <w:r w:rsidR="00B2288A">
        <w:rPr>
          <w:lang w:val="en-GB"/>
        </w:rPr>
        <w:t xml:space="preserve">1-1.5 cm-long </w:t>
      </w:r>
      <w:r>
        <w:rPr>
          <w:lang w:val="en-GB"/>
        </w:rPr>
        <w:t xml:space="preserve">shoot tips of </w:t>
      </w:r>
      <w:r w:rsidR="003F737F">
        <w:rPr>
          <w:lang w:val="en-GB"/>
        </w:rPr>
        <w:t>healthy</w:t>
      </w:r>
      <w:r>
        <w:rPr>
          <w:lang w:val="en-GB"/>
        </w:rPr>
        <w:t xml:space="preserve"> shoots</w:t>
      </w:r>
      <w:r w:rsidR="00B2288A">
        <w:rPr>
          <w:lang w:val="en-GB"/>
        </w:rPr>
        <w:t xml:space="preserve"> (green or etiolated)</w:t>
      </w:r>
      <w:r>
        <w:rPr>
          <w:lang w:val="en-GB"/>
        </w:rPr>
        <w:t xml:space="preserve"> were excised</w:t>
      </w:r>
      <w:r w:rsidR="00B2288A">
        <w:rPr>
          <w:lang w:val="en-GB"/>
        </w:rPr>
        <w:t xml:space="preserve">, </w:t>
      </w:r>
      <w:r>
        <w:rPr>
          <w:lang w:val="en-GB"/>
        </w:rPr>
        <w:t xml:space="preserve">plated on </w:t>
      </w:r>
      <w:r w:rsidR="006F7635">
        <w:rPr>
          <w:lang w:val="en-GB"/>
        </w:rPr>
        <w:t xml:space="preserve">Petri dishes, containing </w:t>
      </w:r>
      <w:r>
        <w:rPr>
          <w:lang w:val="en-GB"/>
        </w:rPr>
        <w:t>fresh regeneration medium</w:t>
      </w:r>
      <w:r w:rsidR="006F7635">
        <w:rPr>
          <w:lang w:val="en-GB"/>
        </w:rPr>
        <w:t>,</w:t>
      </w:r>
      <w:r w:rsidR="00B2288A">
        <w:rPr>
          <w:lang w:val="en-GB"/>
        </w:rPr>
        <w:t xml:space="preserve"> and transferred back to standard culture condition</w:t>
      </w:r>
      <w:r w:rsidR="0031000D">
        <w:rPr>
          <w:lang w:val="en-GB"/>
        </w:rPr>
        <w:t>s. Their regrowth potential was</w:t>
      </w:r>
      <w:r w:rsidR="00B2288A">
        <w:rPr>
          <w:lang w:val="en-GB"/>
        </w:rPr>
        <w:t xml:space="preserve"> evaluated </w:t>
      </w:r>
      <w:r w:rsidR="00795DEC">
        <w:rPr>
          <w:lang w:val="en-GB"/>
        </w:rPr>
        <w:t xml:space="preserve">at the end of the first subculture period (i.e., </w:t>
      </w:r>
      <w:r w:rsidR="00B2288A">
        <w:rPr>
          <w:lang w:val="en-GB"/>
        </w:rPr>
        <w:t>4 weeks</w:t>
      </w:r>
      <w:r w:rsidR="00795DEC">
        <w:rPr>
          <w:lang w:val="en-GB"/>
        </w:rPr>
        <w:t>)</w:t>
      </w:r>
      <w:r w:rsidR="00B2288A">
        <w:rPr>
          <w:lang w:val="en-GB"/>
        </w:rPr>
        <w:t xml:space="preserve">. </w:t>
      </w:r>
      <w:r>
        <w:rPr>
          <w:lang w:val="en-GB"/>
        </w:rPr>
        <w:t xml:space="preserve"> </w:t>
      </w:r>
    </w:p>
    <w:p w:rsidR="003A7B78" w:rsidRDefault="003A7B78" w:rsidP="00AC2417">
      <w:pPr>
        <w:spacing w:line="480" w:lineRule="auto"/>
        <w:jc w:val="both"/>
        <w:rPr>
          <w:lang w:val="en-GB"/>
        </w:rPr>
      </w:pPr>
    </w:p>
    <w:p w:rsidR="002D78C9" w:rsidRPr="003A1B0D" w:rsidRDefault="00E31F14" w:rsidP="00AC2417">
      <w:pPr>
        <w:spacing w:line="480" w:lineRule="auto"/>
        <w:jc w:val="both"/>
        <w:rPr>
          <w:b/>
          <w:i/>
          <w:szCs w:val="20"/>
          <w:lang w:val="en-GB" w:eastAsia="en-US"/>
        </w:rPr>
      </w:pPr>
      <w:r w:rsidRPr="003A1B0D">
        <w:rPr>
          <w:b/>
          <w:i/>
          <w:szCs w:val="20"/>
          <w:lang w:val="en-GB" w:eastAsia="en-US"/>
        </w:rPr>
        <w:t>Data collection and statistical analysis</w:t>
      </w:r>
    </w:p>
    <w:p w:rsidR="00E31F14" w:rsidRDefault="006F5397" w:rsidP="00BA457F">
      <w:pPr>
        <w:spacing w:line="480" w:lineRule="auto"/>
        <w:ind w:firstLine="709"/>
        <w:jc w:val="both"/>
        <w:rPr>
          <w:lang w:val="en-GB"/>
        </w:rPr>
      </w:pPr>
      <w:r>
        <w:rPr>
          <w:lang w:val="en-GB"/>
        </w:rPr>
        <w:t>T</w:t>
      </w:r>
      <w:r w:rsidR="0006536D">
        <w:rPr>
          <w:lang w:val="en-GB"/>
        </w:rPr>
        <w:t xml:space="preserve">wo replications of </w:t>
      </w:r>
      <w:r w:rsidR="00F36F61">
        <w:rPr>
          <w:lang w:val="en-GB"/>
        </w:rPr>
        <w:t xml:space="preserve">four </w:t>
      </w:r>
      <w:r w:rsidR="00B27F18">
        <w:rPr>
          <w:lang w:val="en-GB"/>
        </w:rPr>
        <w:t>glass jars</w:t>
      </w:r>
      <w:r w:rsidR="0006536D">
        <w:rPr>
          <w:lang w:val="en-GB"/>
        </w:rPr>
        <w:t>, each containing 15 shoots, were used for each storage period (i.e., 1, 2, 3,… 13 months) and each experiment was repeated twice.</w:t>
      </w:r>
      <w:r w:rsidR="0031000D">
        <w:rPr>
          <w:lang w:val="en-GB"/>
        </w:rPr>
        <w:t xml:space="preserve"> After each month,</w:t>
      </w:r>
      <w:r w:rsidR="0006536D">
        <w:rPr>
          <w:lang w:val="en-GB"/>
        </w:rPr>
        <w:t xml:space="preserve"> </w:t>
      </w:r>
      <w:r w:rsidR="0031000D">
        <w:rPr>
          <w:lang w:val="en-GB"/>
        </w:rPr>
        <w:t>the percentage of healthy shoot clusters,</w:t>
      </w:r>
      <w:r w:rsidR="003F737F">
        <w:rPr>
          <w:lang w:val="en-GB"/>
        </w:rPr>
        <w:t xml:space="preserve"> </w:t>
      </w:r>
      <w:r w:rsidR="00A93348">
        <w:rPr>
          <w:lang w:val="en-GB"/>
        </w:rPr>
        <w:t>(</w:t>
      </w:r>
      <w:r w:rsidR="0031000D">
        <w:rPr>
          <w:lang w:val="en-GB"/>
        </w:rPr>
        <w:t>i.e., the  clusters showing no sign of decay which could be used for culture re-establishment after shoot tip transfer in standard culture conditions</w:t>
      </w:r>
      <w:r w:rsidR="00A93348">
        <w:rPr>
          <w:lang w:val="en-GB"/>
        </w:rPr>
        <w:t>) was determined</w:t>
      </w:r>
      <w:r w:rsidR="0031000D">
        <w:rPr>
          <w:lang w:val="en-GB"/>
        </w:rPr>
        <w:t>. Etiolated shoots were considered healthy; however, the level of etiolation was visually evaluated. Tissue and medium browning was also visually evaluated.</w:t>
      </w:r>
      <w:r w:rsidR="00A93348">
        <w:rPr>
          <w:lang w:val="en-GB"/>
        </w:rPr>
        <w:t xml:space="preserve"> </w:t>
      </w:r>
      <w:r w:rsidR="00B27F18">
        <w:rPr>
          <w:lang w:val="en-GB"/>
        </w:rPr>
        <w:t>Following</w:t>
      </w:r>
      <w:r w:rsidR="0031000D">
        <w:rPr>
          <w:lang w:val="en-GB"/>
        </w:rPr>
        <w:t xml:space="preserve"> </w:t>
      </w:r>
      <w:r w:rsidR="00B27F18">
        <w:rPr>
          <w:lang w:val="en-GB"/>
        </w:rPr>
        <w:t>the transfer to</w:t>
      </w:r>
      <w:r w:rsidR="0031000D">
        <w:rPr>
          <w:lang w:val="en-GB"/>
        </w:rPr>
        <w:t xml:space="preserve"> standard </w:t>
      </w:r>
      <w:r w:rsidR="00B27F18">
        <w:rPr>
          <w:lang w:val="en-GB"/>
        </w:rPr>
        <w:t xml:space="preserve">culture </w:t>
      </w:r>
      <w:r w:rsidR="0031000D">
        <w:rPr>
          <w:lang w:val="en-GB"/>
        </w:rPr>
        <w:t xml:space="preserve">conditions, the </w:t>
      </w:r>
      <w:r w:rsidR="00E31F14">
        <w:rPr>
          <w:lang w:val="en-GB"/>
        </w:rPr>
        <w:t>regrowth rate</w:t>
      </w:r>
      <w:r w:rsidR="00AA7FB8">
        <w:rPr>
          <w:lang w:val="en-GB"/>
        </w:rPr>
        <w:t xml:space="preserve"> of the excised shoot tips</w:t>
      </w:r>
      <w:r w:rsidR="00E31F14">
        <w:rPr>
          <w:lang w:val="en-GB"/>
        </w:rPr>
        <w:t xml:space="preserve"> (%</w:t>
      </w:r>
      <w:r w:rsidR="00171AD5">
        <w:rPr>
          <w:lang w:val="en-GB"/>
        </w:rPr>
        <w:t xml:space="preserve"> of shoot tips, able to retain regrowth potential</w:t>
      </w:r>
      <w:r w:rsidR="00E31F14">
        <w:rPr>
          <w:lang w:val="en-GB"/>
        </w:rPr>
        <w:t>)</w:t>
      </w:r>
      <w:r w:rsidR="0012727B">
        <w:rPr>
          <w:lang w:val="en-GB"/>
        </w:rPr>
        <w:t xml:space="preserve">, </w:t>
      </w:r>
      <w:r w:rsidR="00B27F18">
        <w:rPr>
          <w:lang w:val="en-GB"/>
        </w:rPr>
        <w:t>the average</w:t>
      </w:r>
      <w:r w:rsidR="0012727B">
        <w:rPr>
          <w:lang w:val="en-GB"/>
        </w:rPr>
        <w:t xml:space="preserve"> shoot number</w:t>
      </w:r>
      <w:r w:rsidR="00FD5D76">
        <w:rPr>
          <w:lang w:val="en-GB"/>
        </w:rPr>
        <w:t xml:space="preserve"> (</w:t>
      </w:r>
      <w:r w:rsidR="00FD5D76" w:rsidRPr="00225A0A">
        <w:rPr>
          <w:lang w:val="en-GB"/>
        </w:rPr>
        <w:t xml:space="preserve">no ± </w:t>
      </w:r>
      <w:r w:rsidR="003F737F">
        <w:rPr>
          <w:lang w:val="en-GB"/>
        </w:rPr>
        <w:t>SE</w:t>
      </w:r>
      <w:r w:rsidR="00FD5D76">
        <w:rPr>
          <w:lang w:val="en-GB"/>
        </w:rPr>
        <w:t>)</w:t>
      </w:r>
      <w:r w:rsidR="0012727B">
        <w:rPr>
          <w:lang w:val="en-GB"/>
        </w:rPr>
        <w:t xml:space="preserve"> and </w:t>
      </w:r>
      <w:r w:rsidR="00B27F18">
        <w:rPr>
          <w:lang w:val="en-GB"/>
        </w:rPr>
        <w:t>the average</w:t>
      </w:r>
      <w:r w:rsidR="0012727B">
        <w:rPr>
          <w:lang w:val="en-GB"/>
        </w:rPr>
        <w:t xml:space="preserve"> shoot length (cm</w:t>
      </w:r>
      <w:r w:rsidR="00FD5D76" w:rsidRPr="00225A0A">
        <w:rPr>
          <w:lang w:val="en-GB"/>
        </w:rPr>
        <w:t xml:space="preserve"> ± </w:t>
      </w:r>
      <w:r w:rsidR="003F737F">
        <w:rPr>
          <w:lang w:val="en-GB"/>
        </w:rPr>
        <w:t>SE</w:t>
      </w:r>
      <w:r w:rsidR="0012727B">
        <w:rPr>
          <w:lang w:val="en-GB"/>
        </w:rPr>
        <w:t xml:space="preserve">) </w:t>
      </w:r>
      <w:r w:rsidR="00795DEC">
        <w:rPr>
          <w:lang w:val="en-GB"/>
        </w:rPr>
        <w:t>were</w:t>
      </w:r>
      <w:r w:rsidR="00F36F61">
        <w:rPr>
          <w:lang w:val="en-GB"/>
        </w:rPr>
        <w:t xml:space="preserve"> </w:t>
      </w:r>
      <w:r w:rsidR="00E31F14">
        <w:rPr>
          <w:lang w:val="en-GB"/>
        </w:rPr>
        <w:t xml:space="preserve">recorded </w:t>
      </w:r>
      <w:r w:rsidR="00B27F18">
        <w:rPr>
          <w:lang w:val="en-GB"/>
        </w:rPr>
        <w:t xml:space="preserve">after </w:t>
      </w:r>
      <w:r w:rsidR="00E31F14">
        <w:rPr>
          <w:lang w:val="en-GB"/>
        </w:rPr>
        <w:t xml:space="preserve">4 weeks. </w:t>
      </w:r>
      <w:r w:rsidR="00FD5D76">
        <w:rPr>
          <w:lang w:val="en-GB"/>
        </w:rPr>
        <w:t xml:space="preserve">Based on </w:t>
      </w:r>
      <w:r w:rsidR="00F36F61">
        <w:rPr>
          <w:lang w:val="en-GB"/>
        </w:rPr>
        <w:t xml:space="preserve">these </w:t>
      </w:r>
      <w:r w:rsidR="00FD5D76">
        <w:rPr>
          <w:lang w:val="en-GB"/>
        </w:rPr>
        <w:t xml:space="preserve">data, Shoot Forming Capacity Index (SFC Index, </w:t>
      </w:r>
      <w:r w:rsidR="00FD5D76" w:rsidRPr="00225A0A">
        <w:rPr>
          <w:lang w:val="en-GB"/>
        </w:rPr>
        <w:t>Lambardi et al. 1993</w:t>
      </w:r>
      <w:r w:rsidR="00FD5D76">
        <w:rPr>
          <w:lang w:val="en-GB"/>
        </w:rPr>
        <w:t>) was calculated as follows:</w:t>
      </w:r>
    </w:p>
    <w:p w:rsidR="00FD5D76" w:rsidRPr="00225A0A" w:rsidRDefault="00FD5D76" w:rsidP="00B27F18">
      <w:pPr>
        <w:spacing w:line="480" w:lineRule="auto"/>
        <w:jc w:val="both"/>
        <w:rPr>
          <w:lang w:val="en-GB"/>
        </w:rPr>
      </w:pPr>
      <w:r w:rsidRPr="00225A0A">
        <w:rPr>
          <w:lang w:val="en-GB"/>
        </w:rPr>
        <w:lastRenderedPageBreak/>
        <w:t>SFC</w:t>
      </w:r>
      <w:r>
        <w:rPr>
          <w:lang w:val="en-GB"/>
        </w:rPr>
        <w:t xml:space="preserve"> Index</w:t>
      </w:r>
      <w:r w:rsidRPr="00225A0A">
        <w:rPr>
          <w:lang w:val="en-GB"/>
        </w:rPr>
        <w:t xml:space="preserve"> = (average no of shoots per regeneratin</w:t>
      </w:r>
      <w:r w:rsidR="00B27F18">
        <w:rPr>
          <w:lang w:val="en-GB"/>
        </w:rPr>
        <w:t xml:space="preserve">g explant) x (% of regenerating </w:t>
      </w:r>
      <w:r w:rsidRPr="00225A0A">
        <w:rPr>
          <w:lang w:val="en-GB"/>
        </w:rPr>
        <w:t>explant</w:t>
      </w:r>
      <w:r w:rsidR="00F36F61">
        <w:rPr>
          <w:lang w:val="en-GB"/>
        </w:rPr>
        <w:t>s</w:t>
      </w:r>
      <w:r w:rsidRPr="00225A0A">
        <w:rPr>
          <w:lang w:val="en-GB"/>
        </w:rPr>
        <w:t>)/100</w:t>
      </w:r>
    </w:p>
    <w:p w:rsidR="00E31F14" w:rsidRDefault="00BA457F" w:rsidP="00BA457F">
      <w:pPr>
        <w:tabs>
          <w:tab w:val="left" w:pos="720"/>
        </w:tabs>
        <w:spacing w:line="480" w:lineRule="auto"/>
        <w:jc w:val="both"/>
        <w:rPr>
          <w:lang w:val="en-GB"/>
        </w:rPr>
      </w:pPr>
      <w:r>
        <w:rPr>
          <w:lang w:val="en-GB"/>
        </w:rPr>
        <w:tab/>
      </w:r>
      <w:r w:rsidR="00E31F14" w:rsidRPr="00EC45E6">
        <w:rPr>
          <w:lang w:val="en-GB"/>
        </w:rPr>
        <w:t xml:space="preserve">Statistical analysis of percentages was carried out by the </w:t>
      </w:r>
      <w:r w:rsidR="00E31F14" w:rsidRPr="00EC45E6">
        <w:rPr>
          <w:i/>
          <w:iCs/>
          <w:lang w:val="en-GB"/>
        </w:rPr>
        <w:t>X</w:t>
      </w:r>
      <w:r w:rsidR="00E31F14" w:rsidRPr="00EC45E6">
        <w:rPr>
          <w:vertAlign w:val="superscript"/>
          <w:lang w:val="en-GB"/>
        </w:rPr>
        <w:t>2</w:t>
      </w:r>
      <w:r w:rsidR="00B27F18">
        <w:rPr>
          <w:lang w:val="en-GB"/>
        </w:rPr>
        <w:t>-based Post H</w:t>
      </w:r>
      <w:r w:rsidR="00E31F14" w:rsidRPr="00EC45E6">
        <w:rPr>
          <w:lang w:val="en-GB"/>
        </w:rPr>
        <w:t xml:space="preserve">oc Multiple Comparisons test (Marascuilo and McSweeney 1977). </w:t>
      </w:r>
      <w:r w:rsidR="00E31F14" w:rsidRPr="00EC45E6">
        <w:rPr>
          <w:rFonts w:ascii="AdvPS7014" w:hAnsi="AdvPS7014" w:cs="AdvPS7014"/>
          <w:lang w:val="en-GB"/>
        </w:rPr>
        <w:t>Discrete data were subjected to</w:t>
      </w:r>
      <w:r w:rsidR="00E31F14" w:rsidRPr="006E30CF">
        <w:rPr>
          <w:rFonts w:ascii="AdvPS7014" w:hAnsi="AdvPS7014" w:cs="AdvPS7014"/>
          <w:lang w:val="en-GB"/>
        </w:rPr>
        <w:t xml:space="preserve"> ANOVA, followed by the least significant difference (LSD) test at </w:t>
      </w:r>
      <w:r w:rsidR="00E31F14" w:rsidRPr="006E30CF">
        <w:rPr>
          <w:rFonts w:ascii="AdvPS7018" w:hAnsi="AdvPS7018" w:cs="AdvPS7018"/>
          <w:lang w:val="en-GB"/>
        </w:rPr>
        <w:t>P</w:t>
      </w:r>
      <w:r w:rsidR="00E31F14" w:rsidRPr="006E30CF">
        <w:rPr>
          <w:rFonts w:ascii="AdvPS7DA6" w:hAnsi="AdvPS7DA6" w:cs="AdvPS7DA6"/>
          <w:lang w:val="en-GB"/>
        </w:rPr>
        <w:t>≤</w:t>
      </w:r>
      <w:r w:rsidR="00E31F14" w:rsidRPr="006E30CF">
        <w:rPr>
          <w:rFonts w:ascii="AdvPS7014" w:hAnsi="AdvPS7014" w:cs="AdvPS7014"/>
          <w:lang w:val="en-GB"/>
        </w:rPr>
        <w:t>0.05 to compare means.</w:t>
      </w:r>
      <w:r w:rsidR="00E31F14">
        <w:rPr>
          <w:lang w:val="en-GB"/>
        </w:rPr>
        <w:t xml:space="preserve">  </w:t>
      </w:r>
    </w:p>
    <w:p w:rsidR="001E7837" w:rsidRDefault="001E7837" w:rsidP="00AC2417">
      <w:pPr>
        <w:spacing w:line="480" w:lineRule="auto"/>
        <w:jc w:val="both"/>
        <w:rPr>
          <w:lang w:val="en-GB"/>
        </w:rPr>
      </w:pPr>
    </w:p>
    <w:p w:rsidR="001B257C" w:rsidRPr="001B257C" w:rsidRDefault="003A1B0D" w:rsidP="00AC2417">
      <w:pPr>
        <w:spacing w:line="480" w:lineRule="auto"/>
        <w:jc w:val="both"/>
        <w:rPr>
          <w:b/>
          <w:lang w:val="en-GB"/>
        </w:rPr>
      </w:pPr>
      <w:r w:rsidRPr="00DE1EEF">
        <w:rPr>
          <w:b/>
          <w:lang w:val="en-GB"/>
        </w:rPr>
        <w:t>RESULTS AND DISCUSSION</w:t>
      </w:r>
    </w:p>
    <w:p w:rsidR="00DE1EEF" w:rsidRDefault="000A7FB7" w:rsidP="00AC2417">
      <w:pPr>
        <w:spacing w:line="480" w:lineRule="auto"/>
        <w:jc w:val="both"/>
        <w:rPr>
          <w:b/>
          <w:i/>
          <w:lang w:val="en-GB"/>
        </w:rPr>
      </w:pPr>
      <w:r>
        <w:rPr>
          <w:b/>
          <w:i/>
          <w:lang w:val="en-GB"/>
        </w:rPr>
        <w:t>Seed disinfection and culture establishment</w:t>
      </w:r>
    </w:p>
    <w:p w:rsidR="000A7FB7" w:rsidRPr="00DB74C9" w:rsidRDefault="000A7FB7" w:rsidP="00BA457F">
      <w:pPr>
        <w:spacing w:line="480" w:lineRule="auto"/>
        <w:ind w:firstLine="709"/>
        <w:jc w:val="both"/>
        <w:rPr>
          <w:lang w:val="en-GB"/>
        </w:rPr>
      </w:pPr>
      <w:r w:rsidRPr="00DB74C9">
        <w:rPr>
          <w:lang w:val="en-GB"/>
        </w:rPr>
        <w:t xml:space="preserve">The protocol developed </w:t>
      </w:r>
      <w:r w:rsidR="00DB74C9">
        <w:rPr>
          <w:lang w:val="en-GB"/>
        </w:rPr>
        <w:t xml:space="preserve">previously for peanut seeds </w:t>
      </w:r>
      <w:r w:rsidRPr="00DB74C9">
        <w:rPr>
          <w:lang w:val="en-GB"/>
        </w:rPr>
        <w:t xml:space="preserve">(Ozudogru et al. 2005) </w:t>
      </w:r>
      <w:r w:rsidR="00DB74C9">
        <w:rPr>
          <w:lang w:val="en-GB"/>
        </w:rPr>
        <w:t xml:space="preserve">enabled 100% thyme seed disinfection. Seeds were then germination </w:t>
      </w:r>
      <w:r w:rsidR="00DB74C9" w:rsidRPr="00DB74C9">
        <w:rPr>
          <w:i/>
          <w:lang w:val="en-GB"/>
        </w:rPr>
        <w:t>in vitro</w:t>
      </w:r>
      <w:r w:rsidR="00DB74C9">
        <w:rPr>
          <w:lang w:val="en-GB"/>
        </w:rPr>
        <w:t xml:space="preserve"> on semi-soli</w:t>
      </w:r>
      <w:r w:rsidR="003A1543">
        <w:rPr>
          <w:lang w:val="en-GB"/>
        </w:rPr>
        <w:t>d MS medium, providing 84</w:t>
      </w:r>
      <w:r w:rsidR="00DB74C9">
        <w:rPr>
          <w:lang w:val="en-GB"/>
        </w:rPr>
        <w:t>% germination rate, wit</w:t>
      </w:r>
      <w:r w:rsidR="00F83034">
        <w:rPr>
          <w:lang w:val="en-GB"/>
        </w:rPr>
        <w:t>h all seeds producing 3 shoots o</w:t>
      </w:r>
      <w:r w:rsidR="00DB74C9">
        <w:rPr>
          <w:lang w:val="en-GB"/>
        </w:rPr>
        <w:t>n average. The most appropriate regeneration medium was previously determined through the examinations of several medium compositions</w:t>
      </w:r>
      <w:r w:rsidR="00F83034">
        <w:rPr>
          <w:lang w:val="en-GB"/>
        </w:rPr>
        <w:t xml:space="preserve"> (Ozudogru et al. 2011)</w:t>
      </w:r>
      <w:r w:rsidR="00DB74C9">
        <w:rPr>
          <w:lang w:val="en-GB"/>
        </w:rPr>
        <w:t xml:space="preserve">. Accordingly, </w:t>
      </w:r>
      <w:r w:rsidR="00F83034">
        <w:rPr>
          <w:lang w:val="en-GB"/>
        </w:rPr>
        <w:t xml:space="preserve">a </w:t>
      </w:r>
      <w:r w:rsidR="00DB74C9">
        <w:rPr>
          <w:lang w:val="en-GB"/>
        </w:rPr>
        <w:t xml:space="preserve">semi-solid MS medium supplemented with 1 mg </w:t>
      </w:r>
      <w:r w:rsidR="003A1543">
        <w:rPr>
          <w:lang w:val="en-GB"/>
        </w:rPr>
        <w:t>l</w:t>
      </w:r>
      <w:r w:rsidR="00DB74C9" w:rsidRPr="00075BFE">
        <w:rPr>
          <w:vertAlign w:val="superscript"/>
          <w:lang w:val="en-GB"/>
        </w:rPr>
        <w:t>-1</w:t>
      </w:r>
      <w:r w:rsidR="003F737F">
        <w:rPr>
          <w:lang w:val="en-GB"/>
        </w:rPr>
        <w:t xml:space="preserve"> Kin</w:t>
      </w:r>
      <w:r w:rsidR="003A1543">
        <w:rPr>
          <w:lang w:val="en-GB"/>
        </w:rPr>
        <w:t xml:space="preserve"> and 0.3 mg l</w:t>
      </w:r>
      <w:r w:rsidR="00DB74C9" w:rsidRPr="00075BFE">
        <w:rPr>
          <w:vertAlign w:val="superscript"/>
          <w:lang w:val="en-GB"/>
        </w:rPr>
        <w:t>-1</w:t>
      </w:r>
      <w:r w:rsidR="003F737F">
        <w:rPr>
          <w:lang w:val="en-GB"/>
        </w:rPr>
        <w:t xml:space="preserve"> </w:t>
      </w:r>
      <w:r w:rsidR="00DB74C9">
        <w:rPr>
          <w:lang w:val="en-GB"/>
        </w:rPr>
        <w:t>GA</w:t>
      </w:r>
      <w:r w:rsidR="00DB74C9" w:rsidRPr="00075BFE">
        <w:rPr>
          <w:vertAlign w:val="subscript"/>
          <w:lang w:val="en-GB"/>
        </w:rPr>
        <w:t>3</w:t>
      </w:r>
      <w:r w:rsidR="00F83034">
        <w:rPr>
          <w:lang w:val="en-GB"/>
        </w:rPr>
        <w:t xml:space="preserve"> was selected, </w:t>
      </w:r>
      <w:r w:rsidR="00075BFE">
        <w:rPr>
          <w:lang w:val="en-GB"/>
        </w:rPr>
        <w:t>provid</w:t>
      </w:r>
      <w:r w:rsidR="00F83034">
        <w:rPr>
          <w:lang w:val="en-GB"/>
        </w:rPr>
        <w:t>ing 97% regeneration rate and</w:t>
      </w:r>
      <w:r w:rsidR="00075BFE">
        <w:rPr>
          <w:lang w:val="en-GB"/>
        </w:rPr>
        <w:t xml:space="preserve"> 8.6 shoots per explant</w:t>
      </w:r>
      <w:r w:rsidR="00F83034">
        <w:rPr>
          <w:lang w:val="en-GB"/>
        </w:rPr>
        <w:t>. The same medium</w:t>
      </w:r>
      <w:r w:rsidR="00075BFE">
        <w:rPr>
          <w:lang w:val="en-GB"/>
        </w:rPr>
        <w:t xml:space="preserve"> was used </w:t>
      </w:r>
      <w:r w:rsidR="00F83034">
        <w:rPr>
          <w:lang w:val="en-GB"/>
        </w:rPr>
        <w:t xml:space="preserve">as </w:t>
      </w:r>
      <w:r w:rsidR="00075BFE">
        <w:rPr>
          <w:lang w:val="en-GB"/>
        </w:rPr>
        <w:t>conservation and post-recovery medium in the present study</w:t>
      </w:r>
      <w:r w:rsidR="00DB74C9">
        <w:rPr>
          <w:lang w:val="en-GB"/>
        </w:rPr>
        <w:t xml:space="preserve">.   </w:t>
      </w:r>
    </w:p>
    <w:p w:rsidR="000A7FB7" w:rsidRDefault="000A7FB7" w:rsidP="000A7FB7">
      <w:pPr>
        <w:spacing w:line="480" w:lineRule="auto"/>
        <w:jc w:val="both"/>
        <w:rPr>
          <w:b/>
          <w:i/>
          <w:lang w:val="en-GB"/>
        </w:rPr>
      </w:pPr>
    </w:p>
    <w:p w:rsidR="00314BCF" w:rsidRPr="003A1B0D" w:rsidRDefault="00943BD4" w:rsidP="00AC2417">
      <w:pPr>
        <w:spacing w:line="480" w:lineRule="auto"/>
        <w:jc w:val="both"/>
        <w:rPr>
          <w:b/>
          <w:i/>
          <w:lang w:val="en-GB"/>
        </w:rPr>
      </w:pPr>
      <w:r w:rsidRPr="003A1B0D">
        <w:rPr>
          <w:b/>
          <w:i/>
          <w:lang w:val="en-GB"/>
        </w:rPr>
        <w:t>S</w:t>
      </w:r>
      <w:r w:rsidR="00F22514" w:rsidRPr="003A1B0D">
        <w:rPr>
          <w:b/>
          <w:i/>
          <w:lang w:val="en-GB"/>
        </w:rPr>
        <w:t>urvival and regrowth potential of</w:t>
      </w:r>
      <w:r w:rsidR="000C614F" w:rsidRPr="003A1B0D">
        <w:rPr>
          <w:b/>
          <w:i/>
          <w:lang w:val="en-GB"/>
        </w:rPr>
        <w:t xml:space="preserve"> shoot tips</w:t>
      </w:r>
      <w:r w:rsidRPr="003A1B0D">
        <w:rPr>
          <w:b/>
          <w:i/>
          <w:lang w:val="en-GB"/>
        </w:rPr>
        <w:t xml:space="preserve"> after slow growth storage</w:t>
      </w:r>
      <w:r w:rsidR="00F22514" w:rsidRPr="003A1B0D">
        <w:rPr>
          <w:b/>
          <w:i/>
          <w:lang w:val="en-GB"/>
        </w:rPr>
        <w:t xml:space="preserve"> </w:t>
      </w:r>
    </w:p>
    <w:p w:rsidR="00B04901" w:rsidRDefault="00795DEC" w:rsidP="00BA457F">
      <w:pPr>
        <w:spacing w:line="480" w:lineRule="auto"/>
        <w:ind w:firstLine="709"/>
        <w:jc w:val="both"/>
        <w:rPr>
          <w:lang/>
        </w:rPr>
      </w:pPr>
      <w:r>
        <w:rPr>
          <w:lang/>
        </w:rPr>
        <w:t>T</w:t>
      </w:r>
      <w:r w:rsidRPr="00E57669">
        <w:rPr>
          <w:lang/>
        </w:rPr>
        <w:t xml:space="preserve">he maintenance of </w:t>
      </w:r>
      <w:r>
        <w:rPr>
          <w:lang/>
        </w:rPr>
        <w:t>shoot</w:t>
      </w:r>
      <w:r w:rsidRPr="00E57669">
        <w:rPr>
          <w:lang/>
        </w:rPr>
        <w:t xml:space="preserve"> cultures at </w:t>
      </w:r>
      <w:r>
        <w:rPr>
          <w:lang/>
        </w:rPr>
        <w:t>low temperature (</w:t>
      </w:r>
      <w:r w:rsidR="00B04901">
        <w:rPr>
          <w:lang/>
        </w:rPr>
        <w:t>‘cold storage’</w:t>
      </w:r>
      <w:r>
        <w:rPr>
          <w:lang/>
        </w:rPr>
        <w:t>),</w:t>
      </w:r>
      <w:r w:rsidRPr="00E57669">
        <w:rPr>
          <w:lang/>
        </w:rPr>
        <w:t xml:space="preserve"> in combination with reduced light intensity or even darkness</w:t>
      </w:r>
      <w:r>
        <w:rPr>
          <w:lang/>
        </w:rPr>
        <w:t>, is the most common approach to slow growth storage of shoot cultures</w:t>
      </w:r>
      <w:r w:rsidRPr="00E57669">
        <w:rPr>
          <w:lang/>
        </w:rPr>
        <w:t>. Low temperature and light intensity provide many advantages, among which are the reduction of (i) respiration, (ii) water loss and wilting, and (iii) ethylene production</w:t>
      </w:r>
      <w:r w:rsidR="000D1AF3" w:rsidRPr="000D1AF3">
        <w:rPr>
          <w:lang/>
        </w:rPr>
        <w:t xml:space="preserve"> </w:t>
      </w:r>
      <w:r w:rsidR="000D1AF3">
        <w:rPr>
          <w:lang/>
        </w:rPr>
        <w:t>(</w:t>
      </w:r>
      <w:r w:rsidR="000D1AF3" w:rsidRPr="00795DEC">
        <w:rPr>
          <w:lang/>
        </w:rPr>
        <w:t>Ozudogru et al. 2010)</w:t>
      </w:r>
      <w:r w:rsidRPr="00E57669">
        <w:rPr>
          <w:lang/>
        </w:rPr>
        <w:t xml:space="preserve">. Temperature usually varies between 0 and </w:t>
      </w:r>
      <w:smartTag w:uri="urn:schemas-microsoft-com:office:smarttags" w:element="metricconverter">
        <w:smartTagPr>
          <w:attr w:name="ProductID" w:val="5ﾰC"/>
        </w:smartTagPr>
        <w:r w:rsidRPr="00E57669">
          <w:rPr>
            <w:lang/>
          </w:rPr>
          <w:t>5°C</w:t>
        </w:r>
      </w:smartTag>
      <w:r w:rsidRPr="00E57669">
        <w:rPr>
          <w:lang/>
        </w:rPr>
        <w:t xml:space="preserve"> for cold tolerant species, and 15-</w:t>
      </w:r>
      <w:smartTag w:uri="urn:schemas-microsoft-com:office:smarttags" w:element="metricconverter">
        <w:smartTagPr>
          <w:attr w:name="ProductID" w:val="25ﾰC"/>
        </w:smartTagPr>
        <w:r w:rsidRPr="00795DEC">
          <w:rPr>
            <w:lang/>
          </w:rPr>
          <w:t>25°C</w:t>
        </w:r>
      </w:smartTag>
      <w:r w:rsidRPr="00795DEC">
        <w:rPr>
          <w:lang/>
        </w:rPr>
        <w:t xml:space="preserve"> for the temperate or tropical species</w:t>
      </w:r>
      <w:r w:rsidR="000D1AF3">
        <w:rPr>
          <w:lang/>
        </w:rPr>
        <w:t xml:space="preserve"> (Lambardi and De Carlo 2003)</w:t>
      </w:r>
      <w:r w:rsidR="00B04901">
        <w:rPr>
          <w:lang/>
        </w:rPr>
        <w:t xml:space="preserve">. Although there are examples of using different medium compositions or hormone-free </w:t>
      </w:r>
      <w:r w:rsidR="00B04901">
        <w:rPr>
          <w:lang/>
        </w:rPr>
        <w:lastRenderedPageBreak/>
        <w:t>medium, cold storage is usually held in the same medium composition as in the proliferation stage</w:t>
      </w:r>
      <w:r w:rsidRPr="00795DEC">
        <w:rPr>
          <w:lang/>
        </w:rPr>
        <w:t>.</w:t>
      </w:r>
      <w:r w:rsidR="00B04901">
        <w:rPr>
          <w:lang/>
        </w:rPr>
        <w:t xml:space="preserve"> Using this technique, the costly and hand-labour subculture intervals can be decreased to once in months (usually from 3-4 months up to 1-2 years, depending on the species</w:t>
      </w:r>
      <w:r w:rsidR="000D1AF3">
        <w:rPr>
          <w:lang/>
        </w:rPr>
        <w:t>;</w:t>
      </w:r>
      <w:r w:rsidR="000D1AF3" w:rsidRPr="000D1AF3">
        <w:rPr>
          <w:lang/>
        </w:rPr>
        <w:t xml:space="preserve"> </w:t>
      </w:r>
      <w:r w:rsidR="000D1AF3">
        <w:rPr>
          <w:lang/>
        </w:rPr>
        <w:t>Ozudogru et al. 2010</w:t>
      </w:r>
      <w:r w:rsidR="00B04901">
        <w:rPr>
          <w:lang/>
        </w:rPr>
        <w:t>), and thus the technique is also referred as ‘medium</w:t>
      </w:r>
      <w:r w:rsidR="00BA457F">
        <w:rPr>
          <w:lang/>
        </w:rPr>
        <w:t xml:space="preserve">-term storage’ </w:t>
      </w:r>
      <w:r w:rsidR="000D1AF3">
        <w:rPr>
          <w:lang/>
        </w:rPr>
        <w:t xml:space="preserve">to differentiate it from cryopreservation </w:t>
      </w:r>
      <w:r w:rsidR="00BA457F">
        <w:rPr>
          <w:lang/>
        </w:rPr>
        <w:t>(</w:t>
      </w:r>
      <w:r w:rsidR="003F737F">
        <w:rPr>
          <w:lang/>
        </w:rPr>
        <w:t>‘</w:t>
      </w:r>
      <w:r w:rsidR="000D1AF3">
        <w:rPr>
          <w:lang/>
        </w:rPr>
        <w:t>long-term storage</w:t>
      </w:r>
      <w:r w:rsidR="003F737F">
        <w:rPr>
          <w:lang/>
        </w:rPr>
        <w:t>’</w:t>
      </w:r>
      <w:r w:rsidR="00B04901">
        <w:rPr>
          <w:lang/>
        </w:rPr>
        <w:t xml:space="preserve">).   </w:t>
      </w:r>
    </w:p>
    <w:p w:rsidR="00E3614E" w:rsidRDefault="009903B7" w:rsidP="00BA457F">
      <w:pPr>
        <w:spacing w:line="480" w:lineRule="auto"/>
        <w:ind w:firstLine="709"/>
        <w:jc w:val="both"/>
        <w:rPr>
          <w:lang/>
        </w:rPr>
      </w:pPr>
      <w:r>
        <w:rPr>
          <w:lang/>
        </w:rPr>
        <w:t>Although some examples exist,</w:t>
      </w:r>
      <w:r w:rsidR="00795DEC" w:rsidRPr="00795DEC">
        <w:rPr>
          <w:lang/>
        </w:rPr>
        <w:t xml:space="preserve"> </w:t>
      </w:r>
      <w:r>
        <w:rPr>
          <w:lang/>
        </w:rPr>
        <w:t xml:space="preserve">application of slow growth storage technique for </w:t>
      </w:r>
      <w:r w:rsidRPr="009903B7">
        <w:rPr>
          <w:i/>
          <w:lang/>
        </w:rPr>
        <w:t>ex situ</w:t>
      </w:r>
      <w:r>
        <w:rPr>
          <w:lang/>
        </w:rPr>
        <w:t xml:space="preserve"> conservation of Lamiaceae species has been limited. </w:t>
      </w:r>
      <w:r w:rsidR="002B303A">
        <w:rPr>
          <w:lang/>
        </w:rPr>
        <w:t>Dube et al. (2011) employed growth retardants, sorbitol and mannito</w:t>
      </w:r>
      <w:r w:rsidR="003F737F">
        <w:rPr>
          <w:lang/>
        </w:rPr>
        <w:t>l, to reduce the growth rate of</w:t>
      </w:r>
      <w:r w:rsidR="002D0771">
        <w:rPr>
          <w:lang/>
        </w:rPr>
        <w:t xml:space="preserve"> </w:t>
      </w:r>
      <w:r w:rsidR="002B303A" w:rsidRPr="002D0771">
        <w:rPr>
          <w:i/>
          <w:lang/>
        </w:rPr>
        <w:t>Coleus forskohlii</w:t>
      </w:r>
      <w:r w:rsidR="002B303A">
        <w:rPr>
          <w:lang/>
        </w:rPr>
        <w:t xml:space="preserve"> Brig. nodal segments, an endangered perennial, aromatic and medicinal plant of the Lamiceae family, and were able to achieve minimal growth 30 days after a culture on MS medium supplemented with 3 M mannitol at 22°C and 16 h photoperiod. </w:t>
      </w:r>
      <w:r w:rsidR="00222800">
        <w:rPr>
          <w:lang/>
        </w:rPr>
        <w:t xml:space="preserve">These authors, however, did not give any indication in terms of maximum storage time of shoot cultures. </w:t>
      </w:r>
      <w:r w:rsidR="000B5253">
        <w:rPr>
          <w:lang/>
        </w:rPr>
        <w:t>Synthetic seeds (containing axillary buds) of</w:t>
      </w:r>
      <w:r w:rsidR="002D0771">
        <w:rPr>
          <w:lang/>
        </w:rPr>
        <w:t xml:space="preserve"> </w:t>
      </w:r>
      <w:r w:rsidR="000B5253" w:rsidRPr="000B5253">
        <w:rPr>
          <w:i/>
          <w:lang/>
        </w:rPr>
        <w:t>Lavandula angustifolia</w:t>
      </w:r>
      <w:r w:rsidR="000B5253">
        <w:rPr>
          <w:lang/>
        </w:rPr>
        <w:t xml:space="preserve"> L., perennial shrub of the family Lamiaceae, were stored at 4°C in sterile water for </w:t>
      </w:r>
      <w:r w:rsidR="00222800">
        <w:rPr>
          <w:lang/>
        </w:rPr>
        <w:t>up to 6 months, maintaning a</w:t>
      </w:r>
      <w:r w:rsidR="000B5253">
        <w:rPr>
          <w:lang/>
        </w:rPr>
        <w:t xml:space="preserve"> germinat</w:t>
      </w:r>
      <w:r w:rsidR="00222800">
        <w:rPr>
          <w:lang/>
        </w:rPr>
        <w:t>i</w:t>
      </w:r>
      <w:r w:rsidR="003F737F">
        <w:rPr>
          <w:lang/>
        </w:rPr>
        <w:t>on potential</w:t>
      </w:r>
      <w:r w:rsidR="00222800">
        <w:rPr>
          <w:lang/>
        </w:rPr>
        <w:t xml:space="preserve"> of 52% after 6 months (</w:t>
      </w:r>
      <w:r w:rsidR="00BA457F">
        <w:rPr>
          <w:lang/>
        </w:rPr>
        <w:t>Leelavathi</w:t>
      </w:r>
      <w:r w:rsidR="000B5253">
        <w:rPr>
          <w:lang/>
        </w:rPr>
        <w:t xml:space="preserve"> 2010).</w:t>
      </w:r>
      <w:r w:rsidR="002D0771">
        <w:rPr>
          <w:lang/>
        </w:rPr>
        <w:t xml:space="preserve"> </w:t>
      </w:r>
      <w:r w:rsidR="00B40E1A">
        <w:rPr>
          <w:lang/>
        </w:rPr>
        <w:t xml:space="preserve">Four accessions of </w:t>
      </w:r>
      <w:r w:rsidR="00B40E1A" w:rsidRPr="00B40E1A">
        <w:rPr>
          <w:i/>
          <w:lang/>
        </w:rPr>
        <w:t>Mentha</w:t>
      </w:r>
      <w:r w:rsidR="00B40E1A">
        <w:rPr>
          <w:lang/>
        </w:rPr>
        <w:t xml:space="preserve"> spp., aromatic and medicinal plants of Lamiaceae family cultivated for their essential oils, were conserved on hormone-free MS medium at</w:t>
      </w:r>
      <w:r w:rsidR="00BA457F">
        <w:rPr>
          <w:lang/>
        </w:rPr>
        <w:t xml:space="preserve"> 2°C for 6 months (Islam et al.</w:t>
      </w:r>
      <w:r w:rsidR="00B40E1A">
        <w:rPr>
          <w:lang/>
        </w:rPr>
        <w:t xml:space="preserve"> 2003). For a successful conservation, authors held the cultures at 20°C and 10°C for one and three weeks, respectively, before they were transferred to 2°C. </w:t>
      </w:r>
      <w:r w:rsidR="00E3614E" w:rsidRPr="00E3614E">
        <w:rPr>
          <w:i/>
          <w:lang/>
        </w:rPr>
        <w:t>Mentha arvensis</w:t>
      </w:r>
      <w:r w:rsidR="00E3614E" w:rsidRPr="00E3614E">
        <w:rPr>
          <w:lang/>
        </w:rPr>
        <w:t xml:space="preserve"> L., </w:t>
      </w:r>
      <w:r w:rsidR="00E3614E" w:rsidRPr="00E3614E">
        <w:rPr>
          <w:i/>
          <w:lang/>
        </w:rPr>
        <w:t>M. spicata</w:t>
      </w:r>
      <w:r w:rsidR="00E3614E" w:rsidRPr="00E3614E">
        <w:rPr>
          <w:lang/>
        </w:rPr>
        <w:t xml:space="preserve"> L., </w:t>
      </w:r>
      <w:r w:rsidR="00E3614E" w:rsidRPr="00E3614E">
        <w:rPr>
          <w:i/>
          <w:lang/>
        </w:rPr>
        <w:t>M. suaveolens</w:t>
      </w:r>
      <w:r w:rsidR="00E3614E">
        <w:rPr>
          <w:lang/>
        </w:rPr>
        <w:t xml:space="preserve"> </w:t>
      </w:r>
      <w:r w:rsidR="00E3614E" w:rsidRPr="00E3614E">
        <w:rPr>
          <w:lang/>
        </w:rPr>
        <w:t xml:space="preserve">Ehrh. hybrid, and </w:t>
      </w:r>
      <w:r w:rsidR="00E3614E" w:rsidRPr="00E3614E">
        <w:rPr>
          <w:i/>
          <w:lang/>
        </w:rPr>
        <w:t>M. suaveolens</w:t>
      </w:r>
      <w:r w:rsidR="00E3614E" w:rsidRPr="00E3614E">
        <w:rPr>
          <w:lang/>
        </w:rPr>
        <w:t xml:space="preserve"> cv. Variegata, were evaluated for survival during storage</w:t>
      </w:r>
      <w:r w:rsidR="00E3614E">
        <w:rPr>
          <w:lang/>
        </w:rPr>
        <w:t xml:space="preserve"> </w:t>
      </w:r>
      <w:r w:rsidR="00E3614E" w:rsidRPr="00E3614E">
        <w:rPr>
          <w:lang/>
        </w:rPr>
        <w:t>in</w:t>
      </w:r>
      <w:r w:rsidR="00E3614E">
        <w:rPr>
          <w:lang/>
        </w:rPr>
        <w:t xml:space="preserve"> MS</w:t>
      </w:r>
      <w:r w:rsidR="00E3614E" w:rsidRPr="00E3614E">
        <w:rPr>
          <w:lang/>
        </w:rPr>
        <w:t xml:space="preserve"> media containing three concentrations</w:t>
      </w:r>
      <w:r w:rsidR="00E3614E">
        <w:rPr>
          <w:lang/>
        </w:rPr>
        <w:t xml:space="preserve"> (25%, 50% and 100%)</w:t>
      </w:r>
      <w:r w:rsidR="00222800">
        <w:rPr>
          <w:lang/>
        </w:rPr>
        <w:t xml:space="preserve"> of nitrogen</w:t>
      </w:r>
      <w:r w:rsidR="00E3614E" w:rsidRPr="00E3614E">
        <w:rPr>
          <w:lang/>
        </w:rPr>
        <w:t xml:space="preserve"> and in four light and temperature regimes</w:t>
      </w:r>
      <w:r w:rsidR="00E3614E">
        <w:rPr>
          <w:lang/>
        </w:rPr>
        <w:t xml:space="preserve"> (at 4°C and –1°C in darkness, at 4°C with a 12h</w:t>
      </w:r>
      <w:r w:rsidR="0018170A">
        <w:rPr>
          <w:lang/>
        </w:rPr>
        <w:t xml:space="preserve"> photoperiod, and at 25</w:t>
      </w:r>
      <w:r w:rsidR="00E3614E" w:rsidRPr="00E3614E">
        <w:rPr>
          <w:lang/>
        </w:rPr>
        <w:t>°C</w:t>
      </w:r>
      <w:r w:rsidR="00E3614E">
        <w:rPr>
          <w:lang/>
        </w:rPr>
        <w:t xml:space="preserve"> with a 16h</w:t>
      </w:r>
      <w:r w:rsidR="00E3614E" w:rsidRPr="00E3614E">
        <w:rPr>
          <w:lang/>
        </w:rPr>
        <w:t xml:space="preserve"> photoperiod</w:t>
      </w:r>
      <w:r w:rsidR="00222800">
        <w:rPr>
          <w:lang/>
        </w:rPr>
        <w:t xml:space="preserve">; </w:t>
      </w:r>
      <w:r w:rsidR="00BA457F">
        <w:rPr>
          <w:lang/>
        </w:rPr>
        <w:t>Reed</w:t>
      </w:r>
      <w:r w:rsidR="00E3614E">
        <w:rPr>
          <w:lang/>
        </w:rPr>
        <w:t xml:space="preserve"> 1999)</w:t>
      </w:r>
      <w:r w:rsidR="00E3614E" w:rsidRPr="00E3614E">
        <w:rPr>
          <w:lang/>
        </w:rPr>
        <w:t xml:space="preserve">. </w:t>
      </w:r>
      <w:r w:rsidR="00E3614E">
        <w:rPr>
          <w:lang/>
        </w:rPr>
        <w:t>Author reported that the s</w:t>
      </w:r>
      <w:r w:rsidR="00E3614E" w:rsidRPr="00E3614E">
        <w:rPr>
          <w:lang/>
        </w:rPr>
        <w:t xml:space="preserve">hoots of </w:t>
      </w:r>
      <w:r w:rsidR="00E3614E">
        <w:rPr>
          <w:lang/>
        </w:rPr>
        <w:t>all four genotypes stored at 25</w:t>
      </w:r>
      <w:r w:rsidR="00E3614E" w:rsidRPr="00E3614E">
        <w:rPr>
          <w:lang/>
        </w:rPr>
        <w:t>°C were in excellent</w:t>
      </w:r>
      <w:r w:rsidR="00E3614E">
        <w:rPr>
          <w:lang/>
        </w:rPr>
        <w:t xml:space="preserve"> </w:t>
      </w:r>
      <w:r w:rsidR="00E3614E" w:rsidRPr="00E3614E">
        <w:rPr>
          <w:lang/>
        </w:rPr>
        <w:t xml:space="preserve">condition </w:t>
      </w:r>
      <w:r w:rsidR="00222800">
        <w:rPr>
          <w:lang/>
        </w:rPr>
        <w:t xml:space="preserve">still </w:t>
      </w:r>
      <w:r w:rsidR="00E3614E" w:rsidRPr="00E3614E">
        <w:rPr>
          <w:lang/>
        </w:rPr>
        <w:t>after 6 months</w:t>
      </w:r>
      <w:r w:rsidR="00222800">
        <w:rPr>
          <w:lang/>
        </w:rPr>
        <w:t>, and</w:t>
      </w:r>
      <w:r w:rsidR="00E3614E" w:rsidRPr="00E3614E">
        <w:rPr>
          <w:lang/>
        </w:rPr>
        <w:t xml:space="preserve"> required subculture after 18 months.</w:t>
      </w:r>
      <w:r w:rsidR="00982D1C">
        <w:rPr>
          <w:lang/>
        </w:rPr>
        <w:t xml:space="preserve"> However, shoot c</w:t>
      </w:r>
      <w:r w:rsidR="00E3614E">
        <w:rPr>
          <w:lang/>
        </w:rPr>
        <w:t>ultures survived longest at 4</w:t>
      </w:r>
      <w:r w:rsidR="00E3614E" w:rsidRPr="00E3614E">
        <w:rPr>
          <w:lang/>
        </w:rPr>
        <w:t>°C</w:t>
      </w:r>
      <w:r w:rsidR="00E3614E">
        <w:rPr>
          <w:lang/>
        </w:rPr>
        <w:t xml:space="preserve"> with a 12h</w:t>
      </w:r>
      <w:r w:rsidR="00E3614E" w:rsidRPr="00E3614E">
        <w:rPr>
          <w:lang/>
        </w:rPr>
        <w:t xml:space="preserve"> photoperiod on 50% </w:t>
      </w:r>
      <w:r w:rsidR="00E3614E">
        <w:rPr>
          <w:lang/>
        </w:rPr>
        <w:t xml:space="preserve">nitrogen </w:t>
      </w:r>
      <w:r w:rsidR="00E3614E">
        <w:rPr>
          <w:lang/>
        </w:rPr>
        <w:lastRenderedPageBreak/>
        <w:t>content</w:t>
      </w:r>
      <w:r w:rsidR="00E3614E" w:rsidRPr="00E3614E">
        <w:rPr>
          <w:lang/>
        </w:rPr>
        <w:t>. Under this regime, all four genotypes were</w:t>
      </w:r>
      <w:r w:rsidR="00E3614E">
        <w:rPr>
          <w:lang/>
        </w:rPr>
        <w:t xml:space="preserve"> </w:t>
      </w:r>
      <w:r w:rsidR="00E3614E" w:rsidRPr="00E3614E">
        <w:rPr>
          <w:lang/>
        </w:rPr>
        <w:t>rated in good condition at 30 months</w:t>
      </w:r>
      <w:r w:rsidR="00982D1C">
        <w:rPr>
          <w:lang/>
        </w:rPr>
        <w:t>, while</w:t>
      </w:r>
      <w:r w:rsidR="00E3614E" w:rsidRPr="00E3614E">
        <w:rPr>
          <w:lang/>
        </w:rPr>
        <w:t xml:space="preserve"> declined to poor condition by 36 months. </w:t>
      </w:r>
    </w:p>
    <w:p w:rsidR="00DB719B" w:rsidRDefault="007A336C" w:rsidP="00221086">
      <w:pPr>
        <w:spacing w:line="480" w:lineRule="auto"/>
        <w:ind w:firstLine="709"/>
        <w:jc w:val="both"/>
        <w:rPr>
          <w:lang w:val="en-GB"/>
        </w:rPr>
      </w:pPr>
      <w:r>
        <w:rPr>
          <w:lang/>
        </w:rPr>
        <w:t>As slow gro</w:t>
      </w:r>
      <w:r w:rsidR="00982D1C">
        <w:rPr>
          <w:lang/>
        </w:rPr>
        <w:t>wth storage protocol for thyme ws</w:t>
      </w:r>
      <w:r>
        <w:rPr>
          <w:lang/>
        </w:rPr>
        <w:t xml:space="preserve">s still lacking, </w:t>
      </w:r>
      <w:r w:rsidR="00795DEC">
        <w:rPr>
          <w:lang w:val="en-GB"/>
        </w:rPr>
        <w:t>the present study</w:t>
      </w:r>
      <w:r>
        <w:rPr>
          <w:lang w:val="en-GB"/>
        </w:rPr>
        <w:t xml:space="preserve"> was </w:t>
      </w:r>
      <w:r w:rsidR="000A7FB7">
        <w:rPr>
          <w:lang w:val="en-GB"/>
        </w:rPr>
        <w:t xml:space="preserve">designed </w:t>
      </w:r>
      <w:r>
        <w:rPr>
          <w:lang w:val="en-GB"/>
        </w:rPr>
        <w:t xml:space="preserve">to develop </w:t>
      </w:r>
      <w:r w:rsidR="000A7FB7">
        <w:rPr>
          <w:lang w:val="en-GB"/>
        </w:rPr>
        <w:t xml:space="preserve">a novel </w:t>
      </w:r>
      <w:r w:rsidR="00075BFE">
        <w:rPr>
          <w:lang w:val="en-GB"/>
        </w:rPr>
        <w:t xml:space="preserve">and effective cold storage </w:t>
      </w:r>
      <w:r w:rsidR="000A7FB7">
        <w:rPr>
          <w:lang w:val="en-GB"/>
        </w:rPr>
        <w:t xml:space="preserve">protocol for </w:t>
      </w:r>
      <w:r w:rsidR="00075BFE">
        <w:rPr>
          <w:lang w:val="en-GB"/>
        </w:rPr>
        <w:t xml:space="preserve">conservation of </w:t>
      </w:r>
      <w:r w:rsidR="000A7FB7">
        <w:rPr>
          <w:lang w:val="en-GB"/>
        </w:rPr>
        <w:t xml:space="preserve">valuable </w:t>
      </w:r>
      <w:r w:rsidR="000A7FB7" w:rsidRPr="000A7FB7">
        <w:rPr>
          <w:i/>
          <w:lang w:val="en-GB"/>
        </w:rPr>
        <w:t>in vitro</w:t>
      </w:r>
      <w:r w:rsidR="000A7FB7">
        <w:rPr>
          <w:lang w:val="en-GB"/>
        </w:rPr>
        <w:t xml:space="preserve"> shoot collections of </w:t>
      </w:r>
      <w:r w:rsidRPr="000A7FB7">
        <w:rPr>
          <w:i/>
          <w:lang w:val="en-GB"/>
        </w:rPr>
        <w:t xml:space="preserve">Thymus </w:t>
      </w:r>
      <w:r w:rsidR="000A7FB7" w:rsidRPr="000A7FB7">
        <w:rPr>
          <w:i/>
          <w:lang w:val="en-GB"/>
        </w:rPr>
        <w:t>vulgaris</w:t>
      </w:r>
      <w:r w:rsidR="00075BFE">
        <w:rPr>
          <w:lang w:val="en-GB"/>
        </w:rPr>
        <w:t xml:space="preserve"> L</w:t>
      </w:r>
      <w:r>
        <w:rPr>
          <w:lang w:val="en-GB"/>
        </w:rPr>
        <w:t xml:space="preserve">. </w:t>
      </w:r>
      <w:r w:rsidR="00982D1C">
        <w:rPr>
          <w:lang w:val="en-GB"/>
        </w:rPr>
        <w:t>The percentage</w:t>
      </w:r>
      <w:r w:rsidR="00DB719B">
        <w:rPr>
          <w:lang w:val="en-GB"/>
        </w:rPr>
        <w:t xml:space="preserve"> of </w:t>
      </w:r>
      <w:r w:rsidR="00D90845">
        <w:rPr>
          <w:i/>
          <w:lang w:val="en-GB"/>
        </w:rPr>
        <w:t>i</w:t>
      </w:r>
      <w:r w:rsidR="00D90845" w:rsidRPr="00D90845">
        <w:rPr>
          <w:i/>
          <w:lang w:val="en-GB"/>
        </w:rPr>
        <w:t>n vitro</w:t>
      </w:r>
      <w:r w:rsidR="00DB719B">
        <w:rPr>
          <w:lang w:val="en-GB"/>
        </w:rPr>
        <w:t xml:space="preserve"> shoot cultures </w:t>
      </w:r>
      <w:r w:rsidR="00982D1C">
        <w:rPr>
          <w:lang w:val="en-GB"/>
        </w:rPr>
        <w:t xml:space="preserve">in healthy condition </w:t>
      </w:r>
      <w:r w:rsidR="001F28F7">
        <w:rPr>
          <w:lang w:val="en-GB"/>
        </w:rPr>
        <w:t>w</w:t>
      </w:r>
      <w:r w:rsidR="00982D1C">
        <w:rPr>
          <w:lang w:val="en-GB"/>
        </w:rPr>
        <w:t>as</w:t>
      </w:r>
      <w:r w:rsidR="00DB719B">
        <w:rPr>
          <w:lang w:val="en-GB"/>
        </w:rPr>
        <w:t xml:space="preserve"> maximum (100%) </w:t>
      </w:r>
      <w:r w:rsidR="00D90845">
        <w:rPr>
          <w:lang w:val="en-GB"/>
        </w:rPr>
        <w:t xml:space="preserve">during the first </w:t>
      </w:r>
      <w:r w:rsidR="00BF31CD">
        <w:rPr>
          <w:lang w:val="en-GB"/>
        </w:rPr>
        <w:t xml:space="preserve">5 </w:t>
      </w:r>
      <w:r w:rsidR="00D90845">
        <w:rPr>
          <w:lang w:val="en-GB"/>
        </w:rPr>
        <w:t>months of storage</w:t>
      </w:r>
      <w:r w:rsidR="0018170A">
        <w:rPr>
          <w:lang w:val="en-GB"/>
        </w:rPr>
        <w:t>, and it remained very high</w:t>
      </w:r>
      <w:r w:rsidR="001F28F7">
        <w:rPr>
          <w:lang w:val="en-GB"/>
        </w:rPr>
        <w:t xml:space="preserve"> also in the following 3 months (being 74% after 8 months of storage; Table 1</w:t>
      </w:r>
      <w:r w:rsidR="00DB719B">
        <w:rPr>
          <w:lang w:val="en-GB"/>
        </w:rPr>
        <w:t xml:space="preserve">). </w:t>
      </w:r>
      <w:r w:rsidR="00982D1C">
        <w:rPr>
          <w:lang w:val="en-GB"/>
        </w:rPr>
        <w:t>Shoot quality</w:t>
      </w:r>
      <w:r w:rsidR="001F28F7">
        <w:rPr>
          <w:lang w:val="en-GB"/>
        </w:rPr>
        <w:t xml:space="preserve"> tended to decrease slightly but still remained over 50%</w:t>
      </w:r>
      <w:r w:rsidR="00612A10">
        <w:rPr>
          <w:lang w:val="en-GB"/>
        </w:rPr>
        <w:t xml:space="preserve"> until 11-month storage period</w:t>
      </w:r>
      <w:r w:rsidR="00B452EC">
        <w:rPr>
          <w:lang w:val="en-GB"/>
        </w:rPr>
        <w:t>.</w:t>
      </w:r>
      <w:r w:rsidR="00982D1C">
        <w:rPr>
          <w:lang w:val="en-GB"/>
        </w:rPr>
        <w:t xml:space="preserve"> </w:t>
      </w:r>
      <w:r w:rsidR="00B452EC">
        <w:rPr>
          <w:lang w:val="en-GB"/>
        </w:rPr>
        <w:t>H</w:t>
      </w:r>
      <w:r w:rsidR="00982D1C">
        <w:rPr>
          <w:lang w:val="en-GB"/>
        </w:rPr>
        <w:t>owever</w:t>
      </w:r>
      <w:r w:rsidR="00B452EC">
        <w:rPr>
          <w:lang w:val="en-GB"/>
        </w:rPr>
        <w:t>,</w:t>
      </w:r>
      <w:r w:rsidR="00982D1C">
        <w:rPr>
          <w:lang w:val="en-GB"/>
        </w:rPr>
        <w:t xml:space="preserve"> shoot degeneration</w:t>
      </w:r>
      <w:r w:rsidR="001F28F7">
        <w:rPr>
          <w:lang w:val="en-GB"/>
        </w:rPr>
        <w:t xml:space="preserve"> became drastic </w:t>
      </w:r>
      <w:r w:rsidR="00612A10">
        <w:rPr>
          <w:lang w:val="en-GB"/>
        </w:rPr>
        <w:t xml:space="preserve">in the following </w:t>
      </w:r>
      <w:r w:rsidR="001F28F7">
        <w:rPr>
          <w:lang w:val="en-GB"/>
        </w:rPr>
        <w:t>2 months</w:t>
      </w:r>
      <w:r w:rsidR="00982D1C">
        <w:rPr>
          <w:lang w:val="en-GB"/>
        </w:rPr>
        <w:t>, as percentage of healthy shoots decreased</w:t>
      </w:r>
      <w:r w:rsidR="00DD52B4">
        <w:rPr>
          <w:lang w:val="en-GB"/>
        </w:rPr>
        <w:t xml:space="preserve"> down to 25% after 1</w:t>
      </w:r>
      <w:r w:rsidR="00B452EC">
        <w:rPr>
          <w:lang w:val="en-GB"/>
        </w:rPr>
        <w:t>3 months</w:t>
      </w:r>
      <w:r w:rsidR="001F28F7">
        <w:rPr>
          <w:lang w:val="en-GB"/>
        </w:rPr>
        <w:t xml:space="preserve">. </w:t>
      </w:r>
      <w:r w:rsidR="00DB719B">
        <w:rPr>
          <w:lang w:val="en-GB"/>
        </w:rPr>
        <w:t>Shoots were</w:t>
      </w:r>
      <w:r w:rsidR="00B452EC">
        <w:rPr>
          <w:lang w:val="en-GB"/>
        </w:rPr>
        <w:t xml:space="preserve"> completely</w:t>
      </w:r>
      <w:r w:rsidR="00DB719B">
        <w:rPr>
          <w:lang w:val="en-GB"/>
        </w:rPr>
        <w:t xml:space="preserve"> green at the end of the first month, </w:t>
      </w:r>
      <w:r w:rsidR="00B452EC">
        <w:rPr>
          <w:lang w:val="en-GB"/>
        </w:rPr>
        <w:t xml:space="preserve">after </w:t>
      </w:r>
      <w:r w:rsidR="00DB719B">
        <w:rPr>
          <w:lang w:val="en-GB"/>
        </w:rPr>
        <w:t xml:space="preserve">which </w:t>
      </w:r>
      <w:r w:rsidR="00B452EC">
        <w:rPr>
          <w:lang w:val="en-GB"/>
        </w:rPr>
        <w:t>they</w:t>
      </w:r>
      <w:r w:rsidR="00DB719B">
        <w:rPr>
          <w:lang w:val="en-GB"/>
        </w:rPr>
        <w:t xml:space="preserve"> started to </w:t>
      </w:r>
      <w:r w:rsidR="00B452EC">
        <w:rPr>
          <w:lang w:val="en-GB"/>
        </w:rPr>
        <w:t>gradually etiolate</w:t>
      </w:r>
      <w:r w:rsidR="00DB719B">
        <w:rPr>
          <w:lang w:val="en-GB"/>
        </w:rPr>
        <w:t xml:space="preserve"> in the following storage </w:t>
      </w:r>
      <w:r w:rsidR="00DD52B4">
        <w:rPr>
          <w:lang w:val="en-GB"/>
        </w:rPr>
        <w:t>period</w:t>
      </w:r>
      <w:r w:rsidR="00DB719B">
        <w:rPr>
          <w:lang w:val="en-GB"/>
        </w:rPr>
        <w:t xml:space="preserve">. </w:t>
      </w:r>
      <w:r w:rsidR="00DD52B4">
        <w:rPr>
          <w:lang w:val="en-GB"/>
        </w:rPr>
        <w:t>Etiolation was not so diffused during</w:t>
      </w:r>
      <w:r w:rsidR="00B452EC">
        <w:rPr>
          <w:lang w:val="en-GB"/>
        </w:rPr>
        <w:t xml:space="preserve"> the first 5 months, was </w:t>
      </w:r>
      <w:r w:rsidR="00DD52B4">
        <w:rPr>
          <w:lang w:val="en-GB"/>
        </w:rPr>
        <w:t>moderate  between</w:t>
      </w:r>
      <w:r w:rsidR="00612A10">
        <w:rPr>
          <w:lang w:val="en-GB"/>
        </w:rPr>
        <w:t xml:space="preserve"> 6</w:t>
      </w:r>
      <w:r w:rsidR="00DD52B4">
        <w:rPr>
          <w:lang w:val="en-GB"/>
        </w:rPr>
        <w:t>-8</w:t>
      </w:r>
      <w:r w:rsidR="00612A10">
        <w:rPr>
          <w:lang w:val="en-GB"/>
        </w:rPr>
        <w:t xml:space="preserve"> months, and </w:t>
      </w:r>
      <w:r w:rsidR="00E57DE4">
        <w:rPr>
          <w:lang w:val="en-GB"/>
        </w:rPr>
        <w:t>more evident</w:t>
      </w:r>
      <w:r w:rsidR="00612A10">
        <w:rPr>
          <w:lang w:val="en-GB"/>
        </w:rPr>
        <w:t xml:space="preserve"> after 9 months. </w:t>
      </w:r>
      <w:r w:rsidR="006F7635">
        <w:rPr>
          <w:lang w:val="en-GB"/>
        </w:rPr>
        <w:t>It is worthy of note that in thyme, such as in many other species, shoot etiolation does not compromise shoot-tip regrowth, even when intense. However, f</w:t>
      </w:r>
      <w:r w:rsidR="00E57DE4">
        <w:rPr>
          <w:lang w:val="en-GB"/>
        </w:rPr>
        <w:t>rom the 11</w:t>
      </w:r>
      <w:r w:rsidR="00E57DE4" w:rsidRPr="00E57DE4">
        <w:rPr>
          <w:vertAlign w:val="superscript"/>
          <w:lang w:val="en-GB"/>
        </w:rPr>
        <w:t>th</w:t>
      </w:r>
      <w:r w:rsidR="00E57DE4">
        <w:rPr>
          <w:lang w:val="en-GB"/>
        </w:rPr>
        <w:t xml:space="preserve"> month of storage</w:t>
      </w:r>
      <w:r w:rsidR="00DD52B4">
        <w:rPr>
          <w:lang w:val="en-GB"/>
        </w:rPr>
        <w:t xml:space="preserve">, etiolated shoots started to darken and became completely brown at the end of 13 months. </w:t>
      </w:r>
      <w:r w:rsidR="00DB719B">
        <w:rPr>
          <w:lang w:val="en-GB"/>
        </w:rPr>
        <w:t>Tissue browning was not observed during th</w:t>
      </w:r>
      <w:r w:rsidR="00DD52B4">
        <w:rPr>
          <w:lang w:val="en-GB"/>
        </w:rPr>
        <w:t>e first 9 months</w:t>
      </w:r>
      <w:r w:rsidR="00DB719B">
        <w:rPr>
          <w:lang w:val="en-GB"/>
        </w:rPr>
        <w:t xml:space="preserve">, </w:t>
      </w:r>
      <w:r w:rsidR="00DD52B4">
        <w:rPr>
          <w:lang w:val="en-GB"/>
        </w:rPr>
        <w:t xml:space="preserve">it increased gradually only after 10 months. On the contrary, </w:t>
      </w:r>
      <w:r w:rsidR="00DB719B">
        <w:rPr>
          <w:lang w:val="en-GB"/>
        </w:rPr>
        <w:t xml:space="preserve">medium browning occurred immediately after </w:t>
      </w:r>
      <w:r w:rsidR="00E57DE4">
        <w:rPr>
          <w:lang w:val="en-GB"/>
        </w:rPr>
        <w:t xml:space="preserve">the </w:t>
      </w:r>
      <w:r w:rsidR="00DB719B">
        <w:rPr>
          <w:lang w:val="en-GB"/>
        </w:rPr>
        <w:t>first month</w:t>
      </w:r>
      <w:r w:rsidR="00DD52B4">
        <w:rPr>
          <w:lang w:val="en-GB"/>
        </w:rPr>
        <w:t xml:space="preserve"> of storage</w:t>
      </w:r>
      <w:r w:rsidR="00DB719B">
        <w:rPr>
          <w:lang w:val="en-GB"/>
        </w:rPr>
        <w:t xml:space="preserve">, although very low at the beginning, </w:t>
      </w:r>
      <w:r w:rsidR="00E57DE4">
        <w:rPr>
          <w:lang w:val="en-GB"/>
        </w:rPr>
        <w:t xml:space="preserve">it was still </w:t>
      </w:r>
      <w:r w:rsidR="00DB719B">
        <w:rPr>
          <w:lang w:val="en-GB"/>
        </w:rPr>
        <w:t>moderate after 5</w:t>
      </w:r>
      <w:r w:rsidR="00DB719B" w:rsidRPr="00DB719B">
        <w:rPr>
          <w:vertAlign w:val="superscript"/>
          <w:lang w:val="en-GB"/>
        </w:rPr>
        <w:t>th</w:t>
      </w:r>
      <w:r w:rsidR="00DB719B">
        <w:rPr>
          <w:lang w:val="en-GB"/>
        </w:rPr>
        <w:t xml:space="preserve"> month</w:t>
      </w:r>
      <w:r w:rsidR="00DD52B4">
        <w:rPr>
          <w:lang w:val="en-GB"/>
        </w:rPr>
        <w:t xml:space="preserve"> and </w:t>
      </w:r>
      <w:r w:rsidR="00E57DE4">
        <w:rPr>
          <w:lang w:val="en-GB"/>
        </w:rPr>
        <w:t>became intense</w:t>
      </w:r>
      <w:r w:rsidR="00DD52B4">
        <w:rPr>
          <w:lang w:val="en-GB"/>
        </w:rPr>
        <w:t xml:space="preserve"> </w:t>
      </w:r>
      <w:r w:rsidR="00E57DE4">
        <w:rPr>
          <w:lang w:val="en-GB"/>
        </w:rPr>
        <w:t>starting from the 9</w:t>
      </w:r>
      <w:r w:rsidR="00E57DE4" w:rsidRPr="00E57DE4">
        <w:rPr>
          <w:vertAlign w:val="superscript"/>
          <w:lang w:val="en-GB"/>
        </w:rPr>
        <w:t>th</w:t>
      </w:r>
      <w:r w:rsidR="00E57DE4">
        <w:rPr>
          <w:lang w:val="en-GB"/>
        </w:rPr>
        <w:t xml:space="preserve"> month</w:t>
      </w:r>
      <w:r w:rsidR="00DD52B4">
        <w:rPr>
          <w:lang w:val="en-GB"/>
        </w:rPr>
        <w:t xml:space="preserve"> of storage (Fig. 1)</w:t>
      </w:r>
      <w:r w:rsidR="00DB719B">
        <w:rPr>
          <w:lang w:val="en-GB"/>
        </w:rPr>
        <w:t xml:space="preserve">. </w:t>
      </w:r>
    </w:p>
    <w:p w:rsidR="00EE4FB3" w:rsidRPr="00DF7DD8" w:rsidRDefault="006F7635" w:rsidP="00221086">
      <w:pPr>
        <w:spacing w:line="480" w:lineRule="auto"/>
        <w:ind w:firstLine="709"/>
        <w:jc w:val="both"/>
        <w:rPr>
          <w:lang w:val="en-GB"/>
        </w:rPr>
      </w:pPr>
      <w:r>
        <w:rPr>
          <w:lang w:val="en-GB"/>
        </w:rPr>
        <w:t>In post-storage, the r</w:t>
      </w:r>
      <w:r w:rsidR="001C591C" w:rsidRPr="00781AA3">
        <w:rPr>
          <w:lang w:val="en-GB"/>
        </w:rPr>
        <w:t>egrowth rate</w:t>
      </w:r>
      <w:r>
        <w:rPr>
          <w:lang w:val="en-GB"/>
        </w:rPr>
        <w:t xml:space="preserve"> of </w:t>
      </w:r>
      <w:r w:rsidR="00D90845" w:rsidRPr="00781AA3">
        <w:rPr>
          <w:lang w:val="en-GB"/>
        </w:rPr>
        <w:t xml:space="preserve">shoot tips </w:t>
      </w:r>
      <w:r>
        <w:rPr>
          <w:lang w:val="en-GB"/>
        </w:rPr>
        <w:t xml:space="preserve">from healthy (green or etiolated) shoots </w:t>
      </w:r>
      <w:r w:rsidR="008A12AD">
        <w:rPr>
          <w:lang w:val="en-GB"/>
        </w:rPr>
        <w:t>ranged from</w:t>
      </w:r>
      <w:r w:rsidR="00BF31CD" w:rsidRPr="00781AA3">
        <w:rPr>
          <w:lang w:val="en-GB"/>
        </w:rPr>
        <w:t xml:space="preserve"> </w:t>
      </w:r>
      <w:r w:rsidR="00A57288">
        <w:rPr>
          <w:lang w:val="en-GB"/>
        </w:rPr>
        <w:t>92</w:t>
      </w:r>
      <w:r w:rsidR="00BF31CD" w:rsidRPr="00781AA3">
        <w:rPr>
          <w:lang w:val="en-GB"/>
        </w:rPr>
        <w:t xml:space="preserve">-100% </w:t>
      </w:r>
      <w:r w:rsidR="00BF31CD">
        <w:rPr>
          <w:lang w:val="en-GB"/>
        </w:rPr>
        <w:t>through</w:t>
      </w:r>
      <w:r w:rsidR="00D90845" w:rsidRPr="00781AA3">
        <w:rPr>
          <w:lang w:val="en-GB"/>
        </w:rPr>
        <w:t xml:space="preserve"> </w:t>
      </w:r>
      <w:r w:rsidR="00BF31CD" w:rsidRPr="00781AA3">
        <w:rPr>
          <w:lang w:val="en-GB"/>
        </w:rPr>
        <w:t>1</w:t>
      </w:r>
      <w:r w:rsidR="008A12AD">
        <w:rPr>
          <w:lang w:val="en-GB"/>
        </w:rPr>
        <w:t>1</w:t>
      </w:r>
      <w:r w:rsidR="00BF31CD">
        <w:rPr>
          <w:lang w:val="en-GB"/>
        </w:rPr>
        <w:t xml:space="preserve"> </w:t>
      </w:r>
      <w:r w:rsidR="00D90845" w:rsidRPr="00781AA3">
        <w:rPr>
          <w:lang w:val="en-GB"/>
        </w:rPr>
        <w:t>months of storage</w:t>
      </w:r>
      <w:r w:rsidR="00D9392D">
        <w:rPr>
          <w:lang w:val="en-GB"/>
        </w:rPr>
        <w:t>, producing multiple shoots (4.4-9.1</w:t>
      </w:r>
      <w:r w:rsidR="001C591C" w:rsidRPr="00781AA3">
        <w:rPr>
          <w:lang w:val="en-GB"/>
        </w:rPr>
        <w:t xml:space="preserve">), with an SFC </w:t>
      </w:r>
      <w:r w:rsidR="00D9392D">
        <w:rPr>
          <w:lang w:val="en-GB"/>
        </w:rPr>
        <w:t>Index of 4.1-9.1</w:t>
      </w:r>
      <w:r w:rsidR="003A5C46" w:rsidRPr="00781AA3">
        <w:rPr>
          <w:lang w:val="en-GB"/>
        </w:rPr>
        <w:t xml:space="preserve"> (</w:t>
      </w:r>
      <w:r w:rsidR="0018170A">
        <w:rPr>
          <w:lang w:val="en-GB"/>
        </w:rPr>
        <w:t xml:space="preserve">Table 2, </w:t>
      </w:r>
      <w:r w:rsidR="003A5C46" w:rsidRPr="00781AA3">
        <w:rPr>
          <w:lang w:val="en-GB"/>
        </w:rPr>
        <w:t>Fig. 2A)</w:t>
      </w:r>
      <w:r w:rsidR="00D90845" w:rsidRPr="00781AA3">
        <w:rPr>
          <w:lang w:val="en-GB"/>
        </w:rPr>
        <w:t>.</w:t>
      </w:r>
      <w:r w:rsidR="00EA1800">
        <w:rPr>
          <w:lang w:val="en-GB"/>
        </w:rPr>
        <w:t xml:space="preserve"> </w:t>
      </w:r>
      <w:r w:rsidR="00D50259">
        <w:rPr>
          <w:lang w:val="en-GB"/>
        </w:rPr>
        <w:t>R</w:t>
      </w:r>
      <w:r w:rsidR="001C591C" w:rsidRPr="00781AA3">
        <w:rPr>
          <w:lang w:val="en-GB"/>
        </w:rPr>
        <w:t>eg</w:t>
      </w:r>
      <w:r w:rsidR="00EA1800">
        <w:rPr>
          <w:lang w:val="en-GB"/>
        </w:rPr>
        <w:t>rowth</w:t>
      </w:r>
      <w:r w:rsidR="00F234DC">
        <w:rPr>
          <w:lang w:val="en-GB"/>
        </w:rPr>
        <w:t xml:space="preserve"> rate </w:t>
      </w:r>
      <w:r w:rsidR="00D50259">
        <w:rPr>
          <w:lang w:val="en-GB"/>
        </w:rPr>
        <w:t xml:space="preserve">under </w:t>
      </w:r>
      <w:r w:rsidR="001C591C" w:rsidRPr="00781AA3">
        <w:rPr>
          <w:lang w:val="en-GB"/>
        </w:rPr>
        <w:t>standard culture conditions was in the sa</w:t>
      </w:r>
      <w:r w:rsidR="00A57288">
        <w:rPr>
          <w:lang w:val="en-GB"/>
        </w:rPr>
        <w:t>me range (9</w:t>
      </w:r>
      <w:r w:rsidR="00D9392D">
        <w:rPr>
          <w:lang w:val="en-GB"/>
        </w:rPr>
        <w:t>7%), producing 8.6</w:t>
      </w:r>
      <w:r w:rsidR="001C591C" w:rsidRPr="00781AA3">
        <w:rPr>
          <w:lang w:val="en-GB"/>
        </w:rPr>
        <w:t xml:space="preserve"> shoots per ex</w:t>
      </w:r>
      <w:r w:rsidR="00D9392D">
        <w:rPr>
          <w:lang w:val="en-GB"/>
        </w:rPr>
        <w:t>plant, with an SFC Index of 8.3</w:t>
      </w:r>
      <w:r w:rsidR="00BF31CD">
        <w:rPr>
          <w:lang w:val="en-GB"/>
        </w:rPr>
        <w:t>.</w:t>
      </w:r>
      <w:r w:rsidR="001C591C" w:rsidRPr="00781AA3">
        <w:rPr>
          <w:lang w:val="en-GB"/>
        </w:rPr>
        <w:t xml:space="preserve"> </w:t>
      </w:r>
      <w:r w:rsidR="00B455AC">
        <w:rPr>
          <w:lang w:val="en-GB"/>
        </w:rPr>
        <w:t xml:space="preserve">Prolonging the storage period </w:t>
      </w:r>
      <w:r w:rsidR="00A57288">
        <w:rPr>
          <w:lang w:val="en-GB"/>
        </w:rPr>
        <w:t xml:space="preserve">to 12 months </w:t>
      </w:r>
      <w:r w:rsidR="00B455AC">
        <w:rPr>
          <w:lang w:val="en-GB"/>
        </w:rPr>
        <w:t xml:space="preserve">resulted with a reduction in regrowth rate, </w:t>
      </w:r>
      <w:r w:rsidR="00B455AC" w:rsidRPr="00DF7DD8">
        <w:rPr>
          <w:lang w:val="en-GB"/>
        </w:rPr>
        <w:lastRenderedPageBreak/>
        <w:t>h</w:t>
      </w:r>
      <w:r w:rsidR="000340D7" w:rsidRPr="00DF7DD8">
        <w:rPr>
          <w:lang w:val="en-GB"/>
        </w:rPr>
        <w:t>owever</w:t>
      </w:r>
      <w:r w:rsidR="008A12AD" w:rsidRPr="00DF7DD8">
        <w:rPr>
          <w:lang w:val="en-GB"/>
        </w:rPr>
        <w:t xml:space="preserve"> </w:t>
      </w:r>
      <w:r w:rsidR="00A9011C" w:rsidRPr="00DF7DD8">
        <w:rPr>
          <w:lang w:val="en-GB"/>
        </w:rPr>
        <w:t xml:space="preserve">the mean shoot number </w:t>
      </w:r>
      <w:r w:rsidR="000340D7" w:rsidRPr="00DF7DD8">
        <w:rPr>
          <w:lang w:val="en-GB"/>
        </w:rPr>
        <w:t xml:space="preserve">and the SFC Index </w:t>
      </w:r>
      <w:r w:rsidR="00BF31CD" w:rsidRPr="00DF7DD8">
        <w:rPr>
          <w:lang w:val="en-GB"/>
        </w:rPr>
        <w:t>w</w:t>
      </w:r>
      <w:r w:rsidR="000340D7" w:rsidRPr="00DF7DD8">
        <w:rPr>
          <w:lang w:val="en-GB"/>
        </w:rPr>
        <w:t>ere</w:t>
      </w:r>
      <w:r w:rsidR="00BF31CD" w:rsidRPr="00DF7DD8">
        <w:rPr>
          <w:lang w:val="en-GB"/>
        </w:rPr>
        <w:t xml:space="preserve"> maintained </w:t>
      </w:r>
      <w:r w:rsidR="00B455AC" w:rsidRPr="00DF7DD8">
        <w:rPr>
          <w:lang w:val="en-GB"/>
        </w:rPr>
        <w:t xml:space="preserve">high </w:t>
      </w:r>
      <w:r w:rsidR="00D50259" w:rsidRPr="00DF7DD8">
        <w:rPr>
          <w:lang w:val="en-GB"/>
        </w:rPr>
        <w:t>(Fig. 2B)</w:t>
      </w:r>
      <w:r w:rsidR="000340D7" w:rsidRPr="00DF7DD8">
        <w:rPr>
          <w:lang w:val="en-GB"/>
        </w:rPr>
        <w:t>.</w:t>
      </w:r>
      <w:r w:rsidR="00472313" w:rsidRPr="00DF7DD8">
        <w:rPr>
          <w:lang w:val="en-GB"/>
        </w:rPr>
        <w:t xml:space="preserve"> </w:t>
      </w:r>
      <w:r w:rsidR="001A24D4" w:rsidRPr="00DF7DD8">
        <w:rPr>
          <w:lang w:val="en-GB"/>
        </w:rPr>
        <w:t>It i</w:t>
      </w:r>
      <w:r w:rsidR="000340D7" w:rsidRPr="00DF7DD8">
        <w:rPr>
          <w:lang w:val="en-GB"/>
        </w:rPr>
        <w:t xml:space="preserve">s worthy </w:t>
      </w:r>
      <w:r w:rsidR="00DF7DD8" w:rsidRPr="00DF7DD8">
        <w:rPr>
          <w:lang w:val="en-GB"/>
        </w:rPr>
        <w:t>of</w:t>
      </w:r>
      <w:r w:rsidR="000340D7" w:rsidRPr="00DF7DD8">
        <w:rPr>
          <w:lang w:val="en-GB"/>
        </w:rPr>
        <w:t xml:space="preserve"> note that </w:t>
      </w:r>
      <w:r w:rsidR="00155CC9" w:rsidRPr="00DF7DD8">
        <w:rPr>
          <w:lang w:val="en-GB"/>
        </w:rPr>
        <w:t>the</w:t>
      </w:r>
      <w:r w:rsidR="00DC5492" w:rsidRPr="00DF7DD8">
        <w:rPr>
          <w:lang w:val="en-GB"/>
        </w:rPr>
        <w:t xml:space="preserve"> mean shoot number and</w:t>
      </w:r>
      <w:r w:rsidR="00155CC9" w:rsidRPr="00DF7DD8">
        <w:rPr>
          <w:lang w:val="en-GB"/>
        </w:rPr>
        <w:t xml:space="preserve"> </w:t>
      </w:r>
      <w:r w:rsidR="001A24D4" w:rsidRPr="00DF7DD8">
        <w:rPr>
          <w:lang w:val="en-GB"/>
        </w:rPr>
        <w:t xml:space="preserve">the SFC Index of </w:t>
      </w:r>
      <w:r w:rsidR="00155CC9" w:rsidRPr="00DF7DD8">
        <w:rPr>
          <w:lang w:val="en-GB"/>
        </w:rPr>
        <w:t xml:space="preserve">shoot tips, excised from the shoot clusters after at least 3 months of storage, started to decrease in response to cold storage. Those shoot tips were excised from shoot clusters that did not show </w:t>
      </w:r>
      <w:r w:rsidR="00DC5492" w:rsidRPr="00DF7DD8">
        <w:rPr>
          <w:lang w:val="en-GB"/>
        </w:rPr>
        <w:t xml:space="preserve">clear </w:t>
      </w:r>
      <w:r w:rsidR="00155CC9" w:rsidRPr="00DF7DD8">
        <w:rPr>
          <w:lang w:val="en-GB"/>
        </w:rPr>
        <w:t xml:space="preserve">evidences of decay (e.g., browning, wilting) </w:t>
      </w:r>
      <w:r w:rsidR="001A24D4" w:rsidRPr="00DF7DD8">
        <w:rPr>
          <w:lang w:val="en-GB"/>
        </w:rPr>
        <w:t xml:space="preserve">and, </w:t>
      </w:r>
      <w:r w:rsidR="00155CC9" w:rsidRPr="00DF7DD8">
        <w:rPr>
          <w:lang w:val="en-GB"/>
        </w:rPr>
        <w:t>thus</w:t>
      </w:r>
      <w:r w:rsidR="001A24D4" w:rsidRPr="00DF7DD8">
        <w:rPr>
          <w:lang w:val="en-GB"/>
        </w:rPr>
        <w:t>,</w:t>
      </w:r>
      <w:r w:rsidR="00155CC9" w:rsidRPr="00DF7DD8">
        <w:rPr>
          <w:lang w:val="en-GB"/>
        </w:rPr>
        <w:t xml:space="preserve"> </w:t>
      </w:r>
      <w:r w:rsidR="001A24D4" w:rsidRPr="00DF7DD8">
        <w:rPr>
          <w:lang w:val="en-GB"/>
        </w:rPr>
        <w:t>considered</w:t>
      </w:r>
      <w:r w:rsidR="00155CC9" w:rsidRPr="00DF7DD8">
        <w:rPr>
          <w:lang w:val="en-GB"/>
        </w:rPr>
        <w:t xml:space="preserve"> healthy</w:t>
      </w:r>
      <w:r w:rsidR="001A24D4" w:rsidRPr="00DF7DD8">
        <w:rPr>
          <w:lang w:val="en-GB"/>
        </w:rPr>
        <w:t xml:space="preserve"> </w:t>
      </w:r>
      <w:r w:rsidR="00DC5492" w:rsidRPr="00DF7DD8">
        <w:rPr>
          <w:lang w:val="en-GB"/>
        </w:rPr>
        <w:t>(see Table 1)</w:t>
      </w:r>
      <w:r w:rsidR="00155CC9" w:rsidRPr="00DF7DD8">
        <w:rPr>
          <w:lang w:val="en-GB"/>
        </w:rPr>
        <w:t>. However, probably they contained some shoot tips in which the tissue decay was already started, resulting with a loss in their regrow</w:t>
      </w:r>
      <w:r w:rsidR="001A24D4" w:rsidRPr="00DF7DD8">
        <w:rPr>
          <w:lang w:val="en-GB"/>
        </w:rPr>
        <w:t>th potential. Tissue decay was stronger</w:t>
      </w:r>
      <w:r w:rsidR="00155CC9" w:rsidRPr="00DF7DD8">
        <w:rPr>
          <w:lang w:val="en-GB"/>
        </w:rPr>
        <w:t xml:space="preserve"> when the storage period was prolonged</w:t>
      </w:r>
      <w:r w:rsidR="001A24D4" w:rsidRPr="00DF7DD8">
        <w:rPr>
          <w:lang w:val="en-GB"/>
        </w:rPr>
        <w:t>, especially starting from</w:t>
      </w:r>
      <w:r w:rsidR="00155CC9" w:rsidRPr="00DF7DD8">
        <w:rPr>
          <w:lang w:val="en-GB"/>
        </w:rPr>
        <w:t xml:space="preserve"> 9</w:t>
      </w:r>
      <w:r w:rsidR="001A24D4" w:rsidRPr="00DF7DD8">
        <w:rPr>
          <w:lang w:val="en-GB"/>
        </w:rPr>
        <w:t xml:space="preserve"> months of storage; at that time, decayed shoot clusters</w:t>
      </w:r>
      <w:r w:rsidR="00DC5492" w:rsidRPr="00DF7DD8">
        <w:rPr>
          <w:lang w:val="en-GB"/>
        </w:rPr>
        <w:t xml:space="preserve"> were </w:t>
      </w:r>
      <w:r w:rsidR="001A24D4" w:rsidRPr="00DF7DD8">
        <w:rPr>
          <w:lang w:val="en-GB"/>
        </w:rPr>
        <w:t>evident</w:t>
      </w:r>
      <w:r w:rsidR="00DC5492" w:rsidRPr="00DF7DD8">
        <w:rPr>
          <w:lang w:val="en-GB"/>
        </w:rPr>
        <w:t xml:space="preserve"> and</w:t>
      </w:r>
      <w:r w:rsidR="001A24D4" w:rsidRPr="00DF7DD8">
        <w:rPr>
          <w:lang w:val="en-GB"/>
        </w:rPr>
        <w:t>, as a consequence,</w:t>
      </w:r>
      <w:r w:rsidR="00DC5492" w:rsidRPr="00DF7DD8">
        <w:rPr>
          <w:lang w:val="en-GB"/>
        </w:rPr>
        <w:t xml:space="preserve"> shoot tips </w:t>
      </w:r>
      <w:r w:rsidR="009F3409">
        <w:rPr>
          <w:lang w:val="en-GB"/>
        </w:rPr>
        <w:t xml:space="preserve">were </w:t>
      </w:r>
      <w:r w:rsidR="001A24D4" w:rsidRPr="00DF7DD8">
        <w:rPr>
          <w:lang w:val="en-GB"/>
        </w:rPr>
        <w:t xml:space="preserve">excised only from </w:t>
      </w:r>
      <w:r w:rsidR="00DC5492" w:rsidRPr="00DF7DD8">
        <w:rPr>
          <w:lang w:val="en-GB"/>
        </w:rPr>
        <w:t xml:space="preserve">shoots </w:t>
      </w:r>
      <w:r w:rsidR="001A24D4" w:rsidRPr="00DF7DD8">
        <w:rPr>
          <w:lang w:val="en-GB"/>
        </w:rPr>
        <w:t>still vigorous and healthy</w:t>
      </w:r>
      <w:r w:rsidR="00DC5492" w:rsidRPr="00DF7DD8">
        <w:rPr>
          <w:lang w:val="en-GB"/>
        </w:rPr>
        <w:t>. This fact was reflected by an increase in mean sh</w:t>
      </w:r>
      <w:r w:rsidR="00983E11" w:rsidRPr="00DF7DD8">
        <w:rPr>
          <w:lang w:val="en-GB"/>
        </w:rPr>
        <w:t xml:space="preserve">oot number and SFC index of </w:t>
      </w:r>
      <w:r w:rsidR="00DC5492" w:rsidRPr="00DF7DD8">
        <w:rPr>
          <w:lang w:val="en-GB"/>
        </w:rPr>
        <w:t>shoot tips transferred to standard culture conditions following 9-12 months of storage. T</w:t>
      </w:r>
      <w:r w:rsidR="00BF31CD" w:rsidRPr="00DF7DD8">
        <w:rPr>
          <w:lang w:val="en-GB"/>
        </w:rPr>
        <w:t xml:space="preserve">he </w:t>
      </w:r>
      <w:r w:rsidR="008A12AD" w:rsidRPr="00DF7DD8">
        <w:rPr>
          <w:lang w:val="en-GB"/>
        </w:rPr>
        <w:t xml:space="preserve">reduction of </w:t>
      </w:r>
      <w:r w:rsidR="000340D7" w:rsidRPr="00DF7DD8">
        <w:rPr>
          <w:lang w:val="en-GB"/>
        </w:rPr>
        <w:t xml:space="preserve">the </w:t>
      </w:r>
      <w:r w:rsidR="008A12AD" w:rsidRPr="00DF7DD8">
        <w:rPr>
          <w:lang w:val="en-GB"/>
        </w:rPr>
        <w:t>SFC Index</w:t>
      </w:r>
      <w:r w:rsidR="00983E11" w:rsidRPr="00DF7DD8">
        <w:rPr>
          <w:lang w:val="en-GB"/>
        </w:rPr>
        <w:t xml:space="preserve"> was</w:t>
      </w:r>
      <w:r w:rsidR="008A12AD" w:rsidRPr="00DF7DD8">
        <w:rPr>
          <w:lang w:val="en-GB"/>
        </w:rPr>
        <w:t xml:space="preserve"> very drastic </w:t>
      </w:r>
      <w:r w:rsidR="00BF31CD" w:rsidRPr="00DF7DD8">
        <w:rPr>
          <w:lang w:val="en-GB"/>
        </w:rPr>
        <w:t>for</w:t>
      </w:r>
      <w:r w:rsidR="00A9011C" w:rsidRPr="00DF7DD8">
        <w:rPr>
          <w:lang w:val="en-GB"/>
        </w:rPr>
        <w:t xml:space="preserve"> </w:t>
      </w:r>
      <w:r w:rsidR="00EA1800" w:rsidRPr="00DF7DD8">
        <w:rPr>
          <w:lang w:val="en-GB"/>
        </w:rPr>
        <w:t>shoot</w:t>
      </w:r>
      <w:r w:rsidR="00A9011C" w:rsidRPr="00DF7DD8">
        <w:rPr>
          <w:lang w:val="en-GB"/>
        </w:rPr>
        <w:t xml:space="preserve"> cultures </w:t>
      </w:r>
      <w:r w:rsidR="00983E11" w:rsidRPr="00DF7DD8">
        <w:rPr>
          <w:lang w:val="en-GB"/>
        </w:rPr>
        <w:t>from</w:t>
      </w:r>
      <w:r w:rsidR="00A9011C" w:rsidRPr="00DF7DD8">
        <w:rPr>
          <w:lang w:val="en-GB"/>
        </w:rPr>
        <w:t xml:space="preserve"> </w:t>
      </w:r>
      <w:r w:rsidR="00BF31CD" w:rsidRPr="00DF7DD8">
        <w:rPr>
          <w:lang w:val="en-GB"/>
        </w:rPr>
        <w:t xml:space="preserve">13 </w:t>
      </w:r>
      <w:r w:rsidR="00A9011C" w:rsidRPr="00DF7DD8">
        <w:rPr>
          <w:lang w:val="en-GB"/>
        </w:rPr>
        <w:t>months</w:t>
      </w:r>
      <w:r w:rsidR="00983E11" w:rsidRPr="00DF7DD8">
        <w:rPr>
          <w:lang w:val="en-GB"/>
        </w:rPr>
        <w:t xml:space="preserve"> of cold storage</w:t>
      </w:r>
      <w:r w:rsidR="00136F36" w:rsidRPr="00DF7DD8">
        <w:rPr>
          <w:lang w:val="en-GB"/>
        </w:rPr>
        <w:t xml:space="preserve"> </w:t>
      </w:r>
      <w:r w:rsidR="003A5C46" w:rsidRPr="00DF7DD8">
        <w:rPr>
          <w:lang w:val="en-GB"/>
        </w:rPr>
        <w:t>(Fig. 2C)</w:t>
      </w:r>
      <w:r w:rsidR="00983E11" w:rsidRPr="00DF7DD8">
        <w:rPr>
          <w:lang w:val="en-GB"/>
        </w:rPr>
        <w:t xml:space="preserve">. Hence, </w:t>
      </w:r>
      <w:r w:rsidR="005D13D6" w:rsidRPr="00DF7DD8">
        <w:rPr>
          <w:lang w:val="en-GB"/>
        </w:rPr>
        <w:t xml:space="preserve">12 </w:t>
      </w:r>
      <w:r w:rsidR="00DC5492" w:rsidRPr="00DF7DD8">
        <w:rPr>
          <w:lang w:val="en-GB"/>
        </w:rPr>
        <w:t xml:space="preserve">month was </w:t>
      </w:r>
      <w:r w:rsidR="00983E11" w:rsidRPr="00DF7DD8">
        <w:rPr>
          <w:lang w:val="en-GB"/>
        </w:rPr>
        <w:t xml:space="preserve">considered </w:t>
      </w:r>
      <w:r w:rsidR="00DC5492" w:rsidRPr="00DF7DD8">
        <w:rPr>
          <w:lang w:val="en-GB"/>
        </w:rPr>
        <w:t>the maximum storage period for thyme shoot cultures</w:t>
      </w:r>
      <w:r w:rsidR="005D13D6" w:rsidRPr="00DF7DD8">
        <w:rPr>
          <w:lang w:val="en-GB"/>
        </w:rPr>
        <w:t xml:space="preserve"> at </w:t>
      </w:r>
      <w:r w:rsidR="00983E11" w:rsidRPr="00DF7DD8">
        <w:rPr>
          <w:lang w:val="en-GB"/>
        </w:rPr>
        <w:t>4°C and in the dark.</w:t>
      </w:r>
      <w:r w:rsidR="00EA1800" w:rsidRPr="00DF7DD8">
        <w:rPr>
          <w:lang w:val="en-GB"/>
        </w:rPr>
        <w:t xml:space="preserve"> </w:t>
      </w:r>
    </w:p>
    <w:p w:rsidR="00B455AC" w:rsidRDefault="00EE4FB3" w:rsidP="00221086">
      <w:pPr>
        <w:spacing w:line="480" w:lineRule="auto"/>
        <w:ind w:firstLine="709"/>
        <w:jc w:val="both"/>
        <w:rPr>
          <w:lang w:val="en-GB"/>
        </w:rPr>
      </w:pPr>
      <w:r w:rsidRPr="00DF7DD8">
        <w:rPr>
          <w:lang w:val="en-GB"/>
        </w:rPr>
        <w:t>As for shoot length, n</w:t>
      </w:r>
      <w:r w:rsidR="00D50259" w:rsidRPr="00DF7DD8">
        <w:rPr>
          <w:lang w:val="en-GB"/>
        </w:rPr>
        <w:t>o variation was observed among the different conservation periods</w:t>
      </w:r>
      <w:r w:rsidR="005D13D6" w:rsidRPr="00DF7DD8">
        <w:rPr>
          <w:lang w:val="en-GB"/>
        </w:rPr>
        <w:t xml:space="preserve"> and in comparison to the control samples</w:t>
      </w:r>
      <w:r w:rsidR="000340D7" w:rsidRPr="00DF7DD8">
        <w:rPr>
          <w:lang w:val="en-GB"/>
        </w:rPr>
        <w:t>.</w:t>
      </w:r>
      <w:r w:rsidR="000340D7">
        <w:rPr>
          <w:lang w:val="en-GB"/>
        </w:rPr>
        <w:t xml:space="preserve"> </w:t>
      </w:r>
      <w:r w:rsidR="00D50259" w:rsidRPr="00781AA3">
        <w:rPr>
          <w:lang w:val="en-GB"/>
        </w:rPr>
        <w:t xml:space="preserve"> </w:t>
      </w:r>
    </w:p>
    <w:p w:rsidR="00D90845" w:rsidRPr="00781AA3" w:rsidRDefault="00B455AC" w:rsidP="00221086">
      <w:pPr>
        <w:spacing w:line="480" w:lineRule="auto"/>
        <w:ind w:firstLine="709"/>
        <w:jc w:val="both"/>
        <w:rPr>
          <w:lang w:val="en-GB"/>
        </w:rPr>
      </w:pPr>
      <w:r>
        <w:rPr>
          <w:lang w:val="en-GB"/>
        </w:rPr>
        <w:t>As a conclusion, our</w:t>
      </w:r>
      <w:r w:rsidR="00EA1800">
        <w:rPr>
          <w:lang w:val="en-GB"/>
        </w:rPr>
        <w:t xml:space="preserve"> results</w:t>
      </w:r>
      <w:r w:rsidR="00136F36" w:rsidRPr="00781AA3">
        <w:rPr>
          <w:lang w:val="en-GB"/>
        </w:rPr>
        <w:t xml:space="preserve"> </w:t>
      </w:r>
      <w:r>
        <w:rPr>
          <w:lang w:val="en-GB"/>
        </w:rPr>
        <w:t xml:space="preserve">showed that cold storage of </w:t>
      </w:r>
      <w:r w:rsidR="00136F36" w:rsidRPr="00781AA3">
        <w:rPr>
          <w:i/>
          <w:lang w:val="en-GB"/>
        </w:rPr>
        <w:t>T. vulgaris</w:t>
      </w:r>
      <w:r>
        <w:rPr>
          <w:i/>
          <w:lang w:val="en-GB"/>
        </w:rPr>
        <w:t xml:space="preserve"> in vitro</w:t>
      </w:r>
      <w:r w:rsidR="00136F36" w:rsidRPr="00781AA3">
        <w:rPr>
          <w:lang w:val="en-GB"/>
        </w:rPr>
        <w:t xml:space="preserve"> </w:t>
      </w:r>
      <w:r>
        <w:rPr>
          <w:lang w:val="en-GB"/>
        </w:rPr>
        <w:t xml:space="preserve">shoot cultures can be </w:t>
      </w:r>
      <w:r w:rsidR="00EE4FB3">
        <w:rPr>
          <w:lang w:val="en-GB"/>
        </w:rPr>
        <w:t xml:space="preserve">effectively </w:t>
      </w:r>
      <w:r>
        <w:rPr>
          <w:lang w:val="en-GB"/>
        </w:rPr>
        <w:t>prolonged to 12 months without requiring periodic subculturing, and multiplication cycles can easily be re-established by using shoot tips excised from those cultures.</w:t>
      </w:r>
      <w:r w:rsidR="00EE4FB3">
        <w:rPr>
          <w:lang w:val="en-GB"/>
        </w:rPr>
        <w:t xml:space="preserve"> Moreover, the study evidences that a careful observation of the stored material and a proper selection of shoots, from which to excised shoot tips, can </w:t>
      </w:r>
      <w:r w:rsidR="00983E11">
        <w:rPr>
          <w:lang w:val="en-GB"/>
        </w:rPr>
        <w:t>influence shoot regrowth and a</w:t>
      </w:r>
      <w:r w:rsidR="00EE4FB3">
        <w:rPr>
          <w:lang w:val="en-GB"/>
        </w:rPr>
        <w:t xml:space="preserve"> fast re-establishment of shoot cultures in post-conservation.</w:t>
      </w:r>
    </w:p>
    <w:p w:rsidR="007A336C" w:rsidRDefault="007A336C" w:rsidP="007A336C">
      <w:pPr>
        <w:spacing w:line="480" w:lineRule="auto"/>
        <w:jc w:val="both"/>
        <w:rPr>
          <w:lang w:val="en-GB"/>
        </w:rPr>
      </w:pPr>
    </w:p>
    <w:p w:rsidR="00B455AC" w:rsidRPr="00404733" w:rsidRDefault="001B257C" w:rsidP="00221086">
      <w:pPr>
        <w:spacing w:line="480" w:lineRule="auto"/>
        <w:ind w:firstLine="709"/>
        <w:jc w:val="both"/>
        <w:rPr>
          <w:lang w:val="en-GB"/>
        </w:rPr>
      </w:pPr>
      <w:r w:rsidRPr="001B257C">
        <w:rPr>
          <w:b/>
          <w:lang w:val="en-GB"/>
        </w:rPr>
        <w:t>Acknowledgements</w:t>
      </w:r>
      <w:r w:rsidR="00221086">
        <w:rPr>
          <w:b/>
          <w:lang w:val="en-GB"/>
        </w:rPr>
        <w:t>:</w:t>
      </w:r>
      <w:r w:rsidRPr="001B257C">
        <w:rPr>
          <w:b/>
          <w:lang w:val="en-GB"/>
        </w:rPr>
        <w:t xml:space="preserve"> </w:t>
      </w:r>
      <w:r w:rsidRPr="00225A0A">
        <w:rPr>
          <w:lang w:val="en-GB"/>
        </w:rPr>
        <w:t>Gebze Institute of Technology (</w:t>
      </w:r>
      <w:smartTag w:uri="urn:schemas-microsoft-com:office:smarttags" w:element="place">
        <w:smartTag w:uri="urn:schemas-microsoft-com:office:smarttags" w:element="City">
          <w:r w:rsidRPr="00225A0A">
            <w:rPr>
              <w:lang w:val="en-GB"/>
            </w:rPr>
            <w:t>Kocaeli</w:t>
          </w:r>
        </w:smartTag>
        <w:r w:rsidRPr="00225A0A">
          <w:rPr>
            <w:lang w:val="en-GB"/>
          </w:rPr>
          <w:t xml:space="preserve">, </w:t>
        </w:r>
        <w:smartTag w:uri="urn:schemas-microsoft-com:office:smarttags" w:element="country-region">
          <w:r w:rsidRPr="00225A0A">
            <w:rPr>
              <w:lang w:val="en-GB"/>
            </w:rPr>
            <w:t>Turkey</w:t>
          </w:r>
        </w:smartTag>
      </w:smartTag>
      <w:r w:rsidRPr="00225A0A">
        <w:rPr>
          <w:lang w:val="en-GB"/>
        </w:rPr>
        <w:t>) is greatly acknowledged for the financial support of the study as a scientific research project (Project N</w:t>
      </w:r>
      <w:r>
        <w:rPr>
          <w:lang w:val="en-GB"/>
        </w:rPr>
        <w:t>°</w:t>
      </w:r>
      <w:r w:rsidRPr="00225A0A">
        <w:rPr>
          <w:lang w:val="en-GB"/>
        </w:rPr>
        <w:t xml:space="preserve"> </w:t>
      </w:r>
      <w:r w:rsidRPr="00225A0A">
        <w:rPr>
          <w:lang w:val="en-GB"/>
        </w:rPr>
        <w:lastRenderedPageBreak/>
        <w:t>2008-A-13).</w:t>
      </w:r>
      <w:r w:rsidR="00B455AC">
        <w:rPr>
          <w:lang w:val="en-GB"/>
        </w:rPr>
        <w:t xml:space="preserve"> This paper is dedicated to Prof. Dr. Fusun Gumusel, former Director of the Department of Molecular Biology and Genetics of the </w:t>
      </w:r>
      <w:r w:rsidR="00B455AC" w:rsidRPr="00225A0A">
        <w:rPr>
          <w:lang w:val="en-GB"/>
        </w:rPr>
        <w:t>Gebze Institute of Technology</w:t>
      </w:r>
      <w:r w:rsidR="00221086">
        <w:rPr>
          <w:lang w:val="en-GB"/>
        </w:rPr>
        <w:t>, who recently passed away.</w:t>
      </w:r>
      <w:r w:rsidR="00B455AC">
        <w:rPr>
          <w:lang w:val="en-GB"/>
        </w:rPr>
        <w:t xml:space="preserve"> </w:t>
      </w:r>
      <w:r w:rsidR="00221086">
        <w:rPr>
          <w:lang w:val="en-GB"/>
        </w:rPr>
        <w:t>The a</w:t>
      </w:r>
      <w:r w:rsidR="00B455AC">
        <w:rPr>
          <w:lang w:val="en-GB"/>
        </w:rPr>
        <w:t xml:space="preserve">uthors will be greatly indebted for life for her steady scientific support and precious friendship. </w:t>
      </w:r>
    </w:p>
    <w:p w:rsidR="00404733" w:rsidRDefault="00404733" w:rsidP="00AC2417">
      <w:pPr>
        <w:spacing w:line="480" w:lineRule="auto"/>
        <w:jc w:val="both"/>
        <w:rPr>
          <w:b/>
          <w:highlight w:val="yellow"/>
          <w:lang w:val="en-GB"/>
        </w:rPr>
      </w:pPr>
    </w:p>
    <w:p w:rsidR="001B257C" w:rsidRDefault="003A1B0D" w:rsidP="00AC2417">
      <w:pPr>
        <w:spacing w:line="480" w:lineRule="auto"/>
        <w:jc w:val="both"/>
        <w:rPr>
          <w:b/>
          <w:lang w:val="en-GB"/>
        </w:rPr>
      </w:pPr>
      <w:r w:rsidRPr="00C71EE4">
        <w:rPr>
          <w:b/>
          <w:lang w:val="en-GB"/>
        </w:rPr>
        <w:t>REFERENCES</w:t>
      </w:r>
    </w:p>
    <w:p w:rsidR="00D14A97" w:rsidRPr="00D14A97" w:rsidRDefault="00D14A97" w:rsidP="00AC2417">
      <w:pPr>
        <w:spacing w:line="480" w:lineRule="auto"/>
        <w:ind w:left="708" w:hanging="708"/>
        <w:jc w:val="both"/>
        <w:rPr>
          <w:lang w:val="en-GB"/>
        </w:rPr>
      </w:pPr>
      <w:smartTag w:uri="urn:schemas-microsoft-com:office:smarttags" w:element="place">
        <w:smartTag w:uri="urn:schemas-microsoft-com:office:smarttags" w:element="City">
          <w:r w:rsidRPr="00D14A97">
            <w:rPr>
              <w:lang w:val="en-GB"/>
            </w:rPr>
            <w:t>Chao</w:t>
          </w:r>
        </w:smartTag>
        <w:r w:rsidRPr="00D14A97">
          <w:rPr>
            <w:lang w:val="en-GB"/>
          </w:rPr>
          <w:t xml:space="preserve"> </w:t>
        </w:r>
        <w:smartTag w:uri="urn:schemas-microsoft-com:office:smarttags" w:element="State">
          <w:r w:rsidRPr="00D14A97">
            <w:rPr>
              <w:lang w:val="en-GB"/>
            </w:rPr>
            <w:t>S.C.</w:t>
          </w:r>
        </w:smartTag>
      </w:smartTag>
      <w:r w:rsidRPr="00D14A97">
        <w:rPr>
          <w:lang w:val="en-GB"/>
        </w:rPr>
        <w:t xml:space="preserve">, Young D.G., Oberg C.J. (2000). </w:t>
      </w:r>
      <w:r w:rsidRPr="00D14A97">
        <w:rPr>
          <w:rStyle w:val="citation"/>
          <w:lang w:val="en-GB"/>
        </w:rPr>
        <w:t xml:space="preserve">Screening for inhibitory activity of essential oils on selected bacteria, fungi and viruses. </w:t>
      </w:r>
      <w:r>
        <w:rPr>
          <w:lang w:val="en-GB"/>
        </w:rPr>
        <w:t xml:space="preserve">Journal of Essential Oil Research, 12: 639-649. </w:t>
      </w:r>
    </w:p>
    <w:p w:rsidR="00967581" w:rsidRPr="00C71EE4" w:rsidRDefault="00967581" w:rsidP="00AC2417">
      <w:pPr>
        <w:spacing w:line="480" w:lineRule="auto"/>
        <w:ind w:left="708" w:hanging="708"/>
        <w:jc w:val="both"/>
        <w:rPr>
          <w:lang w:val="fr-FR"/>
        </w:rPr>
      </w:pPr>
      <w:r w:rsidRPr="00C71EE4">
        <w:rPr>
          <w:lang w:val="en-GB"/>
        </w:rPr>
        <w:t>de Bouchberg M.S.</w:t>
      </w:r>
      <w:r w:rsidR="00FD6AA0" w:rsidRPr="00C71EE4">
        <w:rPr>
          <w:lang w:val="en-GB"/>
        </w:rPr>
        <w:t xml:space="preserve">, Allegrini J., Bessiere C., Attisso M., Passet J., Granger R. (1976). </w:t>
      </w:r>
      <w:r w:rsidR="00C71EE4" w:rsidRPr="00C71EE4">
        <w:rPr>
          <w:lang w:val="fr-FR"/>
        </w:rPr>
        <w:t xml:space="preserve">Propriétés microbiologiques des huiles essentielles de chimiotypes de </w:t>
      </w:r>
      <w:r w:rsidR="00C71EE4" w:rsidRPr="00C71EE4">
        <w:rPr>
          <w:i/>
          <w:lang w:val="fr-FR"/>
        </w:rPr>
        <w:t>Thymus vulgaris</w:t>
      </w:r>
      <w:r w:rsidR="00C71EE4" w:rsidRPr="00C71EE4">
        <w:rPr>
          <w:lang w:val="fr-FR"/>
        </w:rPr>
        <w:t xml:space="preserve"> Linnaeus. </w:t>
      </w:r>
      <w:r w:rsidR="00FD6AA0" w:rsidRPr="00C71EE4">
        <w:rPr>
          <w:lang w:val="fr-FR"/>
        </w:rPr>
        <w:t>Rivista Italia</w:t>
      </w:r>
      <w:r w:rsidR="00C71EE4" w:rsidRPr="00C71EE4">
        <w:rPr>
          <w:lang w:val="fr-FR"/>
        </w:rPr>
        <w:t>na E.P.P.O.S.</w:t>
      </w:r>
      <w:r w:rsidR="00FD6AA0" w:rsidRPr="00C71EE4">
        <w:rPr>
          <w:lang w:val="fr-FR"/>
        </w:rPr>
        <w:t>, 58: 527-536.</w:t>
      </w:r>
    </w:p>
    <w:p w:rsidR="002B303A" w:rsidRDefault="002B303A" w:rsidP="00AC2417">
      <w:pPr>
        <w:spacing w:line="480" w:lineRule="auto"/>
        <w:ind w:left="708" w:hanging="708"/>
        <w:jc w:val="both"/>
        <w:rPr>
          <w:lang w:val="en-GB"/>
        </w:rPr>
      </w:pPr>
      <w:r w:rsidRPr="00C71EE4">
        <w:rPr>
          <w:lang w:val="fr-FR"/>
        </w:rPr>
        <w:t>Dube P</w:t>
      </w:r>
      <w:r w:rsidR="00FA7DD4" w:rsidRPr="00C71EE4">
        <w:rPr>
          <w:lang w:val="fr-FR"/>
        </w:rPr>
        <w:t>.</w:t>
      </w:r>
      <w:r w:rsidRPr="00C71EE4">
        <w:rPr>
          <w:lang w:val="fr-FR"/>
        </w:rPr>
        <w:t>, Gangopadhyay M</w:t>
      </w:r>
      <w:r w:rsidR="00FA7DD4" w:rsidRPr="00C71EE4">
        <w:rPr>
          <w:lang w:val="fr-FR"/>
        </w:rPr>
        <w:t>.</w:t>
      </w:r>
      <w:r w:rsidRPr="00C71EE4">
        <w:rPr>
          <w:lang w:val="fr-FR"/>
        </w:rPr>
        <w:t>, Dewanjee S,</w:t>
      </w:r>
      <w:r w:rsidR="00FA7DD4" w:rsidRPr="00C71EE4">
        <w:rPr>
          <w:lang w:val="fr-FR"/>
        </w:rPr>
        <w:t>.</w:t>
      </w:r>
      <w:r w:rsidRPr="00C71EE4">
        <w:rPr>
          <w:lang w:val="fr-FR"/>
        </w:rPr>
        <w:t xml:space="preserve"> </w:t>
      </w:r>
      <w:r>
        <w:rPr>
          <w:lang w:val="en-GB"/>
        </w:rPr>
        <w:t>Ali M</w:t>
      </w:r>
      <w:r w:rsidR="00FA7DD4">
        <w:rPr>
          <w:lang w:val="en-GB"/>
        </w:rPr>
        <w:t>.</w:t>
      </w:r>
      <w:r>
        <w:rPr>
          <w:lang w:val="en-GB"/>
        </w:rPr>
        <w:t>N</w:t>
      </w:r>
      <w:r w:rsidR="00FA7DD4">
        <w:rPr>
          <w:lang w:val="en-GB"/>
        </w:rPr>
        <w:t>.</w:t>
      </w:r>
      <w:r>
        <w:rPr>
          <w:lang w:val="en-GB"/>
        </w:rPr>
        <w:t xml:space="preserve"> (2011)</w:t>
      </w:r>
      <w:r w:rsidR="00FA7DD4">
        <w:rPr>
          <w:lang w:val="en-GB"/>
        </w:rPr>
        <w:t>.</w:t>
      </w:r>
      <w:r>
        <w:rPr>
          <w:lang w:val="en-GB"/>
        </w:rPr>
        <w:t xml:space="preserve"> Establishment of a rapid multiplication protocol of </w:t>
      </w:r>
      <w:r w:rsidRPr="002B303A">
        <w:rPr>
          <w:i/>
          <w:lang w:val="en-GB"/>
        </w:rPr>
        <w:t>Coleus forskohlii</w:t>
      </w:r>
      <w:r>
        <w:rPr>
          <w:lang w:val="en-GB"/>
        </w:rPr>
        <w:t xml:space="preserve"> Briq. and </w:t>
      </w:r>
      <w:r w:rsidRPr="002B303A">
        <w:rPr>
          <w:i/>
          <w:lang w:val="en-GB"/>
        </w:rPr>
        <w:t>in vitro</w:t>
      </w:r>
      <w:r>
        <w:rPr>
          <w:lang w:val="en-GB"/>
        </w:rPr>
        <w:t xml:space="preserve"> conservation by reduced growth. Indian J</w:t>
      </w:r>
      <w:r w:rsidR="00FA7DD4">
        <w:rPr>
          <w:lang w:val="en-GB"/>
        </w:rPr>
        <w:t>ournal of</w:t>
      </w:r>
      <w:r w:rsidR="000B5253">
        <w:rPr>
          <w:lang w:val="en-GB"/>
        </w:rPr>
        <w:t xml:space="preserve"> </w:t>
      </w:r>
      <w:r>
        <w:rPr>
          <w:lang w:val="en-GB"/>
        </w:rPr>
        <w:t>Biotech</w:t>
      </w:r>
      <w:r w:rsidR="00FA7DD4">
        <w:rPr>
          <w:lang w:val="en-GB"/>
        </w:rPr>
        <w:t>nology,</w:t>
      </w:r>
      <w:r>
        <w:rPr>
          <w:lang w:val="en-GB"/>
        </w:rPr>
        <w:t xml:space="preserve"> 10: 228-231. </w:t>
      </w:r>
    </w:p>
    <w:p w:rsidR="00967581" w:rsidRDefault="00967581" w:rsidP="00AC2417">
      <w:pPr>
        <w:autoSpaceDE w:val="0"/>
        <w:autoSpaceDN w:val="0"/>
        <w:adjustRightInd w:val="0"/>
        <w:spacing w:line="480" w:lineRule="auto"/>
        <w:ind w:left="540" w:hanging="540"/>
        <w:jc w:val="both"/>
        <w:rPr>
          <w:lang w:val="en-US"/>
        </w:rPr>
      </w:pPr>
      <w:r>
        <w:rPr>
          <w:lang w:val="en-US"/>
        </w:rPr>
        <w:t>Echeverrigaray G., Agostini G., Tai-Serfeni L., Paroul N., Pauletti G.F., Atti dos Santos A.A. (2001). Correlation between the chemical and genetic relationships among commercial thyme cultivars. Journal of Agriculture and Food Chemistry, 49: 4220-4223.</w:t>
      </w:r>
    </w:p>
    <w:p w:rsidR="00967581" w:rsidRPr="00967581" w:rsidRDefault="00967581" w:rsidP="00AC2417">
      <w:pPr>
        <w:autoSpaceDE w:val="0"/>
        <w:autoSpaceDN w:val="0"/>
        <w:adjustRightInd w:val="0"/>
        <w:spacing w:line="480" w:lineRule="auto"/>
        <w:ind w:left="540" w:hanging="540"/>
        <w:jc w:val="both"/>
        <w:rPr>
          <w:lang w:val="es-ES"/>
        </w:rPr>
      </w:pPr>
      <w:r>
        <w:rPr>
          <w:lang w:val="en-US"/>
        </w:rPr>
        <w:t xml:space="preserve">ESTACOM (2000). </w:t>
      </w:r>
      <w:r w:rsidRPr="00967581">
        <w:rPr>
          <w:lang w:val="es-ES"/>
        </w:rPr>
        <w:t>Base de datos de estadísticas españolas de comercio exterior. http://www.icex.es.</w:t>
      </w:r>
    </w:p>
    <w:p w:rsidR="00D14A97" w:rsidRDefault="00D14A97" w:rsidP="00AC2417">
      <w:pPr>
        <w:autoSpaceDE w:val="0"/>
        <w:autoSpaceDN w:val="0"/>
        <w:adjustRightInd w:val="0"/>
        <w:spacing w:line="480" w:lineRule="auto"/>
        <w:ind w:left="540" w:hanging="540"/>
        <w:jc w:val="both"/>
        <w:rPr>
          <w:lang w:val="en-US"/>
        </w:rPr>
      </w:pPr>
      <w:r w:rsidRPr="00C15706">
        <w:rPr>
          <w:lang w:val="en-US"/>
        </w:rPr>
        <w:t>Ferhout H., Bohatier J., Guillot J.</w:t>
      </w:r>
      <w:r w:rsidR="00C15706" w:rsidRPr="00C15706">
        <w:rPr>
          <w:lang w:val="en-US"/>
        </w:rPr>
        <w:t>, Chalchat C.J.</w:t>
      </w:r>
      <w:r w:rsidRPr="00C15706">
        <w:rPr>
          <w:lang w:val="en-US"/>
        </w:rPr>
        <w:t xml:space="preserve"> (1999). </w:t>
      </w:r>
      <w:r w:rsidR="00C15706" w:rsidRPr="00C15706">
        <w:rPr>
          <w:lang w:val="en-US"/>
        </w:rPr>
        <w:t xml:space="preserve">Antifungal activity of selected essential oils, cinnamaldehyde and carvacrol against </w:t>
      </w:r>
      <w:r w:rsidR="00C15706" w:rsidRPr="00C15706">
        <w:rPr>
          <w:i/>
          <w:lang w:val="en-US"/>
        </w:rPr>
        <w:t>Malassezia furfur</w:t>
      </w:r>
      <w:r w:rsidR="00C15706" w:rsidRPr="00C15706">
        <w:rPr>
          <w:lang w:val="en-US"/>
        </w:rPr>
        <w:t xml:space="preserve"> and </w:t>
      </w:r>
      <w:r w:rsidR="00C15706" w:rsidRPr="00C15706">
        <w:rPr>
          <w:i/>
          <w:lang w:val="en-US"/>
        </w:rPr>
        <w:t>Candida albicans</w:t>
      </w:r>
      <w:r w:rsidR="00C15706" w:rsidRPr="00C15706">
        <w:rPr>
          <w:lang w:val="en-US"/>
        </w:rPr>
        <w:t xml:space="preserve">. </w:t>
      </w:r>
      <w:r w:rsidRPr="00C15706">
        <w:rPr>
          <w:lang w:val="en-US"/>
        </w:rPr>
        <w:t>Journal of Essential Oil Research, 11: 119-129.</w:t>
      </w:r>
    </w:p>
    <w:p w:rsidR="00D14A97" w:rsidRDefault="00D14A97" w:rsidP="00AC2417">
      <w:pPr>
        <w:autoSpaceDE w:val="0"/>
        <w:autoSpaceDN w:val="0"/>
        <w:adjustRightInd w:val="0"/>
        <w:spacing w:line="480" w:lineRule="auto"/>
        <w:ind w:left="540" w:hanging="540"/>
        <w:jc w:val="both"/>
        <w:rPr>
          <w:lang w:val="en-US"/>
        </w:rPr>
      </w:pPr>
      <w:r w:rsidRPr="00C15706">
        <w:rPr>
          <w:lang w:val="en-GB"/>
        </w:rPr>
        <w:t>Horne D., Holm M., Oberg C.</w:t>
      </w:r>
      <w:r w:rsidR="00C15706" w:rsidRPr="00C15706">
        <w:rPr>
          <w:lang w:val="en-GB"/>
        </w:rPr>
        <w:t>, Chao S., Young P.G.</w:t>
      </w:r>
      <w:r w:rsidRPr="00C15706">
        <w:rPr>
          <w:lang w:val="en-GB"/>
        </w:rPr>
        <w:t xml:space="preserve"> (2001).</w:t>
      </w:r>
      <w:r w:rsidR="00C15706" w:rsidRPr="00C15706">
        <w:rPr>
          <w:lang w:val="en-GB"/>
        </w:rPr>
        <w:t xml:space="preserve"> An</w:t>
      </w:r>
      <w:r w:rsidR="009F3409">
        <w:rPr>
          <w:lang w:val="en-GB"/>
        </w:rPr>
        <w:t>timicrobial effects of essential</w:t>
      </w:r>
      <w:r w:rsidR="00C15706" w:rsidRPr="00C15706">
        <w:rPr>
          <w:lang w:val="en-GB"/>
        </w:rPr>
        <w:t xml:space="preserve"> oils on </w:t>
      </w:r>
      <w:r w:rsidR="00C15706" w:rsidRPr="00C15706">
        <w:rPr>
          <w:i/>
          <w:lang w:val="en-GB"/>
        </w:rPr>
        <w:t>Streptococcus pneumonia</w:t>
      </w:r>
      <w:r w:rsidR="00C15706" w:rsidRPr="00C15706">
        <w:rPr>
          <w:lang w:val="en-GB"/>
        </w:rPr>
        <w:t>.</w:t>
      </w:r>
      <w:r w:rsidRPr="00C15706">
        <w:rPr>
          <w:lang w:val="en-GB"/>
        </w:rPr>
        <w:t xml:space="preserve"> </w:t>
      </w:r>
      <w:r w:rsidRPr="00C15706">
        <w:rPr>
          <w:lang w:val="en-US"/>
        </w:rPr>
        <w:t>Journal of Essential Oil Research, 13: 387-392.</w:t>
      </w:r>
      <w:r>
        <w:rPr>
          <w:lang w:val="en-US"/>
        </w:rPr>
        <w:t xml:space="preserve"> </w:t>
      </w:r>
    </w:p>
    <w:p w:rsidR="00B40E1A" w:rsidRDefault="00B40E1A" w:rsidP="00AC2417">
      <w:pPr>
        <w:autoSpaceDE w:val="0"/>
        <w:autoSpaceDN w:val="0"/>
        <w:adjustRightInd w:val="0"/>
        <w:spacing w:line="480" w:lineRule="auto"/>
        <w:ind w:left="540" w:hanging="540"/>
        <w:jc w:val="both"/>
        <w:rPr>
          <w:lang w:val="en-US"/>
        </w:rPr>
      </w:pPr>
      <w:smartTag w:uri="urn:schemas-microsoft-com:office:smarttags" w:element="place">
        <w:smartTag w:uri="urn:schemas-microsoft-com:office:smarttags" w:element="City">
          <w:r>
            <w:rPr>
              <w:lang w:val="en-US"/>
            </w:rPr>
            <w:lastRenderedPageBreak/>
            <w:t>Islam</w:t>
          </w:r>
        </w:smartTag>
        <w:r>
          <w:rPr>
            <w:lang w:val="en-US"/>
          </w:rPr>
          <w:t xml:space="preserve"> </w:t>
        </w:r>
        <w:smartTag w:uri="urn:schemas-microsoft-com:office:smarttags" w:element="State">
          <w:r>
            <w:rPr>
              <w:lang w:val="en-US"/>
            </w:rPr>
            <w:t>Md.</w:t>
          </w:r>
        </w:smartTag>
      </w:smartTag>
      <w:r>
        <w:rPr>
          <w:lang w:val="en-US"/>
        </w:rPr>
        <w:t xml:space="preserve"> T</w:t>
      </w:r>
      <w:r w:rsidR="00FA7DD4">
        <w:rPr>
          <w:lang w:val="en-US"/>
        </w:rPr>
        <w:t>.</w:t>
      </w:r>
      <w:r>
        <w:rPr>
          <w:lang w:val="en-US"/>
        </w:rPr>
        <w:t>, Leunufna S</w:t>
      </w:r>
      <w:r w:rsidR="00FA7DD4">
        <w:rPr>
          <w:lang w:val="en-US"/>
        </w:rPr>
        <w:t>.</w:t>
      </w:r>
      <w:r>
        <w:rPr>
          <w:lang w:val="en-US"/>
        </w:rPr>
        <w:t>, Dembele D</w:t>
      </w:r>
      <w:r w:rsidR="00FA7DD4">
        <w:rPr>
          <w:lang w:val="en-US"/>
        </w:rPr>
        <w:t>.</w:t>
      </w:r>
      <w:r>
        <w:rPr>
          <w:lang w:val="en-US"/>
        </w:rPr>
        <w:t>P</w:t>
      </w:r>
      <w:r w:rsidR="00FA7DD4">
        <w:rPr>
          <w:lang w:val="en-US"/>
        </w:rPr>
        <w:t>.</w:t>
      </w:r>
      <w:r>
        <w:rPr>
          <w:lang w:val="en-US"/>
        </w:rPr>
        <w:t>, Keller E</w:t>
      </w:r>
      <w:r w:rsidR="00FA7DD4">
        <w:rPr>
          <w:lang w:val="en-US"/>
        </w:rPr>
        <w:t>.</w:t>
      </w:r>
      <w:r>
        <w:rPr>
          <w:lang w:val="en-US"/>
        </w:rPr>
        <w:t>R</w:t>
      </w:r>
      <w:r w:rsidR="00FA7DD4">
        <w:rPr>
          <w:lang w:val="en-US"/>
        </w:rPr>
        <w:t>.</w:t>
      </w:r>
      <w:r>
        <w:rPr>
          <w:lang w:val="en-US"/>
        </w:rPr>
        <w:t>J</w:t>
      </w:r>
      <w:r w:rsidR="00FA7DD4">
        <w:rPr>
          <w:lang w:val="en-US"/>
        </w:rPr>
        <w:t>.</w:t>
      </w:r>
      <w:r>
        <w:rPr>
          <w:lang w:val="en-US"/>
        </w:rPr>
        <w:t xml:space="preserve"> (2003)</w:t>
      </w:r>
      <w:r w:rsidR="00FA7DD4">
        <w:rPr>
          <w:lang w:val="en-US"/>
        </w:rPr>
        <w:t>.</w:t>
      </w:r>
      <w:r>
        <w:rPr>
          <w:lang w:val="en-US"/>
        </w:rPr>
        <w:t xml:space="preserve"> </w:t>
      </w:r>
      <w:r w:rsidRPr="00B40E1A">
        <w:rPr>
          <w:i/>
          <w:lang w:val="en-US"/>
        </w:rPr>
        <w:t>In vitro</w:t>
      </w:r>
      <w:r>
        <w:rPr>
          <w:lang w:val="en-US"/>
        </w:rPr>
        <w:t xml:space="preserve"> conservation of four mint (</w:t>
      </w:r>
      <w:r w:rsidRPr="00B40E1A">
        <w:rPr>
          <w:i/>
          <w:lang w:val="en-US"/>
        </w:rPr>
        <w:t>Mentha</w:t>
      </w:r>
      <w:r>
        <w:rPr>
          <w:lang w:val="en-US"/>
        </w:rPr>
        <w:t xml:space="preserve"> spp.) accessions. Plant Cell Tiss</w:t>
      </w:r>
      <w:r w:rsidR="00FA7DD4">
        <w:rPr>
          <w:lang w:val="en-US"/>
        </w:rPr>
        <w:t>ue</w:t>
      </w:r>
      <w:r>
        <w:rPr>
          <w:lang w:val="en-US"/>
        </w:rPr>
        <w:t xml:space="preserve"> 13: 37-46. </w:t>
      </w:r>
    </w:p>
    <w:p w:rsidR="008C482A" w:rsidRDefault="008C482A" w:rsidP="00AC2417">
      <w:pPr>
        <w:autoSpaceDE w:val="0"/>
        <w:autoSpaceDN w:val="0"/>
        <w:adjustRightInd w:val="0"/>
        <w:spacing w:line="480" w:lineRule="auto"/>
        <w:ind w:left="540" w:hanging="540"/>
        <w:jc w:val="both"/>
        <w:rPr>
          <w:b/>
          <w:lang w:val="en-GB"/>
        </w:rPr>
      </w:pPr>
      <w:r w:rsidRPr="008C482A">
        <w:rPr>
          <w:lang w:val="en-US"/>
        </w:rPr>
        <w:t>Lambardi M</w:t>
      </w:r>
      <w:r w:rsidR="00FA7DD4">
        <w:rPr>
          <w:lang w:val="en-US"/>
        </w:rPr>
        <w:t>.</w:t>
      </w:r>
      <w:r w:rsidRPr="008C482A">
        <w:rPr>
          <w:lang w:val="en-US"/>
        </w:rPr>
        <w:t>, De Carlo A</w:t>
      </w:r>
      <w:r w:rsidR="00FA7DD4">
        <w:rPr>
          <w:lang w:val="en-US"/>
        </w:rPr>
        <w:t>.</w:t>
      </w:r>
      <w:r w:rsidRPr="008C482A">
        <w:rPr>
          <w:lang w:val="en-US"/>
        </w:rPr>
        <w:t xml:space="preserve"> (2003)</w:t>
      </w:r>
      <w:r w:rsidR="00FA7DD4">
        <w:rPr>
          <w:lang w:val="en-US"/>
        </w:rPr>
        <w:t>.</w:t>
      </w:r>
      <w:r w:rsidRPr="008C482A">
        <w:rPr>
          <w:lang w:val="en-US"/>
        </w:rPr>
        <w:t xml:space="preserve"> </w:t>
      </w:r>
      <w:r w:rsidRPr="002A2901">
        <w:rPr>
          <w:lang w:val="en-GB"/>
        </w:rPr>
        <w:t xml:space="preserve">Application of tissue culture to the germplasm conservation of temperate broad-leaf trees. </w:t>
      </w:r>
      <w:r w:rsidRPr="00FA7DD4">
        <w:rPr>
          <w:i/>
          <w:lang w:val="en-GB"/>
        </w:rPr>
        <w:t>In</w:t>
      </w:r>
      <w:r w:rsidRPr="002A2901">
        <w:rPr>
          <w:lang w:val="en-GB"/>
        </w:rPr>
        <w:t xml:space="preserve">: Jain </w:t>
      </w:r>
      <w:r>
        <w:rPr>
          <w:lang w:val="en-GB"/>
        </w:rPr>
        <w:t>S</w:t>
      </w:r>
      <w:r w:rsidR="00FA7DD4">
        <w:rPr>
          <w:lang w:val="en-GB"/>
        </w:rPr>
        <w:t>.</w:t>
      </w:r>
      <w:r>
        <w:rPr>
          <w:lang w:val="en-GB"/>
        </w:rPr>
        <w:t>M</w:t>
      </w:r>
      <w:r w:rsidR="00FA7DD4">
        <w:rPr>
          <w:lang w:val="en-GB"/>
        </w:rPr>
        <w:t>.</w:t>
      </w:r>
      <w:r>
        <w:rPr>
          <w:lang w:val="en-GB"/>
        </w:rPr>
        <w:t>,</w:t>
      </w:r>
      <w:r w:rsidRPr="002A2901">
        <w:rPr>
          <w:lang w:val="en-GB"/>
        </w:rPr>
        <w:t xml:space="preserve"> Ishii</w:t>
      </w:r>
      <w:r>
        <w:rPr>
          <w:lang w:val="en-GB"/>
        </w:rPr>
        <w:t xml:space="preserve"> K</w:t>
      </w:r>
      <w:r w:rsidR="00FA7DD4">
        <w:rPr>
          <w:lang w:val="en-GB"/>
        </w:rPr>
        <w:t>.</w:t>
      </w:r>
      <w:r>
        <w:rPr>
          <w:lang w:val="en-GB"/>
        </w:rPr>
        <w:t xml:space="preserve"> (E</w:t>
      </w:r>
      <w:r w:rsidRPr="002A2901">
        <w:rPr>
          <w:lang w:val="en-GB"/>
        </w:rPr>
        <w:t>ds)</w:t>
      </w:r>
      <w:r w:rsidR="00FA7DD4">
        <w:rPr>
          <w:lang w:val="en-GB"/>
        </w:rPr>
        <w:t>.</w:t>
      </w:r>
      <w:r w:rsidRPr="002A2901">
        <w:rPr>
          <w:lang w:val="en-GB"/>
        </w:rPr>
        <w:t xml:space="preserve"> Micropropagation of Woody Trees and Fruits. </w:t>
      </w:r>
      <w:r w:rsidRPr="008C482A">
        <w:rPr>
          <w:lang w:val="en-US"/>
        </w:rPr>
        <w:t xml:space="preserve">Kluwer Ac. Pub., </w:t>
      </w:r>
      <w:smartTag w:uri="urn:schemas-microsoft-com:office:smarttags" w:element="City">
        <w:smartTag w:uri="urn:schemas-microsoft-com:office:smarttags" w:element="place">
          <w:r w:rsidRPr="008C482A">
            <w:rPr>
              <w:lang w:val="en-US"/>
            </w:rPr>
            <w:t>Dordrecht</w:t>
          </w:r>
        </w:smartTag>
      </w:smartTag>
      <w:r w:rsidR="00FA7DD4">
        <w:rPr>
          <w:lang w:val="en-US"/>
        </w:rPr>
        <w:t>:</w:t>
      </w:r>
      <w:r w:rsidRPr="008C482A">
        <w:rPr>
          <w:lang w:val="en-US"/>
        </w:rPr>
        <w:t xml:space="preserve"> 815-840.</w:t>
      </w:r>
    </w:p>
    <w:p w:rsidR="00CE6430" w:rsidRPr="00225A0A" w:rsidRDefault="00CE6430" w:rsidP="00AC2417">
      <w:pPr>
        <w:autoSpaceDE w:val="0"/>
        <w:autoSpaceDN w:val="0"/>
        <w:adjustRightInd w:val="0"/>
        <w:spacing w:line="480" w:lineRule="auto"/>
        <w:ind w:left="540" w:hanging="540"/>
        <w:jc w:val="both"/>
        <w:rPr>
          <w:lang w:val="en-US"/>
        </w:rPr>
      </w:pPr>
      <w:r w:rsidRPr="00225A0A">
        <w:rPr>
          <w:lang w:val="en-US"/>
        </w:rPr>
        <w:t>Lambardi M</w:t>
      </w:r>
      <w:r w:rsidR="00FA7DD4">
        <w:rPr>
          <w:lang w:val="en-US"/>
        </w:rPr>
        <w:t>.</w:t>
      </w:r>
      <w:r w:rsidR="00840BB2">
        <w:rPr>
          <w:lang w:val="en-US"/>
        </w:rPr>
        <w:t>,</w:t>
      </w:r>
      <w:r w:rsidRPr="00225A0A">
        <w:rPr>
          <w:lang w:val="en-US"/>
        </w:rPr>
        <w:t xml:space="preserve"> Sharma K</w:t>
      </w:r>
      <w:r w:rsidR="00FA7DD4">
        <w:rPr>
          <w:lang w:val="en-US"/>
        </w:rPr>
        <w:t>.</w:t>
      </w:r>
      <w:r w:rsidRPr="00225A0A">
        <w:rPr>
          <w:lang w:val="en-US"/>
        </w:rPr>
        <w:t>K</w:t>
      </w:r>
      <w:r w:rsidR="00FA7DD4">
        <w:rPr>
          <w:lang w:val="en-US"/>
        </w:rPr>
        <w:t>.</w:t>
      </w:r>
      <w:r w:rsidR="00840BB2">
        <w:rPr>
          <w:lang w:val="en-US"/>
        </w:rPr>
        <w:t>,</w:t>
      </w:r>
      <w:r w:rsidRPr="00225A0A">
        <w:rPr>
          <w:lang w:val="en-US"/>
        </w:rPr>
        <w:t xml:space="preserve"> Thorpe T</w:t>
      </w:r>
      <w:r w:rsidR="00FA7DD4">
        <w:rPr>
          <w:lang w:val="en-US"/>
        </w:rPr>
        <w:t>.</w:t>
      </w:r>
      <w:r w:rsidRPr="00225A0A">
        <w:rPr>
          <w:lang w:val="en-US"/>
        </w:rPr>
        <w:t>A</w:t>
      </w:r>
      <w:r w:rsidR="00FA7DD4">
        <w:rPr>
          <w:lang w:val="en-US"/>
        </w:rPr>
        <w:t>.</w:t>
      </w:r>
      <w:r w:rsidR="00840BB2">
        <w:rPr>
          <w:lang w:val="en-US"/>
        </w:rPr>
        <w:t xml:space="preserve"> (1993)</w:t>
      </w:r>
      <w:r w:rsidR="00FA7DD4">
        <w:rPr>
          <w:lang w:val="en-US"/>
        </w:rPr>
        <w:t>.</w:t>
      </w:r>
      <w:r w:rsidRPr="00225A0A">
        <w:rPr>
          <w:lang w:val="en-US"/>
        </w:rPr>
        <w:t xml:space="preserve"> Optimization of </w:t>
      </w:r>
      <w:r w:rsidRPr="00225A0A">
        <w:rPr>
          <w:i/>
          <w:lang w:val="en-US"/>
        </w:rPr>
        <w:t>in vitro</w:t>
      </w:r>
      <w:r w:rsidRPr="00225A0A">
        <w:rPr>
          <w:lang w:val="en-US"/>
        </w:rPr>
        <w:t xml:space="preserve"> bud induction and plantlet formation from mature embryos of </w:t>
      </w:r>
      <w:smartTag w:uri="urn:schemas-microsoft-com:office:smarttags" w:element="City">
        <w:smartTag w:uri="urn:schemas-microsoft-com:office:smarttags" w:element="place">
          <w:r w:rsidRPr="00225A0A">
            <w:rPr>
              <w:lang w:val="en-US"/>
            </w:rPr>
            <w:t>Aleppo</w:t>
          </w:r>
        </w:smartTag>
      </w:smartTag>
      <w:r w:rsidRPr="00225A0A">
        <w:rPr>
          <w:lang w:val="en-US"/>
        </w:rPr>
        <w:t xml:space="preserve"> pine (</w:t>
      </w:r>
      <w:r w:rsidRPr="00225A0A">
        <w:rPr>
          <w:i/>
          <w:iCs/>
          <w:lang w:val="en-US"/>
        </w:rPr>
        <w:t>Pinus halepensis</w:t>
      </w:r>
      <w:r w:rsidRPr="00225A0A">
        <w:rPr>
          <w:lang w:val="en-US"/>
        </w:rPr>
        <w:t xml:space="preserve"> Mill.). In Vitro Cell</w:t>
      </w:r>
      <w:r w:rsidR="00FA7DD4">
        <w:rPr>
          <w:lang w:val="en-US"/>
        </w:rPr>
        <w:t>ular and</w:t>
      </w:r>
      <w:r w:rsidRPr="00225A0A">
        <w:rPr>
          <w:lang w:val="en-US"/>
        </w:rPr>
        <w:t xml:space="preserve"> Dev</w:t>
      </w:r>
      <w:r w:rsidR="00FA7DD4">
        <w:rPr>
          <w:lang w:val="en-US"/>
        </w:rPr>
        <w:t>elopmental</w:t>
      </w:r>
      <w:r w:rsidRPr="00225A0A">
        <w:rPr>
          <w:lang w:val="en-US"/>
        </w:rPr>
        <w:t xml:space="preserve"> Biol</w:t>
      </w:r>
      <w:r w:rsidR="00FA7DD4">
        <w:rPr>
          <w:lang w:val="en-US"/>
        </w:rPr>
        <w:t>ogy,</w:t>
      </w:r>
      <w:r w:rsidRPr="00225A0A">
        <w:rPr>
          <w:lang w:val="en-US"/>
        </w:rPr>
        <w:t xml:space="preserve"> 29: 189–199.</w:t>
      </w:r>
    </w:p>
    <w:p w:rsidR="00CE6430" w:rsidRPr="002F4BAB" w:rsidRDefault="00840BB2" w:rsidP="00AC2417">
      <w:pPr>
        <w:autoSpaceDE w:val="0"/>
        <w:autoSpaceDN w:val="0"/>
        <w:adjustRightInd w:val="0"/>
        <w:spacing w:line="480" w:lineRule="auto"/>
        <w:ind w:left="540" w:hanging="540"/>
        <w:jc w:val="both"/>
        <w:rPr>
          <w:lang w:val="en-US"/>
        </w:rPr>
      </w:pPr>
      <w:smartTag w:uri="urn:schemas-microsoft-com:office:smarttags" w:element="City">
        <w:smartTag w:uri="urn:schemas-microsoft-com:office:smarttags" w:element="place">
          <w:r>
            <w:rPr>
              <w:lang w:val="en-US"/>
            </w:rPr>
            <w:t>Lawrence</w:t>
          </w:r>
        </w:smartTag>
      </w:smartTag>
      <w:r>
        <w:rPr>
          <w:lang w:val="en-US"/>
        </w:rPr>
        <w:t xml:space="preserve"> B</w:t>
      </w:r>
      <w:r w:rsidR="00FA7DD4">
        <w:rPr>
          <w:lang w:val="en-US"/>
        </w:rPr>
        <w:t>.</w:t>
      </w:r>
      <w:r>
        <w:rPr>
          <w:lang w:val="en-US"/>
        </w:rPr>
        <w:t>M</w:t>
      </w:r>
      <w:r w:rsidR="00FA7DD4">
        <w:rPr>
          <w:lang w:val="en-US"/>
        </w:rPr>
        <w:t>.</w:t>
      </w:r>
      <w:r>
        <w:rPr>
          <w:lang w:val="en-US"/>
        </w:rPr>
        <w:t>, Tucker A</w:t>
      </w:r>
      <w:r w:rsidR="00FA7DD4">
        <w:rPr>
          <w:lang w:val="en-US"/>
        </w:rPr>
        <w:t>.</w:t>
      </w:r>
      <w:r w:rsidR="00CE6430" w:rsidRPr="002F4BAB">
        <w:rPr>
          <w:lang w:val="en-US"/>
        </w:rPr>
        <w:t>O</w:t>
      </w:r>
      <w:r w:rsidR="00FA7DD4">
        <w:rPr>
          <w:lang w:val="en-US"/>
        </w:rPr>
        <w:t>.</w:t>
      </w:r>
      <w:r>
        <w:rPr>
          <w:lang w:val="en-US"/>
        </w:rPr>
        <w:t xml:space="preserve"> (2002)</w:t>
      </w:r>
      <w:r w:rsidR="00FA7DD4">
        <w:rPr>
          <w:lang w:val="en-US"/>
        </w:rPr>
        <w:t>.</w:t>
      </w:r>
      <w:r w:rsidR="00CE6430" w:rsidRPr="002F4BAB">
        <w:rPr>
          <w:lang w:val="en-US"/>
        </w:rPr>
        <w:t xml:space="preserve"> The genus </w:t>
      </w:r>
      <w:r w:rsidR="00CE6430" w:rsidRPr="002F4BAB">
        <w:rPr>
          <w:i/>
          <w:lang w:val="en-US"/>
        </w:rPr>
        <w:t>Thymus</w:t>
      </w:r>
      <w:r w:rsidR="00CE6430" w:rsidRPr="002F4BAB">
        <w:rPr>
          <w:lang w:val="en-US"/>
        </w:rPr>
        <w:t xml:space="preserve"> as a source of commercial products. </w:t>
      </w:r>
      <w:r w:rsidR="00CE6430" w:rsidRPr="00FA7DD4">
        <w:rPr>
          <w:i/>
          <w:lang w:val="en-US"/>
        </w:rPr>
        <w:t>In</w:t>
      </w:r>
      <w:r w:rsidR="00CE6430" w:rsidRPr="002F4BAB">
        <w:rPr>
          <w:lang w:val="en-US"/>
        </w:rPr>
        <w:t>: Stahl-Biskup E</w:t>
      </w:r>
      <w:r w:rsidR="00FA7DD4">
        <w:rPr>
          <w:lang w:val="en-US"/>
        </w:rPr>
        <w:t>.</w:t>
      </w:r>
      <w:r w:rsidR="00CE6430" w:rsidRPr="002F4BAB">
        <w:rPr>
          <w:lang w:val="en-US"/>
        </w:rPr>
        <w:t>, Sáez F</w:t>
      </w:r>
      <w:r w:rsidR="00FA7DD4">
        <w:rPr>
          <w:lang w:val="en-US"/>
        </w:rPr>
        <w:t>.</w:t>
      </w:r>
      <w:r w:rsidR="00CE6430" w:rsidRPr="002F4BAB">
        <w:rPr>
          <w:lang w:val="en-US"/>
        </w:rPr>
        <w:t xml:space="preserve"> (Eds)</w:t>
      </w:r>
      <w:r w:rsidR="00FA7DD4">
        <w:rPr>
          <w:lang w:val="en-US"/>
        </w:rPr>
        <w:t>.</w:t>
      </w:r>
      <w:r w:rsidR="00CE6430" w:rsidRPr="002F4BAB">
        <w:rPr>
          <w:lang w:val="en-US"/>
        </w:rPr>
        <w:t xml:space="preserve"> Thyme, The Genus </w:t>
      </w:r>
      <w:r w:rsidR="00CE6430" w:rsidRPr="002F4BAB">
        <w:rPr>
          <w:i/>
          <w:lang w:val="en-US"/>
        </w:rPr>
        <w:t>Thymus</w:t>
      </w:r>
      <w:r w:rsidR="00CE6430" w:rsidRPr="002F4BAB">
        <w:rPr>
          <w:lang w:val="en-US"/>
        </w:rPr>
        <w:t xml:space="preserve">. </w:t>
      </w:r>
      <w:smartTag w:uri="urn:schemas-microsoft-com:office:smarttags" w:element="City">
        <w:smartTag w:uri="urn:schemas-microsoft-com:office:smarttags" w:element="place">
          <w:r w:rsidR="00CE6430" w:rsidRPr="002F4BAB">
            <w:rPr>
              <w:lang w:val="en-US"/>
            </w:rPr>
            <w:t>Taylor</w:t>
          </w:r>
        </w:smartTag>
      </w:smartTag>
      <w:r w:rsidR="00CE6430" w:rsidRPr="002F4BAB">
        <w:rPr>
          <w:lang w:val="en-US"/>
        </w:rPr>
        <w:t xml:space="preserve"> and Francis, </w:t>
      </w:r>
      <w:smartTag w:uri="urn:schemas-microsoft-com:office:smarttags" w:element="place">
        <w:smartTag w:uri="urn:schemas-microsoft-com:office:smarttags" w:element="City">
          <w:r w:rsidR="00CE6430" w:rsidRPr="002F4BAB">
            <w:rPr>
              <w:lang w:val="en-US"/>
            </w:rPr>
            <w:t>London</w:t>
          </w:r>
        </w:smartTag>
        <w:r w:rsidR="00CE6430" w:rsidRPr="002F4BAB">
          <w:rPr>
            <w:lang w:val="en-US"/>
          </w:rPr>
          <w:t xml:space="preserve">, </w:t>
        </w:r>
        <w:smartTag w:uri="urn:schemas-microsoft-com:office:smarttags" w:element="State">
          <w:r w:rsidR="00CE6430" w:rsidRPr="002F4BAB">
            <w:rPr>
              <w:lang w:val="en-US"/>
            </w:rPr>
            <w:t>New York</w:t>
          </w:r>
        </w:smartTag>
      </w:smartTag>
      <w:r w:rsidR="00FA7DD4">
        <w:rPr>
          <w:lang w:val="en-US"/>
        </w:rPr>
        <w:t>:</w:t>
      </w:r>
      <w:r w:rsidR="00CE6430" w:rsidRPr="002F4BAB">
        <w:rPr>
          <w:lang w:val="en-US"/>
        </w:rPr>
        <w:t xml:space="preserve"> 252-262. </w:t>
      </w:r>
    </w:p>
    <w:p w:rsidR="000B5253" w:rsidRDefault="000B5253" w:rsidP="00AC2417">
      <w:pPr>
        <w:autoSpaceDE w:val="0"/>
        <w:autoSpaceDN w:val="0"/>
        <w:adjustRightInd w:val="0"/>
        <w:spacing w:line="480" w:lineRule="auto"/>
        <w:ind w:left="540" w:hanging="540"/>
        <w:jc w:val="both"/>
        <w:rPr>
          <w:lang w:val="en-GB"/>
        </w:rPr>
      </w:pPr>
      <w:r>
        <w:rPr>
          <w:lang w:val="en-GB"/>
        </w:rPr>
        <w:t>Leelavathi D</w:t>
      </w:r>
      <w:r w:rsidR="00FA7DD4">
        <w:rPr>
          <w:lang w:val="en-GB"/>
        </w:rPr>
        <w:t>.</w:t>
      </w:r>
      <w:r>
        <w:rPr>
          <w:lang w:val="en-GB"/>
        </w:rPr>
        <w:t xml:space="preserve"> (2010)</w:t>
      </w:r>
      <w:r w:rsidR="00FA7DD4">
        <w:rPr>
          <w:lang w:val="en-GB"/>
        </w:rPr>
        <w:t>.</w:t>
      </w:r>
      <w:r>
        <w:rPr>
          <w:lang w:val="en-GB"/>
        </w:rPr>
        <w:t xml:space="preserve"> </w:t>
      </w:r>
      <w:r w:rsidRPr="00B40E1A">
        <w:rPr>
          <w:i/>
          <w:lang w:val="en-GB"/>
        </w:rPr>
        <w:t>Ex situ</w:t>
      </w:r>
      <w:r>
        <w:rPr>
          <w:lang w:val="en-GB"/>
        </w:rPr>
        <w:t xml:space="preserve"> conservation of </w:t>
      </w:r>
      <w:r w:rsidRPr="00B40E1A">
        <w:rPr>
          <w:i/>
          <w:lang w:val="en-GB"/>
        </w:rPr>
        <w:t>Lavandula angustifolia</w:t>
      </w:r>
      <w:r>
        <w:rPr>
          <w:lang w:val="en-GB"/>
        </w:rPr>
        <w:t xml:space="preserve"> using </w:t>
      </w:r>
      <w:r w:rsidRPr="00B40E1A">
        <w:rPr>
          <w:i/>
          <w:lang w:val="en-GB"/>
        </w:rPr>
        <w:t>in vitro</w:t>
      </w:r>
      <w:r>
        <w:rPr>
          <w:lang w:val="en-GB"/>
        </w:rPr>
        <w:t xml:space="preserve"> techniques. Lake 2010: Wetlands, Biodiversity and Climate Change, </w:t>
      </w:r>
      <w:smartTag w:uri="urn:schemas-microsoft-com:office:smarttags" w:element="date">
        <w:smartTagPr>
          <w:attr w:name="Month" w:val="12"/>
          <w:attr w:name="Day" w:val="22"/>
          <w:attr w:name="Year" w:val="2010"/>
        </w:smartTagPr>
        <w:r>
          <w:rPr>
            <w:lang w:val="en-GB"/>
          </w:rPr>
          <w:t>December 22-24, 2010</w:t>
        </w:r>
      </w:smartTag>
      <w:r>
        <w:rPr>
          <w:lang w:val="en-GB"/>
        </w:rPr>
        <w:t xml:space="preserve">. pp. 1-15. </w:t>
      </w:r>
    </w:p>
    <w:p w:rsidR="00FD6AA0" w:rsidRPr="00FD6AA0" w:rsidRDefault="00FD6AA0" w:rsidP="00AC2417">
      <w:pPr>
        <w:autoSpaceDE w:val="0"/>
        <w:autoSpaceDN w:val="0"/>
        <w:adjustRightInd w:val="0"/>
        <w:spacing w:line="480" w:lineRule="auto"/>
        <w:ind w:left="540" w:hanging="540"/>
        <w:jc w:val="both"/>
        <w:rPr>
          <w:lang w:val="en-GB"/>
        </w:rPr>
      </w:pPr>
      <w:r w:rsidRPr="00C15706">
        <w:rPr>
          <w:lang w:val="de-DE"/>
        </w:rPr>
        <w:t xml:space="preserve">Leung A.Y., Foster S. (1996). </w:t>
      </w:r>
      <w:r w:rsidRPr="00C15706">
        <w:rPr>
          <w:lang w:val="en-GB"/>
        </w:rPr>
        <w:t xml:space="preserve">Encyclopedia of common </w:t>
      </w:r>
      <w:r w:rsidR="00D14A97" w:rsidRPr="00C15706">
        <w:rPr>
          <w:lang w:val="en-GB"/>
        </w:rPr>
        <w:t>natural ingredients used in food</w:t>
      </w:r>
      <w:r w:rsidRPr="00C15706">
        <w:rPr>
          <w:lang w:val="en-GB"/>
        </w:rPr>
        <w:t xml:space="preserve">, drugs and cosmetics. </w:t>
      </w:r>
      <w:r w:rsidR="00C15706" w:rsidRPr="00C15706">
        <w:rPr>
          <w:lang w:val="en-GB"/>
        </w:rPr>
        <w:t>2</w:t>
      </w:r>
      <w:r w:rsidR="00C15706" w:rsidRPr="00C15706">
        <w:rPr>
          <w:vertAlign w:val="superscript"/>
          <w:lang w:val="en-GB"/>
        </w:rPr>
        <w:t>nd</w:t>
      </w:r>
      <w:r w:rsidR="00C15706" w:rsidRPr="00C15706">
        <w:rPr>
          <w:lang w:val="en-GB"/>
        </w:rPr>
        <w:t xml:space="preserve"> Edition</w:t>
      </w:r>
      <w:r w:rsidR="009F3409">
        <w:rPr>
          <w:lang w:val="en-GB"/>
        </w:rPr>
        <w:t xml:space="preserve">, </w:t>
      </w:r>
      <w:r w:rsidRPr="00C15706">
        <w:rPr>
          <w:lang w:val="en-GB"/>
        </w:rPr>
        <w:t>John Wiley and Sons</w:t>
      </w:r>
      <w:r w:rsidR="00C15706" w:rsidRPr="00C15706">
        <w:rPr>
          <w:lang w:val="en-GB"/>
        </w:rPr>
        <w:t xml:space="preserve"> Inc.</w:t>
      </w:r>
      <w:r w:rsidRPr="00C15706">
        <w:rPr>
          <w:lang w:val="en-GB"/>
        </w:rPr>
        <w:t xml:space="preserve">, </w:t>
      </w:r>
      <w:smartTag w:uri="urn:schemas-microsoft-com:office:smarttags" w:element="State">
        <w:smartTag w:uri="urn:schemas-microsoft-com:office:smarttags" w:element="place">
          <w:r w:rsidRPr="00C15706">
            <w:rPr>
              <w:lang w:val="en-GB"/>
            </w:rPr>
            <w:t>New York</w:t>
          </w:r>
        </w:smartTag>
      </w:smartTag>
      <w:r w:rsidR="00C15706" w:rsidRPr="00C15706">
        <w:rPr>
          <w:lang w:val="en-GB"/>
        </w:rPr>
        <w:t>,</w:t>
      </w:r>
      <w:r w:rsidRPr="00C15706">
        <w:rPr>
          <w:lang w:val="en-GB"/>
        </w:rPr>
        <w:t xml:space="preserve"> 492</w:t>
      </w:r>
      <w:r w:rsidR="00C15706" w:rsidRPr="00C15706">
        <w:rPr>
          <w:lang w:val="en-GB"/>
        </w:rPr>
        <w:t xml:space="preserve"> pp</w:t>
      </w:r>
      <w:r w:rsidRPr="00C15706">
        <w:rPr>
          <w:lang w:val="en-GB"/>
        </w:rPr>
        <w:t>.</w:t>
      </w:r>
      <w:r>
        <w:rPr>
          <w:lang w:val="en-GB"/>
        </w:rPr>
        <w:t xml:space="preserve"> </w:t>
      </w:r>
    </w:p>
    <w:p w:rsidR="00832A13" w:rsidRDefault="00832A13" w:rsidP="00AC2417">
      <w:pPr>
        <w:autoSpaceDE w:val="0"/>
        <w:autoSpaceDN w:val="0"/>
        <w:adjustRightInd w:val="0"/>
        <w:spacing w:line="480" w:lineRule="auto"/>
        <w:ind w:left="540" w:hanging="540"/>
        <w:jc w:val="both"/>
        <w:rPr>
          <w:lang w:val="en-GB"/>
        </w:rPr>
      </w:pPr>
      <w:r w:rsidRPr="00832A13">
        <w:rPr>
          <w:lang w:val="en-GB"/>
        </w:rPr>
        <w:t>Loziene K</w:t>
      </w:r>
      <w:r w:rsidR="00FA7DD4">
        <w:rPr>
          <w:lang w:val="en-GB"/>
        </w:rPr>
        <w:t>.</w:t>
      </w:r>
      <w:r w:rsidRPr="00832A13">
        <w:rPr>
          <w:lang w:val="en-GB"/>
        </w:rPr>
        <w:t>, Venskutonis P</w:t>
      </w:r>
      <w:r w:rsidR="00FA7DD4">
        <w:rPr>
          <w:lang w:val="en-GB"/>
        </w:rPr>
        <w:t>.</w:t>
      </w:r>
      <w:r w:rsidRPr="00832A13">
        <w:rPr>
          <w:lang w:val="en-GB"/>
        </w:rPr>
        <w:t>R</w:t>
      </w:r>
      <w:r w:rsidR="00FA7DD4">
        <w:rPr>
          <w:lang w:val="en-GB"/>
        </w:rPr>
        <w:t>.</w:t>
      </w:r>
      <w:r w:rsidRPr="00832A13">
        <w:rPr>
          <w:lang w:val="en-GB"/>
        </w:rPr>
        <w:t>, Sipailiene A</w:t>
      </w:r>
      <w:r w:rsidR="00FA7DD4">
        <w:rPr>
          <w:lang w:val="en-GB"/>
        </w:rPr>
        <w:t>.</w:t>
      </w:r>
      <w:r w:rsidRPr="00832A13">
        <w:rPr>
          <w:lang w:val="en-GB"/>
        </w:rPr>
        <w:t>, Labokas J</w:t>
      </w:r>
      <w:r w:rsidR="00FA7DD4">
        <w:rPr>
          <w:lang w:val="en-GB"/>
        </w:rPr>
        <w:t>.</w:t>
      </w:r>
      <w:r w:rsidRPr="00832A13">
        <w:rPr>
          <w:lang w:val="en-GB"/>
        </w:rPr>
        <w:t xml:space="preserve"> (2007)</w:t>
      </w:r>
      <w:r w:rsidR="00FA7DD4">
        <w:rPr>
          <w:lang w:val="en-GB"/>
        </w:rPr>
        <w:t>.</w:t>
      </w:r>
      <w:r w:rsidRPr="00832A13">
        <w:rPr>
          <w:lang w:val="en-GB"/>
        </w:rPr>
        <w:t xml:space="preserve"> Radical scavenging</w:t>
      </w:r>
      <w:r>
        <w:rPr>
          <w:lang w:val="en-GB"/>
        </w:rPr>
        <w:t xml:space="preserve"> and antibacterial properties of the extracts from different </w:t>
      </w:r>
      <w:r w:rsidRPr="00832A13">
        <w:rPr>
          <w:i/>
          <w:lang w:val="en-GB"/>
        </w:rPr>
        <w:t>Thymus pulegioides</w:t>
      </w:r>
      <w:r>
        <w:rPr>
          <w:lang w:val="en-GB"/>
        </w:rPr>
        <w:t xml:space="preserve"> L. chemotypes. Food Chemistry</w:t>
      </w:r>
      <w:r w:rsidR="00FA7DD4">
        <w:rPr>
          <w:lang w:val="en-GB"/>
        </w:rPr>
        <w:t>,</w:t>
      </w:r>
      <w:r>
        <w:rPr>
          <w:lang w:val="en-GB"/>
        </w:rPr>
        <w:t xml:space="preserve"> 103:546-559. </w:t>
      </w:r>
    </w:p>
    <w:p w:rsidR="00CE6430" w:rsidRPr="00225A0A" w:rsidRDefault="00CE6430" w:rsidP="00AC2417">
      <w:pPr>
        <w:autoSpaceDE w:val="0"/>
        <w:autoSpaceDN w:val="0"/>
        <w:adjustRightInd w:val="0"/>
        <w:spacing w:line="480" w:lineRule="auto"/>
        <w:ind w:left="540" w:hanging="540"/>
        <w:jc w:val="both"/>
        <w:rPr>
          <w:lang w:val="en-US"/>
        </w:rPr>
      </w:pPr>
      <w:r w:rsidRPr="00225A0A">
        <w:rPr>
          <w:lang w:val="en-US"/>
        </w:rPr>
        <w:t>Marascuilo L</w:t>
      </w:r>
      <w:r w:rsidR="00FA7DD4">
        <w:rPr>
          <w:lang w:val="en-US"/>
        </w:rPr>
        <w:t>.</w:t>
      </w:r>
      <w:r w:rsidRPr="00225A0A">
        <w:rPr>
          <w:lang w:val="en-US"/>
        </w:rPr>
        <w:t>A</w:t>
      </w:r>
      <w:r w:rsidR="00FA7DD4">
        <w:rPr>
          <w:lang w:val="en-US"/>
        </w:rPr>
        <w:t>.</w:t>
      </w:r>
      <w:r w:rsidR="00840BB2">
        <w:rPr>
          <w:lang w:val="en-US"/>
        </w:rPr>
        <w:t>,</w:t>
      </w:r>
      <w:r w:rsidRPr="00225A0A">
        <w:rPr>
          <w:lang w:val="en-US"/>
        </w:rPr>
        <w:t xml:space="preserve"> McSweeney M</w:t>
      </w:r>
      <w:r w:rsidR="00FA7DD4">
        <w:rPr>
          <w:lang w:val="en-US"/>
        </w:rPr>
        <w:t>.</w:t>
      </w:r>
      <w:r w:rsidR="00840BB2">
        <w:rPr>
          <w:lang w:val="en-US"/>
        </w:rPr>
        <w:t xml:space="preserve"> (1977)</w:t>
      </w:r>
      <w:r w:rsidRPr="00225A0A">
        <w:rPr>
          <w:lang w:val="en-US"/>
        </w:rPr>
        <w:t xml:space="preserve"> Post-Hoc Multiple Comparisons in sample preparations for test of homogenesity. </w:t>
      </w:r>
      <w:r w:rsidRPr="00FA7DD4">
        <w:rPr>
          <w:i/>
          <w:lang w:val="en-US"/>
        </w:rPr>
        <w:t>In</w:t>
      </w:r>
      <w:r w:rsidRPr="00225A0A">
        <w:rPr>
          <w:lang w:val="en-US"/>
        </w:rPr>
        <w:t>: McSweeney M</w:t>
      </w:r>
      <w:r w:rsidR="00FA7DD4">
        <w:rPr>
          <w:lang w:val="en-US"/>
        </w:rPr>
        <w:t>.</w:t>
      </w:r>
      <w:r w:rsidRPr="00225A0A">
        <w:rPr>
          <w:lang w:val="en-US"/>
        </w:rPr>
        <w:t>, Marascuilo L</w:t>
      </w:r>
      <w:r w:rsidR="00FA7DD4">
        <w:rPr>
          <w:lang w:val="en-US"/>
        </w:rPr>
        <w:t>.</w:t>
      </w:r>
      <w:r w:rsidRPr="00225A0A">
        <w:rPr>
          <w:lang w:val="en-US"/>
        </w:rPr>
        <w:t>A</w:t>
      </w:r>
      <w:r w:rsidR="00FA7DD4">
        <w:rPr>
          <w:lang w:val="en-US"/>
        </w:rPr>
        <w:t>.</w:t>
      </w:r>
      <w:r w:rsidRPr="00225A0A">
        <w:rPr>
          <w:lang w:val="en-US"/>
        </w:rPr>
        <w:t xml:space="preserve"> (Eds)</w:t>
      </w:r>
      <w:r w:rsidR="00FA7DD4">
        <w:rPr>
          <w:lang w:val="en-US"/>
        </w:rPr>
        <w:t>.</w:t>
      </w:r>
      <w:r w:rsidRPr="00225A0A">
        <w:rPr>
          <w:lang w:val="en-US"/>
        </w:rPr>
        <w:t xml:space="preserve"> Non-Parametric and Distribution Free Methods the Social Sciences. Books/Cole Publication, </w:t>
      </w:r>
      <w:smartTag w:uri="urn:schemas-microsoft-com:office:smarttags" w:element="place">
        <w:smartTag w:uri="urn:schemas-microsoft-com:office:smarttags" w:element="City">
          <w:r w:rsidRPr="00225A0A">
            <w:rPr>
              <w:lang w:val="en-US"/>
            </w:rPr>
            <w:t>Belmont</w:t>
          </w:r>
        </w:smartTag>
        <w:r w:rsidRPr="00225A0A">
          <w:rPr>
            <w:lang w:val="en-US"/>
          </w:rPr>
          <w:t xml:space="preserve"> </w:t>
        </w:r>
        <w:smartTag w:uri="urn:schemas-microsoft-com:office:smarttags" w:element="State">
          <w:r w:rsidRPr="00225A0A">
            <w:rPr>
              <w:lang w:val="en-US"/>
            </w:rPr>
            <w:t>CA</w:t>
          </w:r>
        </w:smartTag>
      </w:smartTag>
      <w:r w:rsidR="00FA7DD4">
        <w:rPr>
          <w:lang w:val="en-US"/>
        </w:rPr>
        <w:t>:</w:t>
      </w:r>
      <w:r w:rsidRPr="00225A0A">
        <w:rPr>
          <w:lang w:val="en-US"/>
        </w:rPr>
        <w:t xml:space="preserve"> 141–147.</w:t>
      </w:r>
    </w:p>
    <w:p w:rsidR="00CE6430" w:rsidRPr="002F4BAB" w:rsidRDefault="00840BB2" w:rsidP="00AC2417">
      <w:pPr>
        <w:autoSpaceDE w:val="0"/>
        <w:autoSpaceDN w:val="0"/>
        <w:adjustRightInd w:val="0"/>
        <w:spacing w:line="480" w:lineRule="auto"/>
        <w:ind w:left="540" w:hanging="540"/>
        <w:jc w:val="both"/>
        <w:rPr>
          <w:lang w:val="en-US"/>
        </w:rPr>
      </w:pPr>
      <w:r>
        <w:rPr>
          <w:lang w:val="en-US"/>
        </w:rPr>
        <w:lastRenderedPageBreak/>
        <w:t>Morales</w:t>
      </w:r>
      <w:r w:rsidR="00CE6430" w:rsidRPr="002F4BAB">
        <w:rPr>
          <w:lang w:val="en-US"/>
        </w:rPr>
        <w:t xml:space="preserve"> R</w:t>
      </w:r>
      <w:r w:rsidR="00FA7DD4">
        <w:rPr>
          <w:lang w:val="en-US"/>
        </w:rPr>
        <w:t>.</w:t>
      </w:r>
      <w:r>
        <w:rPr>
          <w:lang w:val="en-US"/>
        </w:rPr>
        <w:t xml:space="preserve"> (2002)</w:t>
      </w:r>
      <w:r w:rsidR="00CE6430" w:rsidRPr="002F4BAB">
        <w:rPr>
          <w:lang w:val="en-US"/>
        </w:rPr>
        <w:t xml:space="preserve"> The history, botany and taxonomy of the genus </w:t>
      </w:r>
      <w:r w:rsidR="00CE6430" w:rsidRPr="00840BB2">
        <w:rPr>
          <w:i/>
          <w:lang w:val="en-US"/>
        </w:rPr>
        <w:t>Thymus</w:t>
      </w:r>
      <w:r w:rsidR="00CE6430" w:rsidRPr="002F4BAB">
        <w:rPr>
          <w:lang w:val="en-US"/>
        </w:rPr>
        <w:t xml:space="preserve">. </w:t>
      </w:r>
      <w:r w:rsidR="00CE6430" w:rsidRPr="00FA7DD4">
        <w:rPr>
          <w:i/>
          <w:lang w:val="en-US"/>
        </w:rPr>
        <w:t>In</w:t>
      </w:r>
      <w:r w:rsidR="00CE6430" w:rsidRPr="002F4BAB">
        <w:rPr>
          <w:lang w:val="en-US"/>
        </w:rPr>
        <w:t>: Stahl-Biskup E</w:t>
      </w:r>
      <w:r w:rsidR="00FA7DD4">
        <w:rPr>
          <w:lang w:val="en-US"/>
        </w:rPr>
        <w:t>.</w:t>
      </w:r>
      <w:r w:rsidR="00CE6430" w:rsidRPr="002F4BAB">
        <w:rPr>
          <w:lang w:val="en-US"/>
        </w:rPr>
        <w:t>, Sáez F</w:t>
      </w:r>
      <w:r w:rsidR="00FA7DD4">
        <w:rPr>
          <w:lang w:val="en-US"/>
        </w:rPr>
        <w:t>.</w:t>
      </w:r>
      <w:r w:rsidR="00CE6430" w:rsidRPr="002F4BAB">
        <w:rPr>
          <w:lang w:val="en-US"/>
        </w:rPr>
        <w:t xml:space="preserve"> (Eds)</w:t>
      </w:r>
      <w:r w:rsidR="00FA7DD4">
        <w:rPr>
          <w:lang w:val="en-US"/>
        </w:rPr>
        <w:t>.</w:t>
      </w:r>
      <w:r w:rsidR="00CE6430" w:rsidRPr="002F4BAB">
        <w:rPr>
          <w:lang w:val="en-US"/>
        </w:rPr>
        <w:t xml:space="preserve"> Thyme, The genus </w:t>
      </w:r>
      <w:r w:rsidR="00CE6430" w:rsidRPr="00840BB2">
        <w:rPr>
          <w:i/>
          <w:lang w:val="en-US"/>
        </w:rPr>
        <w:t>Thymus</w:t>
      </w:r>
      <w:r w:rsidR="00CE6430" w:rsidRPr="002F4BAB">
        <w:rPr>
          <w:lang w:val="en-US"/>
        </w:rPr>
        <w:t xml:space="preserve">. </w:t>
      </w:r>
      <w:smartTag w:uri="urn:schemas-microsoft-com:office:smarttags" w:element="City">
        <w:smartTag w:uri="urn:schemas-microsoft-com:office:smarttags" w:element="place">
          <w:r w:rsidR="00CE6430" w:rsidRPr="002F4BAB">
            <w:rPr>
              <w:lang w:val="en-US"/>
            </w:rPr>
            <w:t>Taylor</w:t>
          </w:r>
        </w:smartTag>
      </w:smartTag>
      <w:r w:rsidR="00CE6430" w:rsidRPr="002F4BAB">
        <w:rPr>
          <w:lang w:val="en-US"/>
        </w:rPr>
        <w:t xml:space="preserve"> and Francis, </w:t>
      </w:r>
      <w:smartTag w:uri="urn:schemas-microsoft-com:office:smarttags" w:element="place">
        <w:smartTag w:uri="urn:schemas-microsoft-com:office:smarttags" w:element="City">
          <w:r w:rsidR="00CE6430" w:rsidRPr="002F4BAB">
            <w:rPr>
              <w:lang w:val="en-US"/>
            </w:rPr>
            <w:t>London</w:t>
          </w:r>
        </w:smartTag>
        <w:r w:rsidR="00CE6430" w:rsidRPr="002F4BAB">
          <w:rPr>
            <w:lang w:val="en-US"/>
          </w:rPr>
          <w:t xml:space="preserve">, </w:t>
        </w:r>
        <w:smartTag w:uri="urn:schemas-microsoft-com:office:smarttags" w:element="State">
          <w:r w:rsidR="00CE6430" w:rsidRPr="002F4BAB">
            <w:rPr>
              <w:lang w:val="en-US"/>
            </w:rPr>
            <w:t>New York</w:t>
          </w:r>
        </w:smartTag>
      </w:smartTag>
      <w:r w:rsidR="00FA7DD4">
        <w:rPr>
          <w:lang w:val="en-US"/>
        </w:rPr>
        <w:t xml:space="preserve">: </w:t>
      </w:r>
      <w:r w:rsidR="00CE6430" w:rsidRPr="002F4BAB">
        <w:rPr>
          <w:lang w:val="en-US"/>
        </w:rPr>
        <w:t xml:space="preserve">1-43. </w:t>
      </w:r>
    </w:p>
    <w:p w:rsidR="00CE6430" w:rsidRPr="00225A0A" w:rsidRDefault="00CE6430" w:rsidP="00AC2417">
      <w:pPr>
        <w:autoSpaceDE w:val="0"/>
        <w:autoSpaceDN w:val="0"/>
        <w:adjustRightInd w:val="0"/>
        <w:spacing w:line="480" w:lineRule="auto"/>
        <w:ind w:left="540" w:hanging="540"/>
        <w:jc w:val="both"/>
        <w:rPr>
          <w:lang w:val="en-US"/>
        </w:rPr>
      </w:pPr>
      <w:r w:rsidRPr="00225A0A">
        <w:rPr>
          <w:lang w:val="en-US"/>
        </w:rPr>
        <w:t>Murashige T</w:t>
      </w:r>
      <w:r w:rsidR="00FA7DD4">
        <w:rPr>
          <w:lang w:val="en-US"/>
        </w:rPr>
        <w:t>.</w:t>
      </w:r>
      <w:r w:rsidR="00840BB2">
        <w:rPr>
          <w:lang w:val="en-US"/>
        </w:rPr>
        <w:t>,</w:t>
      </w:r>
      <w:r w:rsidRPr="00225A0A">
        <w:rPr>
          <w:lang w:val="en-US"/>
        </w:rPr>
        <w:t xml:space="preserve"> Skoog F</w:t>
      </w:r>
      <w:r w:rsidR="00FA7DD4">
        <w:rPr>
          <w:lang w:val="en-US"/>
        </w:rPr>
        <w:t>.</w:t>
      </w:r>
      <w:r w:rsidR="00840BB2">
        <w:rPr>
          <w:lang w:val="en-US"/>
        </w:rPr>
        <w:t xml:space="preserve"> (1962)</w:t>
      </w:r>
      <w:r w:rsidRPr="00225A0A">
        <w:rPr>
          <w:lang w:val="en-US"/>
        </w:rPr>
        <w:t xml:space="preserve"> A revised medium for rapid growth and bioassays with tobacco tissue cultures. Physiol</w:t>
      </w:r>
      <w:r w:rsidR="00FA7DD4">
        <w:rPr>
          <w:lang w:val="en-US"/>
        </w:rPr>
        <w:t>ogia</w:t>
      </w:r>
      <w:r w:rsidRPr="00225A0A">
        <w:rPr>
          <w:lang w:val="en-US"/>
        </w:rPr>
        <w:t xml:space="preserve"> Plant</w:t>
      </w:r>
      <w:r w:rsidR="00FA7DD4">
        <w:rPr>
          <w:lang w:val="en-US"/>
        </w:rPr>
        <w:t>arum,</w:t>
      </w:r>
      <w:r w:rsidRPr="00225A0A">
        <w:rPr>
          <w:lang w:val="en-US"/>
        </w:rPr>
        <w:t xml:space="preserve"> 15: 473–497.</w:t>
      </w:r>
    </w:p>
    <w:p w:rsidR="00FA7DD4" w:rsidRDefault="00FA7DD4" w:rsidP="00AC2417">
      <w:pPr>
        <w:spacing w:line="480" w:lineRule="auto"/>
        <w:ind w:left="540" w:hanging="540"/>
        <w:jc w:val="both"/>
        <w:rPr>
          <w:lang/>
        </w:rPr>
      </w:pPr>
      <w:r>
        <w:rPr>
          <w:lang/>
        </w:rPr>
        <w:t xml:space="preserve">Ozudogru E.A., Ozden-Tokatli Y., Akcin A. (2005). Effect of silver nitrate on multiple shoot formation of vitginia-type peanut through shoot tip culture. In Vitro Cellular and Developmental Biology – Plant, 41: 151-156. </w:t>
      </w:r>
    </w:p>
    <w:p w:rsidR="00CE6430" w:rsidRPr="005006C3" w:rsidRDefault="00CE6430" w:rsidP="00AC2417">
      <w:pPr>
        <w:spacing w:line="480" w:lineRule="auto"/>
        <w:ind w:left="540" w:hanging="540"/>
        <w:jc w:val="both"/>
        <w:rPr>
          <w:iCs/>
          <w:lang w:val="en-GB"/>
        </w:rPr>
      </w:pPr>
      <w:r w:rsidRPr="00840BB2">
        <w:rPr>
          <w:lang/>
        </w:rPr>
        <w:t xml:space="preserve">Ozudogru </w:t>
      </w:r>
      <w:r w:rsidR="00840BB2">
        <w:rPr>
          <w:lang/>
        </w:rPr>
        <w:t>E</w:t>
      </w:r>
      <w:r w:rsidR="00FA7DD4">
        <w:rPr>
          <w:lang/>
        </w:rPr>
        <w:t>.</w:t>
      </w:r>
      <w:r w:rsidR="00840BB2">
        <w:rPr>
          <w:lang/>
        </w:rPr>
        <w:t>A</w:t>
      </w:r>
      <w:r w:rsidR="00FA7DD4">
        <w:rPr>
          <w:lang/>
        </w:rPr>
        <w:t>.</w:t>
      </w:r>
      <w:r w:rsidR="00212621" w:rsidRPr="00840BB2">
        <w:rPr>
          <w:lang/>
        </w:rPr>
        <w:t>, Previ</w:t>
      </w:r>
      <w:r w:rsidR="00840BB2">
        <w:rPr>
          <w:lang/>
        </w:rPr>
        <w:t>ati A</w:t>
      </w:r>
      <w:r w:rsidR="00FA7DD4">
        <w:rPr>
          <w:lang/>
        </w:rPr>
        <w:t>.</w:t>
      </w:r>
      <w:r w:rsidR="00840BB2">
        <w:rPr>
          <w:lang/>
        </w:rPr>
        <w:t>, Lambardi M</w:t>
      </w:r>
      <w:r w:rsidR="00FA7DD4">
        <w:rPr>
          <w:lang/>
        </w:rPr>
        <w:t>.</w:t>
      </w:r>
      <w:r w:rsidR="00212621" w:rsidRPr="00840BB2">
        <w:rPr>
          <w:lang/>
        </w:rPr>
        <w:t xml:space="preserve"> (</w:t>
      </w:r>
      <w:r w:rsidRPr="00840BB2">
        <w:rPr>
          <w:lang/>
        </w:rPr>
        <w:t>2010</w:t>
      </w:r>
      <w:r w:rsidR="00212621" w:rsidRPr="00840BB2">
        <w:rPr>
          <w:lang/>
        </w:rPr>
        <w:t xml:space="preserve">) </w:t>
      </w:r>
      <w:r w:rsidR="00212621" w:rsidRPr="00840BB2">
        <w:rPr>
          <w:i/>
          <w:lang/>
        </w:rPr>
        <w:t>In vitro</w:t>
      </w:r>
      <w:r w:rsidR="00212621" w:rsidRPr="00840BB2">
        <w:rPr>
          <w:lang/>
        </w:rPr>
        <w:t xml:space="preserve"> conservatio</w:t>
      </w:r>
      <w:r w:rsidR="00840BB2">
        <w:rPr>
          <w:lang/>
        </w:rPr>
        <w:t>n and c</w:t>
      </w:r>
      <w:r w:rsidR="00212621" w:rsidRPr="00840BB2">
        <w:rPr>
          <w:lang/>
        </w:rPr>
        <w:t xml:space="preserve">ryopreservation of ornamental plants. </w:t>
      </w:r>
      <w:r w:rsidR="00212621" w:rsidRPr="00FA7DD4">
        <w:rPr>
          <w:i/>
          <w:lang/>
        </w:rPr>
        <w:t>In</w:t>
      </w:r>
      <w:r w:rsidR="00840BB2">
        <w:rPr>
          <w:lang/>
        </w:rPr>
        <w:t>: Jain S</w:t>
      </w:r>
      <w:r w:rsidR="00FA7DD4">
        <w:rPr>
          <w:lang/>
        </w:rPr>
        <w:t>.</w:t>
      </w:r>
      <w:r w:rsidR="00840BB2">
        <w:rPr>
          <w:lang/>
        </w:rPr>
        <w:t>M</w:t>
      </w:r>
      <w:r w:rsidR="00FA7DD4">
        <w:rPr>
          <w:lang/>
        </w:rPr>
        <w:t>.</w:t>
      </w:r>
      <w:r w:rsidR="00840BB2">
        <w:rPr>
          <w:lang/>
        </w:rPr>
        <w:t>, Ochatt J</w:t>
      </w:r>
      <w:r w:rsidR="00FA7DD4">
        <w:rPr>
          <w:lang/>
        </w:rPr>
        <w:t>.</w:t>
      </w:r>
      <w:r w:rsidR="00840BB2">
        <w:rPr>
          <w:lang/>
        </w:rPr>
        <w:t xml:space="preserve"> (Eds</w:t>
      </w:r>
      <w:r w:rsidR="00212621" w:rsidRPr="00840BB2">
        <w:rPr>
          <w:lang/>
        </w:rPr>
        <w:t>)</w:t>
      </w:r>
      <w:r w:rsidR="00FA7DD4">
        <w:rPr>
          <w:lang/>
        </w:rPr>
        <w:t>.</w:t>
      </w:r>
      <w:r w:rsidR="00212621" w:rsidRPr="00840BB2">
        <w:rPr>
          <w:lang/>
        </w:rPr>
        <w:t xml:space="preserve"> Protocols for </w:t>
      </w:r>
      <w:r w:rsidR="00212621" w:rsidRPr="00840BB2">
        <w:rPr>
          <w:i/>
          <w:lang/>
        </w:rPr>
        <w:t>in vitro</w:t>
      </w:r>
      <w:r w:rsidR="00212621" w:rsidRPr="00840BB2">
        <w:rPr>
          <w:lang/>
        </w:rPr>
        <w:t xml:space="preserve"> propagation of ornamental plants. Springer, Berlin</w:t>
      </w:r>
      <w:r w:rsidR="00FA7DD4">
        <w:rPr>
          <w:lang/>
        </w:rPr>
        <w:t>:</w:t>
      </w:r>
      <w:r w:rsidR="00212621" w:rsidRPr="00840BB2">
        <w:rPr>
          <w:lang/>
        </w:rPr>
        <w:t xml:space="preserve"> 303-324. </w:t>
      </w:r>
    </w:p>
    <w:p w:rsidR="00CE6430" w:rsidRDefault="00CE6430" w:rsidP="00AC2417">
      <w:pPr>
        <w:spacing w:line="480" w:lineRule="auto"/>
        <w:ind w:left="540" w:hanging="540"/>
        <w:jc w:val="both"/>
        <w:rPr>
          <w:lang w:val="en-GB"/>
        </w:rPr>
      </w:pPr>
      <w:r w:rsidRPr="005006C3">
        <w:rPr>
          <w:lang w:val="en-GB"/>
        </w:rPr>
        <w:t xml:space="preserve">Ozudogru </w:t>
      </w:r>
      <w:r w:rsidR="00212621">
        <w:rPr>
          <w:lang w:val="en-GB"/>
        </w:rPr>
        <w:t>E</w:t>
      </w:r>
      <w:r w:rsidR="00FA7DD4">
        <w:rPr>
          <w:lang w:val="en-GB"/>
        </w:rPr>
        <w:t>.</w:t>
      </w:r>
      <w:r w:rsidR="00212621">
        <w:rPr>
          <w:lang w:val="en-GB"/>
        </w:rPr>
        <w:t>A</w:t>
      </w:r>
      <w:r w:rsidR="00FA7DD4">
        <w:rPr>
          <w:lang w:val="en-GB"/>
        </w:rPr>
        <w:t>.</w:t>
      </w:r>
      <w:r w:rsidR="00840BB2">
        <w:rPr>
          <w:lang w:val="en-GB"/>
        </w:rPr>
        <w:t>, Kaya E</w:t>
      </w:r>
      <w:r w:rsidR="00FA7DD4">
        <w:rPr>
          <w:lang w:val="en-GB"/>
        </w:rPr>
        <w:t>.</w:t>
      </w:r>
      <w:r w:rsidR="00212621">
        <w:rPr>
          <w:lang w:val="en-GB"/>
        </w:rPr>
        <w:t>,</w:t>
      </w:r>
      <w:r w:rsidR="00840BB2">
        <w:rPr>
          <w:lang w:val="en-GB"/>
        </w:rPr>
        <w:t xml:space="preserve"> Kirdok E</w:t>
      </w:r>
      <w:r w:rsidR="00FA7DD4">
        <w:rPr>
          <w:lang w:val="en-GB"/>
        </w:rPr>
        <w:t>.</w:t>
      </w:r>
      <w:r w:rsidR="00212621">
        <w:rPr>
          <w:lang w:val="en-GB"/>
        </w:rPr>
        <w:t>,</w:t>
      </w:r>
      <w:r w:rsidR="00840BB2">
        <w:rPr>
          <w:lang w:val="en-GB"/>
        </w:rPr>
        <w:t xml:space="preserve"> Issever-Ozturk S</w:t>
      </w:r>
      <w:r w:rsidR="00FA7DD4">
        <w:rPr>
          <w:lang w:val="en-GB"/>
        </w:rPr>
        <w:t>.</w:t>
      </w:r>
      <w:r w:rsidR="00212621">
        <w:rPr>
          <w:lang w:val="en-GB"/>
        </w:rPr>
        <w:t xml:space="preserve"> (</w:t>
      </w:r>
      <w:r w:rsidRPr="005006C3">
        <w:rPr>
          <w:lang w:val="en-GB"/>
        </w:rPr>
        <w:t>2011</w:t>
      </w:r>
      <w:r w:rsidR="00212621">
        <w:rPr>
          <w:lang w:val="en-GB"/>
        </w:rPr>
        <w:t>)</w:t>
      </w:r>
      <w:r w:rsidR="00FA7DD4">
        <w:rPr>
          <w:lang w:val="en-GB"/>
        </w:rPr>
        <w:t>.</w:t>
      </w:r>
      <w:r w:rsidR="00212621">
        <w:rPr>
          <w:lang w:val="en-GB"/>
        </w:rPr>
        <w:t xml:space="preserve"> </w:t>
      </w:r>
      <w:r w:rsidR="00795DEC" w:rsidRPr="00BE7FB2">
        <w:rPr>
          <w:i/>
          <w:lang w:val="en-GB"/>
        </w:rPr>
        <w:t>In vitro</w:t>
      </w:r>
      <w:r w:rsidR="00795DEC">
        <w:rPr>
          <w:lang w:val="en-GB"/>
        </w:rPr>
        <w:t xml:space="preserve"> propagation from </w:t>
      </w:r>
      <w:r w:rsidR="00212621">
        <w:rPr>
          <w:lang w:val="en-GB"/>
        </w:rPr>
        <w:t>young and mature explants of thyme (</w:t>
      </w:r>
      <w:r w:rsidR="00212621" w:rsidRPr="00840BB2">
        <w:rPr>
          <w:i/>
          <w:lang w:val="en-GB"/>
        </w:rPr>
        <w:t>Thymus vulgaris</w:t>
      </w:r>
      <w:r w:rsidR="00212621">
        <w:rPr>
          <w:lang w:val="en-GB"/>
        </w:rPr>
        <w:t xml:space="preserve"> and </w:t>
      </w:r>
      <w:r w:rsidR="00212621" w:rsidRPr="00840BB2">
        <w:rPr>
          <w:i/>
          <w:lang w:val="en-GB"/>
        </w:rPr>
        <w:t>T. longicaulis</w:t>
      </w:r>
      <w:r w:rsidR="00212621">
        <w:rPr>
          <w:lang w:val="en-GB"/>
        </w:rPr>
        <w:t>)</w:t>
      </w:r>
      <w:r w:rsidR="00795DEC">
        <w:rPr>
          <w:lang w:val="en-GB"/>
        </w:rPr>
        <w:t xml:space="preserve"> resulting in genetically stable shoots</w:t>
      </w:r>
      <w:r w:rsidR="00212621">
        <w:rPr>
          <w:lang w:val="en-GB"/>
        </w:rPr>
        <w:t xml:space="preserve">. </w:t>
      </w:r>
      <w:r w:rsidR="00840BB2">
        <w:rPr>
          <w:lang w:val="en-GB"/>
        </w:rPr>
        <w:t>In Vitro Cell</w:t>
      </w:r>
      <w:r w:rsidR="00FA7DD4">
        <w:rPr>
          <w:lang w:val="en-GB"/>
        </w:rPr>
        <w:t>ular and</w:t>
      </w:r>
      <w:r w:rsidR="00840BB2">
        <w:rPr>
          <w:lang w:val="en-GB"/>
        </w:rPr>
        <w:t xml:space="preserve"> Dev</w:t>
      </w:r>
      <w:r w:rsidR="00FA7DD4">
        <w:rPr>
          <w:lang w:val="en-GB"/>
        </w:rPr>
        <w:t>elopmental</w:t>
      </w:r>
      <w:r w:rsidR="00840BB2">
        <w:rPr>
          <w:lang w:val="en-GB"/>
        </w:rPr>
        <w:t xml:space="preserve"> Biol</w:t>
      </w:r>
      <w:r w:rsidR="00FA7DD4">
        <w:rPr>
          <w:lang w:val="en-GB"/>
        </w:rPr>
        <w:t>ogy</w:t>
      </w:r>
      <w:r w:rsidR="00212621">
        <w:rPr>
          <w:lang w:val="en-GB"/>
        </w:rPr>
        <w:t xml:space="preserve"> – Plant</w:t>
      </w:r>
      <w:r w:rsidR="00FA7DD4">
        <w:rPr>
          <w:lang w:val="en-GB"/>
        </w:rPr>
        <w:t>,</w:t>
      </w:r>
      <w:r w:rsidR="00212621">
        <w:rPr>
          <w:lang w:val="en-GB"/>
        </w:rPr>
        <w:t xml:space="preserve"> </w:t>
      </w:r>
      <w:r w:rsidR="00795DEC">
        <w:rPr>
          <w:lang w:val="en-GB"/>
        </w:rPr>
        <w:t>47: 309-320</w:t>
      </w:r>
      <w:r w:rsidR="00212621">
        <w:rPr>
          <w:lang w:val="en-GB"/>
        </w:rPr>
        <w:t xml:space="preserve">. </w:t>
      </w:r>
    </w:p>
    <w:p w:rsidR="00F757CA" w:rsidRDefault="00F757CA" w:rsidP="00FA7DD4">
      <w:pPr>
        <w:spacing w:line="480" w:lineRule="auto"/>
        <w:ind w:left="540" w:hanging="540"/>
        <w:jc w:val="both"/>
        <w:rPr>
          <w:lang w:val="en-GB"/>
        </w:rPr>
      </w:pPr>
      <w:r>
        <w:rPr>
          <w:lang w:val="en-GB"/>
        </w:rPr>
        <w:t>Reed B</w:t>
      </w:r>
      <w:r w:rsidR="00FA7DD4">
        <w:rPr>
          <w:lang w:val="en-GB"/>
        </w:rPr>
        <w:t>.</w:t>
      </w:r>
      <w:r>
        <w:rPr>
          <w:lang w:val="en-GB"/>
        </w:rPr>
        <w:t>M</w:t>
      </w:r>
      <w:r w:rsidR="00FA7DD4">
        <w:rPr>
          <w:lang w:val="en-GB"/>
        </w:rPr>
        <w:t>.</w:t>
      </w:r>
      <w:r>
        <w:rPr>
          <w:lang w:val="en-GB"/>
        </w:rPr>
        <w:t xml:space="preserve"> (1999)</w:t>
      </w:r>
      <w:r w:rsidR="00FA7DD4">
        <w:rPr>
          <w:lang w:val="en-GB"/>
        </w:rPr>
        <w:t>.</w:t>
      </w:r>
      <w:r>
        <w:rPr>
          <w:lang w:val="en-GB"/>
        </w:rPr>
        <w:t xml:space="preserve"> </w:t>
      </w:r>
      <w:r w:rsidRPr="00B27FE6">
        <w:rPr>
          <w:i/>
          <w:lang w:val="en-GB"/>
        </w:rPr>
        <w:t>In vitro</w:t>
      </w:r>
      <w:r>
        <w:rPr>
          <w:lang w:val="en-GB"/>
        </w:rPr>
        <w:t xml:space="preserve"> storage conditions for mint germplasm. HortScience</w:t>
      </w:r>
      <w:r w:rsidR="00FA7DD4">
        <w:rPr>
          <w:lang w:val="en-GB"/>
        </w:rPr>
        <w:t>,</w:t>
      </w:r>
      <w:r>
        <w:rPr>
          <w:lang w:val="en-GB"/>
        </w:rPr>
        <w:t xml:space="preserve"> 34: 350-352.  </w:t>
      </w:r>
    </w:p>
    <w:p w:rsidR="00BE7FB2" w:rsidRPr="00BE7FB2" w:rsidRDefault="00BE7FB2" w:rsidP="00FA7DD4">
      <w:pPr>
        <w:spacing w:line="480" w:lineRule="auto"/>
        <w:ind w:left="540" w:hanging="540"/>
        <w:jc w:val="both"/>
        <w:rPr>
          <w:lang w:val="en-GB"/>
        </w:rPr>
      </w:pPr>
      <w:r w:rsidRPr="00BE7FB2">
        <w:rPr>
          <w:lang w:val="en-GB"/>
        </w:rPr>
        <w:t>Reddy M</w:t>
      </w:r>
      <w:r w:rsidR="00FA7DD4">
        <w:rPr>
          <w:lang w:val="en-GB"/>
        </w:rPr>
        <w:t>.</w:t>
      </w:r>
      <w:r w:rsidRPr="00BE7FB2">
        <w:rPr>
          <w:lang w:val="en-GB"/>
        </w:rPr>
        <w:t>V</w:t>
      </w:r>
      <w:r w:rsidR="00FA7DD4">
        <w:rPr>
          <w:lang w:val="en-GB"/>
        </w:rPr>
        <w:t>.</w:t>
      </w:r>
      <w:r w:rsidRPr="00BE7FB2">
        <w:rPr>
          <w:lang w:val="en-GB"/>
        </w:rPr>
        <w:t>B</w:t>
      </w:r>
      <w:r w:rsidR="00FA7DD4">
        <w:rPr>
          <w:lang w:val="en-GB"/>
        </w:rPr>
        <w:t>.</w:t>
      </w:r>
      <w:r w:rsidRPr="00BE7FB2">
        <w:rPr>
          <w:lang w:val="en-GB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BE7FB2">
            <w:rPr>
              <w:lang w:val="en-GB"/>
            </w:rPr>
            <w:t>Angers</w:t>
          </w:r>
        </w:smartTag>
      </w:smartTag>
      <w:r w:rsidRPr="00BE7FB2">
        <w:rPr>
          <w:lang w:val="en-GB"/>
        </w:rPr>
        <w:t xml:space="preserve"> P</w:t>
      </w:r>
      <w:r w:rsidR="00FA7DD4">
        <w:rPr>
          <w:lang w:val="en-GB"/>
        </w:rPr>
        <w:t>.</w:t>
      </w:r>
      <w:r w:rsidRPr="00BE7FB2">
        <w:rPr>
          <w:lang w:val="en-GB"/>
        </w:rPr>
        <w:t>, Gosselin A</w:t>
      </w:r>
      <w:r w:rsidR="00FA7DD4">
        <w:rPr>
          <w:lang w:val="en-GB"/>
        </w:rPr>
        <w:t>.,</w:t>
      </w:r>
      <w:r w:rsidRPr="00BE7FB2">
        <w:rPr>
          <w:lang w:val="en-GB"/>
        </w:rPr>
        <w:t xml:space="preserve"> Arul J</w:t>
      </w:r>
      <w:r w:rsidR="00FA7DD4">
        <w:rPr>
          <w:lang w:val="en-GB"/>
        </w:rPr>
        <w:t>.</w:t>
      </w:r>
      <w:r w:rsidRPr="00BE7FB2">
        <w:rPr>
          <w:lang w:val="en-GB"/>
        </w:rPr>
        <w:t xml:space="preserve"> (1998)</w:t>
      </w:r>
      <w:r w:rsidR="00CA3B43">
        <w:rPr>
          <w:lang w:val="en-GB"/>
        </w:rPr>
        <w:t xml:space="preserve">. Characterization and use of essential oil from </w:t>
      </w:r>
      <w:r w:rsidR="00CA3B43" w:rsidRPr="00CA3B43">
        <w:rPr>
          <w:i/>
          <w:lang w:val="en-GB"/>
        </w:rPr>
        <w:t>Thymus vulgaris</w:t>
      </w:r>
      <w:r w:rsidR="00CA3B43">
        <w:rPr>
          <w:lang w:val="en-GB"/>
        </w:rPr>
        <w:t xml:space="preserve"> against </w:t>
      </w:r>
      <w:r w:rsidR="00CA3B43" w:rsidRPr="00CA3B43">
        <w:rPr>
          <w:i/>
          <w:lang w:val="en-GB"/>
        </w:rPr>
        <w:t>Botrytis cinerea</w:t>
      </w:r>
      <w:r w:rsidR="00CA3B43">
        <w:rPr>
          <w:lang w:val="en-GB"/>
        </w:rPr>
        <w:t xml:space="preserve"> and </w:t>
      </w:r>
      <w:r w:rsidR="00CA3B43" w:rsidRPr="00CA3B43">
        <w:rPr>
          <w:i/>
          <w:lang w:val="en-GB"/>
        </w:rPr>
        <w:t>Rhizopus stolonifer</w:t>
      </w:r>
      <w:r w:rsidR="00CA3B43">
        <w:rPr>
          <w:lang w:val="en-GB"/>
        </w:rPr>
        <w:t xml:space="preserve"> in strawberry fruits.</w:t>
      </w:r>
      <w:r w:rsidRPr="00BE7FB2">
        <w:rPr>
          <w:lang w:val="en-GB"/>
        </w:rPr>
        <w:t xml:space="preserve"> Phytochemistry</w:t>
      </w:r>
      <w:r w:rsidR="00FA7DD4">
        <w:rPr>
          <w:lang w:val="en-GB"/>
        </w:rPr>
        <w:t>,</w:t>
      </w:r>
      <w:r w:rsidRPr="00BE7FB2">
        <w:rPr>
          <w:lang w:val="en-GB"/>
        </w:rPr>
        <w:t xml:space="preserve"> 47</w:t>
      </w:r>
      <w:r w:rsidR="00FA7DD4">
        <w:rPr>
          <w:lang w:val="en-GB"/>
        </w:rPr>
        <w:t>:</w:t>
      </w:r>
      <w:r w:rsidRPr="00BE7FB2">
        <w:rPr>
          <w:lang w:val="en-GB"/>
        </w:rPr>
        <w:t xml:space="preserve"> 1515-1520. </w:t>
      </w:r>
    </w:p>
    <w:p w:rsidR="00CE6430" w:rsidRPr="00225A0A" w:rsidRDefault="00CE6430" w:rsidP="00FA7DD4">
      <w:pPr>
        <w:spacing w:line="480" w:lineRule="auto"/>
        <w:ind w:left="540" w:hanging="540"/>
        <w:jc w:val="both"/>
        <w:rPr>
          <w:lang w:val="en-US"/>
        </w:rPr>
      </w:pPr>
      <w:r w:rsidRPr="00225A0A">
        <w:rPr>
          <w:lang w:val="en-GB"/>
        </w:rPr>
        <w:t>Rey C</w:t>
      </w:r>
      <w:r w:rsidR="00FA7DD4">
        <w:rPr>
          <w:lang w:val="en-GB"/>
        </w:rPr>
        <w:t>.</w:t>
      </w:r>
      <w:r w:rsidR="00840BB2">
        <w:rPr>
          <w:lang w:val="en-GB"/>
        </w:rPr>
        <w:t>,</w:t>
      </w:r>
      <w:r w:rsidRPr="00225A0A">
        <w:rPr>
          <w:lang w:val="en-GB"/>
        </w:rPr>
        <w:t xml:space="preserve"> Sáez F</w:t>
      </w:r>
      <w:r w:rsidR="00FA7DD4">
        <w:rPr>
          <w:lang w:val="en-GB"/>
        </w:rPr>
        <w:t>.</w:t>
      </w:r>
      <w:r w:rsidR="00840BB2">
        <w:rPr>
          <w:lang w:val="en-GB"/>
        </w:rPr>
        <w:t xml:space="preserve"> (2002)</w:t>
      </w:r>
      <w:r w:rsidR="00FA7DD4">
        <w:rPr>
          <w:lang w:val="en-GB"/>
        </w:rPr>
        <w:t>.</w:t>
      </w:r>
      <w:r w:rsidRPr="00225A0A">
        <w:rPr>
          <w:lang w:val="en-GB"/>
        </w:rPr>
        <w:t xml:space="preserve"> Field culture, </w:t>
      </w:r>
      <w:r w:rsidRPr="00225A0A">
        <w:rPr>
          <w:i/>
          <w:iCs/>
          <w:lang w:val="en-GB"/>
        </w:rPr>
        <w:t>in vitro</w:t>
      </w:r>
      <w:r w:rsidRPr="00225A0A">
        <w:rPr>
          <w:lang w:val="en-GB"/>
        </w:rPr>
        <w:t xml:space="preserve"> culture and selection of </w:t>
      </w:r>
      <w:r w:rsidRPr="00225A0A">
        <w:rPr>
          <w:i/>
          <w:iCs/>
          <w:lang w:val="en-GB"/>
        </w:rPr>
        <w:t>Thymus</w:t>
      </w:r>
      <w:r w:rsidRPr="00225A0A">
        <w:rPr>
          <w:lang w:val="en-GB"/>
        </w:rPr>
        <w:t xml:space="preserve">. </w:t>
      </w:r>
      <w:r w:rsidRPr="00FA7DD4">
        <w:rPr>
          <w:i/>
          <w:lang w:val="en-GB"/>
        </w:rPr>
        <w:t>In</w:t>
      </w:r>
      <w:r w:rsidRPr="00225A0A">
        <w:rPr>
          <w:lang w:val="en-GB"/>
        </w:rPr>
        <w:t>: Stahl-Biskup E</w:t>
      </w:r>
      <w:r w:rsidR="00FA7DD4">
        <w:rPr>
          <w:lang w:val="en-GB"/>
        </w:rPr>
        <w:t>.</w:t>
      </w:r>
      <w:r w:rsidRPr="00225A0A">
        <w:rPr>
          <w:lang w:val="en-GB"/>
        </w:rPr>
        <w:t xml:space="preserve">, </w:t>
      </w:r>
      <w:r w:rsidRPr="00225A0A">
        <w:rPr>
          <w:lang w:val="en-US"/>
        </w:rPr>
        <w:t>Sáez F</w:t>
      </w:r>
      <w:r w:rsidR="00FA7DD4">
        <w:rPr>
          <w:lang w:val="en-US"/>
        </w:rPr>
        <w:t>.</w:t>
      </w:r>
      <w:r w:rsidRPr="00225A0A">
        <w:rPr>
          <w:lang w:val="en-US"/>
        </w:rPr>
        <w:t xml:space="preserve"> (Eds)</w:t>
      </w:r>
      <w:r w:rsidR="00FA7DD4">
        <w:rPr>
          <w:lang w:val="en-US"/>
        </w:rPr>
        <w:t>.</w:t>
      </w:r>
      <w:r w:rsidRPr="00225A0A">
        <w:rPr>
          <w:lang w:val="en-US"/>
        </w:rPr>
        <w:t xml:space="preserve"> Thyme, The genus </w:t>
      </w:r>
      <w:r w:rsidRPr="00840BB2">
        <w:rPr>
          <w:i/>
          <w:lang w:val="en-US"/>
        </w:rPr>
        <w:t>Thymus</w:t>
      </w:r>
      <w:r w:rsidRPr="00225A0A">
        <w:rPr>
          <w:lang w:val="en-US"/>
        </w:rPr>
        <w:t xml:space="preserve">. </w:t>
      </w:r>
      <w:smartTag w:uri="urn:schemas-microsoft-com:office:smarttags" w:element="City">
        <w:smartTag w:uri="urn:schemas-microsoft-com:office:smarttags" w:element="place">
          <w:r w:rsidRPr="00225A0A">
            <w:rPr>
              <w:lang w:val="en-US"/>
            </w:rPr>
            <w:t>Taylor</w:t>
          </w:r>
        </w:smartTag>
      </w:smartTag>
      <w:r w:rsidRPr="00225A0A">
        <w:rPr>
          <w:lang w:val="en-US"/>
        </w:rPr>
        <w:t xml:space="preserve"> and Francis, </w:t>
      </w:r>
      <w:smartTag w:uri="urn:schemas-microsoft-com:office:smarttags" w:element="place">
        <w:smartTag w:uri="urn:schemas-microsoft-com:office:smarttags" w:element="City">
          <w:r w:rsidRPr="00225A0A">
            <w:rPr>
              <w:lang w:val="en-US"/>
            </w:rPr>
            <w:t>London</w:t>
          </w:r>
        </w:smartTag>
        <w:r w:rsidRPr="00225A0A">
          <w:rPr>
            <w:lang w:val="en-US"/>
          </w:rPr>
          <w:t xml:space="preserve">, </w:t>
        </w:r>
        <w:smartTag w:uri="urn:schemas-microsoft-com:office:smarttags" w:element="State">
          <w:r w:rsidRPr="00225A0A">
            <w:rPr>
              <w:lang w:val="en-US"/>
            </w:rPr>
            <w:t>New York</w:t>
          </w:r>
        </w:smartTag>
      </w:smartTag>
      <w:r w:rsidR="00FA7DD4">
        <w:rPr>
          <w:lang w:val="en-US"/>
        </w:rPr>
        <w:t>:</w:t>
      </w:r>
      <w:r w:rsidRPr="00225A0A">
        <w:rPr>
          <w:lang w:val="en-US"/>
        </w:rPr>
        <w:t xml:space="preserve"> 177-196.</w:t>
      </w:r>
    </w:p>
    <w:p w:rsidR="00FD6AA0" w:rsidRPr="00FD6AA0" w:rsidRDefault="00FD6AA0" w:rsidP="00AC2417">
      <w:pPr>
        <w:spacing w:line="480" w:lineRule="auto"/>
        <w:jc w:val="both"/>
        <w:rPr>
          <w:b/>
          <w:lang w:val="fr-FR"/>
        </w:rPr>
      </w:pPr>
    </w:p>
    <w:p w:rsidR="00FD6AA0" w:rsidRPr="00FD6AA0" w:rsidRDefault="00FD6AA0" w:rsidP="00AC2417">
      <w:pPr>
        <w:spacing w:line="480" w:lineRule="auto"/>
        <w:jc w:val="both"/>
        <w:rPr>
          <w:b/>
          <w:lang w:val="fr-FR"/>
        </w:rPr>
      </w:pPr>
    </w:p>
    <w:p w:rsidR="00FD6AA0" w:rsidRPr="00FD6AA0" w:rsidRDefault="00FD6AA0" w:rsidP="00AC2417">
      <w:pPr>
        <w:spacing w:line="480" w:lineRule="auto"/>
        <w:jc w:val="both"/>
        <w:rPr>
          <w:b/>
          <w:lang w:val="fr-FR"/>
        </w:rPr>
      </w:pPr>
    </w:p>
    <w:p w:rsidR="004B2135" w:rsidRDefault="003A1B0D" w:rsidP="00AC2417">
      <w:pPr>
        <w:spacing w:line="480" w:lineRule="auto"/>
        <w:jc w:val="both"/>
        <w:rPr>
          <w:b/>
          <w:lang w:val="en-GB"/>
        </w:rPr>
      </w:pPr>
      <w:r>
        <w:rPr>
          <w:b/>
          <w:lang w:val="en-GB"/>
        </w:rPr>
        <w:lastRenderedPageBreak/>
        <w:t>TABLES</w:t>
      </w:r>
    </w:p>
    <w:p w:rsidR="004B2135" w:rsidRDefault="004B2135" w:rsidP="00AC2417">
      <w:pPr>
        <w:spacing w:line="480" w:lineRule="auto"/>
        <w:jc w:val="both"/>
        <w:rPr>
          <w:b/>
          <w:lang w:val="en-GB"/>
        </w:rPr>
      </w:pPr>
    </w:p>
    <w:p w:rsidR="004B2135" w:rsidRDefault="004B2135" w:rsidP="00AC2417">
      <w:pPr>
        <w:spacing w:line="480" w:lineRule="auto"/>
        <w:jc w:val="both"/>
        <w:rPr>
          <w:lang w:val="en-GB"/>
        </w:rPr>
      </w:pPr>
      <w:r w:rsidRPr="003A1B0D">
        <w:rPr>
          <w:b/>
          <w:bCs/>
          <w:lang w:val="en-GB"/>
        </w:rPr>
        <w:t>Table 1.</w:t>
      </w:r>
      <w:r w:rsidRPr="00045DE8">
        <w:rPr>
          <w:lang w:val="en-GB"/>
        </w:rPr>
        <w:t xml:space="preserve"> </w:t>
      </w:r>
      <w:r w:rsidR="00FB00EF">
        <w:rPr>
          <w:lang w:val="en-GB"/>
        </w:rPr>
        <w:t xml:space="preserve">Survival </w:t>
      </w:r>
      <w:r>
        <w:rPr>
          <w:lang w:val="en-GB"/>
        </w:rPr>
        <w:t xml:space="preserve">of </w:t>
      </w:r>
      <w:r>
        <w:rPr>
          <w:i/>
          <w:iCs/>
          <w:lang w:val="en-GB"/>
        </w:rPr>
        <w:t>Thymus vulgaris</w:t>
      </w:r>
      <w:r w:rsidRPr="00045DE8">
        <w:rPr>
          <w:lang w:val="en-GB"/>
        </w:rPr>
        <w:t xml:space="preserve"> </w:t>
      </w:r>
      <w:r w:rsidR="00FB00EF" w:rsidRPr="00FB00EF">
        <w:rPr>
          <w:i/>
          <w:lang w:val="en-GB"/>
        </w:rPr>
        <w:t>in vitro</w:t>
      </w:r>
      <w:r w:rsidR="00FB00EF">
        <w:rPr>
          <w:lang w:val="en-GB"/>
        </w:rPr>
        <w:t xml:space="preserve"> shoot cultures </w:t>
      </w:r>
      <w:r>
        <w:rPr>
          <w:lang w:val="en-GB"/>
        </w:rPr>
        <w:t xml:space="preserve">in response to slow growth storage at 4°C in darkness. </w:t>
      </w:r>
    </w:p>
    <w:tbl>
      <w:tblPr>
        <w:tblW w:w="0" w:type="auto"/>
        <w:jc w:val="center"/>
        <w:tblLook w:val="01E0"/>
      </w:tblPr>
      <w:tblGrid>
        <w:gridCol w:w="1559"/>
        <w:gridCol w:w="1800"/>
        <w:gridCol w:w="1440"/>
        <w:gridCol w:w="1436"/>
        <w:gridCol w:w="1346"/>
      </w:tblGrid>
      <w:tr w:rsidR="00E73561" w:rsidRPr="00865ACC">
        <w:trPr>
          <w:jc w:val="center"/>
        </w:trPr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E73561" w:rsidRPr="00865ACC" w:rsidRDefault="00E73561" w:rsidP="00865ACC">
            <w:pPr>
              <w:spacing w:before="120"/>
              <w:jc w:val="center"/>
              <w:rPr>
                <w:b/>
                <w:bCs/>
              </w:rPr>
            </w:pPr>
            <w:r w:rsidRPr="00865ACC">
              <w:rPr>
                <w:b/>
                <w:bCs/>
              </w:rPr>
              <w:t>Storage time</w:t>
            </w:r>
          </w:p>
          <w:p w:rsidR="00E73561" w:rsidRPr="00865ACC" w:rsidRDefault="00E73561" w:rsidP="00865ACC">
            <w:pPr>
              <w:jc w:val="center"/>
              <w:rPr>
                <w:b/>
                <w:bCs/>
              </w:rPr>
            </w:pPr>
            <w:r w:rsidRPr="00865ACC">
              <w:rPr>
                <w:b/>
                <w:bCs/>
              </w:rPr>
              <w:t>(months)</w:t>
            </w:r>
          </w:p>
          <w:p w:rsidR="00E73561" w:rsidRPr="00865ACC" w:rsidRDefault="00E73561" w:rsidP="00865ACC">
            <w:pPr>
              <w:spacing w:before="120"/>
              <w:jc w:val="center"/>
              <w:rPr>
                <w:b/>
                <w:bCs/>
                <w:sz w:val="8"/>
                <w:szCs w:val="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E73561" w:rsidRPr="00865ACC" w:rsidRDefault="00A93348" w:rsidP="00865ACC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Healthy shoot clusters</w:t>
            </w:r>
            <w:r w:rsidR="00E73561" w:rsidRPr="00865ACC">
              <w:rPr>
                <w:b/>
                <w:bCs/>
                <w:vertAlign w:val="superscript"/>
              </w:rPr>
              <w:t>1</w:t>
            </w:r>
            <w:r w:rsidR="00E73561" w:rsidRPr="00865ACC">
              <w:rPr>
                <w:b/>
                <w:bCs/>
              </w:rPr>
              <w:t xml:space="preserve"> </w:t>
            </w:r>
          </w:p>
          <w:p w:rsidR="00E73561" w:rsidRPr="00865ACC" w:rsidRDefault="00E73561" w:rsidP="00865ACC">
            <w:pPr>
              <w:jc w:val="center"/>
              <w:rPr>
                <w:b/>
                <w:bCs/>
              </w:rPr>
            </w:pPr>
            <w:r w:rsidRPr="00865ACC">
              <w:rPr>
                <w:b/>
                <w:bCs/>
              </w:rPr>
              <w:t>(%)</w:t>
            </w:r>
            <w:r w:rsidR="00983E11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E73561" w:rsidRPr="00865ACC" w:rsidRDefault="00E73561" w:rsidP="00865ACC">
            <w:pPr>
              <w:spacing w:before="120"/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 xml:space="preserve">Tissue </w:t>
            </w:r>
          </w:p>
          <w:p w:rsidR="00E73561" w:rsidRPr="00865ACC" w:rsidRDefault="009F3409" w:rsidP="00865ACC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b</w:t>
            </w:r>
            <w:r w:rsidR="00E73561" w:rsidRPr="00865ACC">
              <w:rPr>
                <w:b/>
                <w:lang w:val="en-GB"/>
              </w:rPr>
              <w:t>rowning</w:t>
            </w:r>
            <w:r w:rsidR="00A93348">
              <w:rPr>
                <w:b/>
                <w:vertAlign w:val="superscript"/>
                <w:lang w:val="en-GB"/>
              </w:rPr>
              <w:t>3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4" w:space="0" w:color="auto"/>
            </w:tcBorders>
          </w:tcPr>
          <w:p w:rsidR="00E73561" w:rsidRPr="00865ACC" w:rsidRDefault="00E73561" w:rsidP="00865ACC">
            <w:pPr>
              <w:spacing w:before="120"/>
              <w:jc w:val="center"/>
              <w:rPr>
                <w:b/>
                <w:sz w:val="6"/>
                <w:szCs w:val="6"/>
                <w:lang w:val="en-GB"/>
              </w:rPr>
            </w:pPr>
            <w:r w:rsidRPr="00865ACC">
              <w:rPr>
                <w:b/>
                <w:lang w:val="en-GB"/>
              </w:rPr>
              <w:t>Medium browning</w:t>
            </w:r>
            <w:r w:rsidR="00A93348">
              <w:rPr>
                <w:b/>
                <w:vertAlign w:val="superscript"/>
                <w:lang w:val="en-GB"/>
              </w:rPr>
              <w:t>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:rsidR="00E73561" w:rsidRPr="00865ACC" w:rsidRDefault="00E73561" w:rsidP="00865ACC">
            <w:pPr>
              <w:spacing w:before="120"/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Etiolation</w:t>
            </w:r>
            <w:r w:rsidR="00A93348">
              <w:rPr>
                <w:b/>
                <w:vertAlign w:val="superscript"/>
                <w:lang w:val="en-GB"/>
              </w:rPr>
              <w:t>3</w:t>
            </w:r>
          </w:p>
        </w:tc>
      </w:tr>
      <w:tr w:rsidR="00E73561" w:rsidRPr="00865ACC">
        <w:trPr>
          <w:jc w:val="center"/>
        </w:trPr>
        <w:tc>
          <w:tcPr>
            <w:tcW w:w="1559" w:type="dxa"/>
            <w:tcBorders>
              <w:top w:val="single" w:sz="4" w:space="0" w:color="auto"/>
            </w:tcBorders>
          </w:tcPr>
          <w:p w:rsidR="00E73561" w:rsidRDefault="00E73561" w:rsidP="00E73561">
            <w:r>
              <w:t xml:space="preserve">1 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E73561" w:rsidRDefault="00E73561" w:rsidP="00865ACC">
            <w:pPr>
              <w:jc w:val="center"/>
            </w:pPr>
            <w:r>
              <w:t>100 a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-</w:t>
            </w:r>
          </w:p>
        </w:tc>
        <w:tc>
          <w:tcPr>
            <w:tcW w:w="1436" w:type="dxa"/>
            <w:tcBorders>
              <w:top w:val="single" w:sz="4" w:space="0" w:color="auto"/>
            </w:tcBorders>
          </w:tcPr>
          <w:p w:rsidR="00E73561" w:rsidRPr="00865ACC" w:rsidRDefault="009E797E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-</w:t>
            </w:r>
          </w:p>
        </w:tc>
        <w:tc>
          <w:tcPr>
            <w:tcW w:w="1346" w:type="dxa"/>
            <w:tcBorders>
              <w:top w:val="single" w:sz="4" w:space="0" w:color="auto"/>
            </w:tcBorders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-</w:t>
            </w:r>
          </w:p>
        </w:tc>
      </w:tr>
      <w:tr w:rsidR="00E73561" w:rsidRPr="00865ACC">
        <w:trPr>
          <w:jc w:val="center"/>
        </w:trPr>
        <w:tc>
          <w:tcPr>
            <w:tcW w:w="1559" w:type="dxa"/>
          </w:tcPr>
          <w:p w:rsidR="00E73561" w:rsidRPr="00865ACC" w:rsidRDefault="00E73561" w:rsidP="00E73561">
            <w:pPr>
              <w:rPr>
                <w:lang w:val="pt-BR"/>
              </w:rPr>
            </w:pPr>
            <w:r w:rsidRPr="00865ACC">
              <w:rPr>
                <w:lang w:val="pt-BR"/>
              </w:rPr>
              <w:t xml:space="preserve">2 </w:t>
            </w:r>
          </w:p>
        </w:tc>
        <w:tc>
          <w:tcPr>
            <w:tcW w:w="1800" w:type="dxa"/>
          </w:tcPr>
          <w:p w:rsidR="00E73561" w:rsidRPr="00865ACC" w:rsidRDefault="00E73561" w:rsidP="00865ACC">
            <w:pPr>
              <w:jc w:val="center"/>
              <w:rPr>
                <w:lang w:val="pt-BR"/>
              </w:rPr>
            </w:pPr>
            <w:r w:rsidRPr="00865ACC">
              <w:rPr>
                <w:lang w:val="pt-BR"/>
              </w:rPr>
              <w:t>100 a</w:t>
            </w:r>
          </w:p>
        </w:tc>
        <w:tc>
          <w:tcPr>
            <w:tcW w:w="1440" w:type="dxa"/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-</w:t>
            </w:r>
          </w:p>
        </w:tc>
        <w:tc>
          <w:tcPr>
            <w:tcW w:w="1436" w:type="dxa"/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+</w:t>
            </w:r>
          </w:p>
        </w:tc>
        <w:tc>
          <w:tcPr>
            <w:tcW w:w="1346" w:type="dxa"/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+</w:t>
            </w:r>
          </w:p>
        </w:tc>
      </w:tr>
      <w:tr w:rsidR="00E73561" w:rsidRPr="00865ACC">
        <w:trPr>
          <w:jc w:val="center"/>
        </w:trPr>
        <w:tc>
          <w:tcPr>
            <w:tcW w:w="1559" w:type="dxa"/>
          </w:tcPr>
          <w:p w:rsidR="00E73561" w:rsidRPr="00865ACC" w:rsidRDefault="00E73561" w:rsidP="00E73561">
            <w:pPr>
              <w:rPr>
                <w:lang w:val="pt-BR"/>
              </w:rPr>
            </w:pPr>
            <w:r w:rsidRPr="00865ACC">
              <w:rPr>
                <w:lang w:val="pt-BR"/>
              </w:rPr>
              <w:t xml:space="preserve">3 </w:t>
            </w:r>
          </w:p>
        </w:tc>
        <w:tc>
          <w:tcPr>
            <w:tcW w:w="1800" w:type="dxa"/>
          </w:tcPr>
          <w:p w:rsidR="00E73561" w:rsidRPr="00865ACC" w:rsidRDefault="00E73561" w:rsidP="00865ACC">
            <w:pPr>
              <w:jc w:val="center"/>
              <w:rPr>
                <w:lang w:val="pt-BR"/>
              </w:rPr>
            </w:pPr>
            <w:r w:rsidRPr="00865ACC">
              <w:rPr>
                <w:lang w:val="pt-BR"/>
              </w:rPr>
              <w:t>100 a</w:t>
            </w:r>
          </w:p>
        </w:tc>
        <w:tc>
          <w:tcPr>
            <w:tcW w:w="1440" w:type="dxa"/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-</w:t>
            </w:r>
          </w:p>
        </w:tc>
        <w:tc>
          <w:tcPr>
            <w:tcW w:w="1436" w:type="dxa"/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+</w:t>
            </w:r>
          </w:p>
        </w:tc>
        <w:tc>
          <w:tcPr>
            <w:tcW w:w="1346" w:type="dxa"/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+</w:t>
            </w:r>
          </w:p>
        </w:tc>
      </w:tr>
      <w:tr w:rsidR="00E73561" w:rsidRPr="00865ACC">
        <w:trPr>
          <w:jc w:val="center"/>
        </w:trPr>
        <w:tc>
          <w:tcPr>
            <w:tcW w:w="1559" w:type="dxa"/>
          </w:tcPr>
          <w:p w:rsidR="00E73561" w:rsidRPr="00865ACC" w:rsidRDefault="00E73561" w:rsidP="00E73561">
            <w:pPr>
              <w:rPr>
                <w:lang w:val="pt-BR"/>
              </w:rPr>
            </w:pPr>
            <w:r w:rsidRPr="00865ACC">
              <w:rPr>
                <w:lang w:val="pt-BR"/>
              </w:rPr>
              <w:t xml:space="preserve">4 </w:t>
            </w:r>
          </w:p>
        </w:tc>
        <w:tc>
          <w:tcPr>
            <w:tcW w:w="1800" w:type="dxa"/>
          </w:tcPr>
          <w:p w:rsidR="00E73561" w:rsidRPr="00865ACC" w:rsidRDefault="00E73561" w:rsidP="00865ACC">
            <w:pPr>
              <w:jc w:val="center"/>
              <w:rPr>
                <w:lang w:val="pt-BR"/>
              </w:rPr>
            </w:pPr>
            <w:r w:rsidRPr="00865ACC">
              <w:rPr>
                <w:lang w:val="pt-BR"/>
              </w:rPr>
              <w:t>100 a</w:t>
            </w:r>
          </w:p>
        </w:tc>
        <w:tc>
          <w:tcPr>
            <w:tcW w:w="1440" w:type="dxa"/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-</w:t>
            </w:r>
          </w:p>
        </w:tc>
        <w:tc>
          <w:tcPr>
            <w:tcW w:w="1436" w:type="dxa"/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+</w:t>
            </w:r>
          </w:p>
        </w:tc>
        <w:tc>
          <w:tcPr>
            <w:tcW w:w="1346" w:type="dxa"/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+</w:t>
            </w:r>
          </w:p>
        </w:tc>
      </w:tr>
      <w:tr w:rsidR="00E73561" w:rsidRPr="00865ACC">
        <w:trPr>
          <w:jc w:val="center"/>
        </w:trPr>
        <w:tc>
          <w:tcPr>
            <w:tcW w:w="1559" w:type="dxa"/>
          </w:tcPr>
          <w:p w:rsidR="00E73561" w:rsidRPr="00865ACC" w:rsidRDefault="00E73561" w:rsidP="00E73561">
            <w:pPr>
              <w:rPr>
                <w:lang w:val="pt-BR"/>
              </w:rPr>
            </w:pPr>
            <w:r w:rsidRPr="00865ACC">
              <w:rPr>
                <w:lang w:val="pt-BR"/>
              </w:rPr>
              <w:t xml:space="preserve">5 </w:t>
            </w:r>
          </w:p>
        </w:tc>
        <w:tc>
          <w:tcPr>
            <w:tcW w:w="1800" w:type="dxa"/>
          </w:tcPr>
          <w:p w:rsidR="00E73561" w:rsidRPr="00865ACC" w:rsidRDefault="00E73561" w:rsidP="00865ACC">
            <w:pPr>
              <w:jc w:val="center"/>
              <w:rPr>
                <w:lang w:val="pt-BR"/>
              </w:rPr>
            </w:pPr>
            <w:r w:rsidRPr="00865ACC">
              <w:rPr>
                <w:lang w:val="pt-BR"/>
              </w:rPr>
              <w:t>100 a</w:t>
            </w:r>
          </w:p>
        </w:tc>
        <w:tc>
          <w:tcPr>
            <w:tcW w:w="1440" w:type="dxa"/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-</w:t>
            </w:r>
          </w:p>
        </w:tc>
        <w:tc>
          <w:tcPr>
            <w:tcW w:w="1436" w:type="dxa"/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++</w:t>
            </w:r>
          </w:p>
        </w:tc>
        <w:tc>
          <w:tcPr>
            <w:tcW w:w="1346" w:type="dxa"/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+</w:t>
            </w:r>
          </w:p>
        </w:tc>
      </w:tr>
      <w:tr w:rsidR="00E73561" w:rsidRPr="00865ACC">
        <w:trPr>
          <w:jc w:val="center"/>
        </w:trPr>
        <w:tc>
          <w:tcPr>
            <w:tcW w:w="1559" w:type="dxa"/>
          </w:tcPr>
          <w:p w:rsidR="00E73561" w:rsidRPr="00865ACC" w:rsidRDefault="00E73561" w:rsidP="00E73561">
            <w:pPr>
              <w:rPr>
                <w:lang w:val="pt-BR"/>
              </w:rPr>
            </w:pPr>
            <w:r w:rsidRPr="00865ACC">
              <w:rPr>
                <w:lang w:val="pt-BR"/>
              </w:rPr>
              <w:t xml:space="preserve">6 </w:t>
            </w:r>
          </w:p>
        </w:tc>
        <w:tc>
          <w:tcPr>
            <w:tcW w:w="1800" w:type="dxa"/>
          </w:tcPr>
          <w:p w:rsidR="00E73561" w:rsidRPr="00865ACC" w:rsidRDefault="00E73561" w:rsidP="00865ACC">
            <w:pPr>
              <w:jc w:val="center"/>
              <w:rPr>
                <w:lang w:val="pt-BR"/>
              </w:rPr>
            </w:pPr>
            <w:r w:rsidRPr="00865ACC">
              <w:rPr>
                <w:lang w:val="pt-BR"/>
              </w:rPr>
              <w:t xml:space="preserve">  95 a</w:t>
            </w:r>
          </w:p>
        </w:tc>
        <w:tc>
          <w:tcPr>
            <w:tcW w:w="1440" w:type="dxa"/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-</w:t>
            </w:r>
          </w:p>
        </w:tc>
        <w:tc>
          <w:tcPr>
            <w:tcW w:w="1436" w:type="dxa"/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++</w:t>
            </w:r>
          </w:p>
        </w:tc>
        <w:tc>
          <w:tcPr>
            <w:tcW w:w="1346" w:type="dxa"/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++</w:t>
            </w:r>
          </w:p>
        </w:tc>
      </w:tr>
      <w:tr w:rsidR="00E73561" w:rsidRPr="00865ACC">
        <w:trPr>
          <w:jc w:val="center"/>
        </w:trPr>
        <w:tc>
          <w:tcPr>
            <w:tcW w:w="1559" w:type="dxa"/>
          </w:tcPr>
          <w:p w:rsidR="00E73561" w:rsidRPr="00865ACC" w:rsidRDefault="00E73561" w:rsidP="00E73561">
            <w:pPr>
              <w:rPr>
                <w:lang w:val="pt-BR"/>
              </w:rPr>
            </w:pPr>
            <w:r w:rsidRPr="00865ACC">
              <w:rPr>
                <w:lang w:val="pt-BR"/>
              </w:rPr>
              <w:t xml:space="preserve">7 </w:t>
            </w:r>
          </w:p>
        </w:tc>
        <w:tc>
          <w:tcPr>
            <w:tcW w:w="1800" w:type="dxa"/>
          </w:tcPr>
          <w:p w:rsidR="00E73561" w:rsidRPr="00865ACC" w:rsidRDefault="00E73561" w:rsidP="00865ACC">
            <w:pPr>
              <w:jc w:val="center"/>
              <w:rPr>
                <w:lang w:val="pt-BR"/>
              </w:rPr>
            </w:pPr>
            <w:r w:rsidRPr="00865ACC">
              <w:rPr>
                <w:lang w:val="pt-BR"/>
              </w:rPr>
              <w:t xml:space="preserve">  84 a</w:t>
            </w:r>
          </w:p>
        </w:tc>
        <w:tc>
          <w:tcPr>
            <w:tcW w:w="1440" w:type="dxa"/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-</w:t>
            </w:r>
          </w:p>
        </w:tc>
        <w:tc>
          <w:tcPr>
            <w:tcW w:w="1436" w:type="dxa"/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++</w:t>
            </w:r>
          </w:p>
        </w:tc>
        <w:tc>
          <w:tcPr>
            <w:tcW w:w="1346" w:type="dxa"/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++</w:t>
            </w:r>
          </w:p>
        </w:tc>
      </w:tr>
      <w:tr w:rsidR="00E73561" w:rsidRPr="00865ACC">
        <w:trPr>
          <w:jc w:val="center"/>
        </w:trPr>
        <w:tc>
          <w:tcPr>
            <w:tcW w:w="1559" w:type="dxa"/>
          </w:tcPr>
          <w:p w:rsidR="00E73561" w:rsidRPr="00865ACC" w:rsidRDefault="00E73561" w:rsidP="00E73561">
            <w:pPr>
              <w:rPr>
                <w:lang w:val="pt-BR"/>
              </w:rPr>
            </w:pPr>
            <w:r w:rsidRPr="00865ACC">
              <w:rPr>
                <w:lang w:val="pt-BR"/>
              </w:rPr>
              <w:t xml:space="preserve">8 </w:t>
            </w:r>
          </w:p>
        </w:tc>
        <w:tc>
          <w:tcPr>
            <w:tcW w:w="1800" w:type="dxa"/>
          </w:tcPr>
          <w:p w:rsidR="00E73561" w:rsidRPr="00865ACC" w:rsidRDefault="00E73561" w:rsidP="00865ACC">
            <w:pPr>
              <w:jc w:val="center"/>
              <w:rPr>
                <w:lang w:val="pt-BR"/>
              </w:rPr>
            </w:pPr>
            <w:r w:rsidRPr="00865ACC">
              <w:rPr>
                <w:lang w:val="pt-BR"/>
              </w:rPr>
              <w:t xml:space="preserve">   74 ab</w:t>
            </w:r>
          </w:p>
        </w:tc>
        <w:tc>
          <w:tcPr>
            <w:tcW w:w="1440" w:type="dxa"/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-</w:t>
            </w:r>
          </w:p>
        </w:tc>
        <w:tc>
          <w:tcPr>
            <w:tcW w:w="1436" w:type="dxa"/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++</w:t>
            </w:r>
          </w:p>
        </w:tc>
        <w:tc>
          <w:tcPr>
            <w:tcW w:w="1346" w:type="dxa"/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++</w:t>
            </w:r>
          </w:p>
        </w:tc>
      </w:tr>
      <w:tr w:rsidR="00E73561" w:rsidRPr="00865ACC">
        <w:trPr>
          <w:jc w:val="center"/>
        </w:trPr>
        <w:tc>
          <w:tcPr>
            <w:tcW w:w="1559" w:type="dxa"/>
          </w:tcPr>
          <w:p w:rsidR="00E73561" w:rsidRPr="00865ACC" w:rsidRDefault="00E73561" w:rsidP="00E73561">
            <w:pPr>
              <w:rPr>
                <w:lang w:val="pt-BR"/>
              </w:rPr>
            </w:pPr>
            <w:r w:rsidRPr="00865ACC">
              <w:rPr>
                <w:lang w:val="pt-BR"/>
              </w:rPr>
              <w:t xml:space="preserve">9 </w:t>
            </w:r>
          </w:p>
        </w:tc>
        <w:tc>
          <w:tcPr>
            <w:tcW w:w="1800" w:type="dxa"/>
          </w:tcPr>
          <w:p w:rsidR="00E73561" w:rsidRPr="00865ACC" w:rsidRDefault="00E73561" w:rsidP="00865ACC">
            <w:pPr>
              <w:jc w:val="center"/>
              <w:rPr>
                <w:lang w:val="pt-BR"/>
              </w:rPr>
            </w:pPr>
            <w:r w:rsidRPr="00865ACC">
              <w:rPr>
                <w:lang w:val="pt-BR"/>
              </w:rPr>
              <w:t xml:space="preserve">  63 b</w:t>
            </w:r>
          </w:p>
        </w:tc>
        <w:tc>
          <w:tcPr>
            <w:tcW w:w="1440" w:type="dxa"/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-</w:t>
            </w:r>
          </w:p>
        </w:tc>
        <w:tc>
          <w:tcPr>
            <w:tcW w:w="1436" w:type="dxa"/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+++</w:t>
            </w:r>
          </w:p>
        </w:tc>
        <w:tc>
          <w:tcPr>
            <w:tcW w:w="1346" w:type="dxa"/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+++</w:t>
            </w:r>
          </w:p>
        </w:tc>
      </w:tr>
      <w:tr w:rsidR="00E73561" w:rsidRPr="00865ACC">
        <w:trPr>
          <w:jc w:val="center"/>
        </w:trPr>
        <w:tc>
          <w:tcPr>
            <w:tcW w:w="1559" w:type="dxa"/>
          </w:tcPr>
          <w:p w:rsidR="00E73561" w:rsidRPr="00865ACC" w:rsidRDefault="00E73561" w:rsidP="00E73561">
            <w:pPr>
              <w:rPr>
                <w:lang w:val="pt-BR"/>
              </w:rPr>
            </w:pPr>
            <w:r w:rsidRPr="00865ACC">
              <w:rPr>
                <w:lang w:val="pt-BR"/>
              </w:rPr>
              <w:t xml:space="preserve">10 </w:t>
            </w:r>
          </w:p>
        </w:tc>
        <w:tc>
          <w:tcPr>
            <w:tcW w:w="1800" w:type="dxa"/>
          </w:tcPr>
          <w:p w:rsidR="00E73561" w:rsidRPr="00865ACC" w:rsidRDefault="00E73561" w:rsidP="00865ACC">
            <w:pPr>
              <w:jc w:val="center"/>
              <w:rPr>
                <w:lang w:val="pt-BR"/>
              </w:rPr>
            </w:pPr>
            <w:r w:rsidRPr="00865ACC">
              <w:rPr>
                <w:lang w:val="pt-BR"/>
              </w:rPr>
              <w:t xml:space="preserve">  66 b</w:t>
            </w:r>
          </w:p>
        </w:tc>
        <w:tc>
          <w:tcPr>
            <w:tcW w:w="1440" w:type="dxa"/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+</w:t>
            </w:r>
          </w:p>
        </w:tc>
        <w:tc>
          <w:tcPr>
            <w:tcW w:w="1436" w:type="dxa"/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+++</w:t>
            </w:r>
          </w:p>
        </w:tc>
        <w:tc>
          <w:tcPr>
            <w:tcW w:w="1346" w:type="dxa"/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+++</w:t>
            </w:r>
          </w:p>
        </w:tc>
      </w:tr>
      <w:tr w:rsidR="00E73561" w:rsidRPr="00865ACC">
        <w:trPr>
          <w:jc w:val="center"/>
        </w:trPr>
        <w:tc>
          <w:tcPr>
            <w:tcW w:w="1559" w:type="dxa"/>
          </w:tcPr>
          <w:p w:rsidR="00E73561" w:rsidRDefault="00E73561" w:rsidP="00E73561">
            <w:r>
              <w:t xml:space="preserve">11 </w:t>
            </w:r>
          </w:p>
        </w:tc>
        <w:tc>
          <w:tcPr>
            <w:tcW w:w="1800" w:type="dxa"/>
          </w:tcPr>
          <w:p w:rsidR="00E73561" w:rsidRDefault="00E73561" w:rsidP="00865ACC">
            <w:pPr>
              <w:jc w:val="center"/>
            </w:pPr>
            <w:r>
              <w:t xml:space="preserve">  53 b</w:t>
            </w:r>
          </w:p>
        </w:tc>
        <w:tc>
          <w:tcPr>
            <w:tcW w:w="1440" w:type="dxa"/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++</w:t>
            </w:r>
          </w:p>
        </w:tc>
        <w:tc>
          <w:tcPr>
            <w:tcW w:w="1436" w:type="dxa"/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+++</w:t>
            </w:r>
          </w:p>
        </w:tc>
        <w:tc>
          <w:tcPr>
            <w:tcW w:w="1346" w:type="dxa"/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++</w:t>
            </w:r>
          </w:p>
        </w:tc>
      </w:tr>
      <w:tr w:rsidR="00E73561" w:rsidRPr="00865ACC">
        <w:trPr>
          <w:jc w:val="center"/>
        </w:trPr>
        <w:tc>
          <w:tcPr>
            <w:tcW w:w="1559" w:type="dxa"/>
          </w:tcPr>
          <w:p w:rsidR="00E73561" w:rsidRDefault="00E73561" w:rsidP="00E73561">
            <w:r>
              <w:t xml:space="preserve">12 </w:t>
            </w:r>
          </w:p>
        </w:tc>
        <w:tc>
          <w:tcPr>
            <w:tcW w:w="1800" w:type="dxa"/>
          </w:tcPr>
          <w:p w:rsidR="00E73561" w:rsidRDefault="00E73561" w:rsidP="00865ACC">
            <w:pPr>
              <w:jc w:val="center"/>
            </w:pPr>
            <w:r>
              <w:t xml:space="preserve">  37 c</w:t>
            </w:r>
          </w:p>
        </w:tc>
        <w:tc>
          <w:tcPr>
            <w:tcW w:w="1440" w:type="dxa"/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+++</w:t>
            </w:r>
          </w:p>
        </w:tc>
        <w:tc>
          <w:tcPr>
            <w:tcW w:w="1436" w:type="dxa"/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+++</w:t>
            </w:r>
          </w:p>
        </w:tc>
        <w:tc>
          <w:tcPr>
            <w:tcW w:w="1346" w:type="dxa"/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+</w:t>
            </w:r>
          </w:p>
        </w:tc>
      </w:tr>
      <w:tr w:rsidR="00E73561" w:rsidRPr="00865ACC">
        <w:trPr>
          <w:jc w:val="center"/>
        </w:trPr>
        <w:tc>
          <w:tcPr>
            <w:tcW w:w="1559" w:type="dxa"/>
            <w:tcBorders>
              <w:bottom w:val="single" w:sz="4" w:space="0" w:color="auto"/>
            </w:tcBorders>
          </w:tcPr>
          <w:p w:rsidR="00E73561" w:rsidRDefault="00E73561" w:rsidP="00E73561">
            <w:r>
              <w:t xml:space="preserve">13 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E73561" w:rsidRDefault="00E73561" w:rsidP="00865ACC">
            <w:pPr>
              <w:jc w:val="center"/>
            </w:pPr>
            <w:r>
              <w:t xml:space="preserve">  25 c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+++</w:t>
            </w:r>
          </w:p>
        </w:tc>
        <w:tc>
          <w:tcPr>
            <w:tcW w:w="1436" w:type="dxa"/>
            <w:tcBorders>
              <w:bottom w:val="single" w:sz="4" w:space="0" w:color="auto"/>
            </w:tcBorders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+++</w:t>
            </w:r>
          </w:p>
        </w:tc>
        <w:tc>
          <w:tcPr>
            <w:tcW w:w="1346" w:type="dxa"/>
            <w:tcBorders>
              <w:bottom w:val="single" w:sz="4" w:space="0" w:color="auto"/>
            </w:tcBorders>
          </w:tcPr>
          <w:p w:rsidR="00E73561" w:rsidRPr="00865ACC" w:rsidRDefault="00E73561" w:rsidP="00865ACC">
            <w:pPr>
              <w:jc w:val="center"/>
              <w:rPr>
                <w:b/>
                <w:lang w:val="en-GB"/>
              </w:rPr>
            </w:pPr>
            <w:r w:rsidRPr="00865ACC">
              <w:rPr>
                <w:b/>
                <w:lang w:val="en-GB"/>
              </w:rPr>
              <w:t>-</w:t>
            </w:r>
          </w:p>
        </w:tc>
      </w:tr>
    </w:tbl>
    <w:p w:rsidR="00FB00EF" w:rsidRPr="00FB00EF" w:rsidRDefault="00FB00EF" w:rsidP="009F3409">
      <w:pPr>
        <w:autoSpaceDE w:val="0"/>
        <w:autoSpaceDN w:val="0"/>
        <w:adjustRightInd w:val="0"/>
        <w:spacing w:line="480" w:lineRule="auto"/>
        <w:ind w:left="-142" w:right="-144"/>
        <w:jc w:val="both"/>
        <w:rPr>
          <w:sz w:val="20"/>
          <w:szCs w:val="20"/>
          <w:lang w:val="en-US"/>
        </w:rPr>
      </w:pPr>
    </w:p>
    <w:p w:rsidR="00A93348" w:rsidRDefault="00A93348" w:rsidP="009F3409">
      <w:pPr>
        <w:autoSpaceDE w:val="0"/>
        <w:autoSpaceDN w:val="0"/>
        <w:adjustRightInd w:val="0"/>
        <w:spacing w:line="480" w:lineRule="auto"/>
        <w:ind w:left="360" w:right="70" w:hanging="360"/>
        <w:jc w:val="both"/>
        <w:rPr>
          <w:sz w:val="20"/>
          <w:szCs w:val="20"/>
          <w:lang w:val="en-US"/>
        </w:rPr>
      </w:pPr>
      <w:r w:rsidRPr="00DF7DD8">
        <w:rPr>
          <w:sz w:val="20"/>
          <w:szCs w:val="20"/>
          <w:vertAlign w:val="superscript"/>
          <w:lang w:val="en-US"/>
        </w:rPr>
        <w:t xml:space="preserve">(1)   </w:t>
      </w:r>
      <w:r w:rsidR="00983E11" w:rsidRPr="00DF7DD8">
        <w:rPr>
          <w:sz w:val="20"/>
          <w:szCs w:val="20"/>
          <w:lang w:val="en-US"/>
        </w:rPr>
        <w:t>‘Healthy s</w:t>
      </w:r>
      <w:r w:rsidRPr="00DF7DD8">
        <w:rPr>
          <w:sz w:val="20"/>
          <w:szCs w:val="20"/>
          <w:lang w:val="en-US"/>
        </w:rPr>
        <w:t>hoot clusters</w:t>
      </w:r>
      <w:r w:rsidR="00983E11" w:rsidRPr="00DF7DD8">
        <w:rPr>
          <w:sz w:val="20"/>
          <w:szCs w:val="20"/>
          <w:lang w:val="en-US"/>
        </w:rPr>
        <w:t>’ refers to</w:t>
      </w:r>
      <w:r w:rsidRPr="00DF7DD8">
        <w:rPr>
          <w:sz w:val="20"/>
          <w:szCs w:val="20"/>
          <w:lang w:val="en-US"/>
        </w:rPr>
        <w:t xml:space="preserve"> green and/or etiolated shoots, not show</w:t>
      </w:r>
      <w:r w:rsidR="00983E11" w:rsidRPr="00DF7DD8">
        <w:rPr>
          <w:sz w:val="20"/>
          <w:szCs w:val="20"/>
          <w:lang w:val="en-US"/>
        </w:rPr>
        <w:t>ing</w:t>
      </w:r>
      <w:r w:rsidRPr="00DF7DD8">
        <w:rPr>
          <w:sz w:val="20"/>
          <w:szCs w:val="20"/>
          <w:lang w:val="en-US"/>
        </w:rPr>
        <w:t xml:space="preserve"> any </w:t>
      </w:r>
      <w:r w:rsidR="00983E11" w:rsidRPr="00DF7DD8">
        <w:rPr>
          <w:sz w:val="20"/>
          <w:szCs w:val="20"/>
          <w:lang w:val="en-US"/>
        </w:rPr>
        <w:t>clear</w:t>
      </w:r>
      <w:r w:rsidRPr="00DF7DD8">
        <w:rPr>
          <w:sz w:val="20"/>
          <w:szCs w:val="20"/>
          <w:lang w:val="en-US"/>
        </w:rPr>
        <w:t xml:space="preserve"> sign of decay</w:t>
      </w:r>
      <w:r w:rsidR="00983E11" w:rsidRPr="00DF7DD8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</w:p>
    <w:p w:rsidR="00FB00EF" w:rsidRDefault="00A93348" w:rsidP="009F3409">
      <w:pPr>
        <w:autoSpaceDE w:val="0"/>
        <w:autoSpaceDN w:val="0"/>
        <w:adjustRightInd w:val="0"/>
        <w:spacing w:line="480" w:lineRule="auto"/>
        <w:ind w:right="70"/>
        <w:jc w:val="both"/>
        <w:rPr>
          <w:sz w:val="20"/>
          <w:szCs w:val="20"/>
          <w:lang w:val="en-US"/>
        </w:rPr>
      </w:pPr>
      <w:r>
        <w:rPr>
          <w:sz w:val="20"/>
          <w:szCs w:val="20"/>
          <w:vertAlign w:val="superscript"/>
          <w:lang w:val="en-US"/>
        </w:rPr>
        <w:t>(2</w:t>
      </w:r>
      <w:r w:rsidR="00FB00EF" w:rsidRPr="008C482A">
        <w:rPr>
          <w:sz w:val="20"/>
          <w:szCs w:val="20"/>
          <w:vertAlign w:val="superscript"/>
          <w:lang w:val="en-US"/>
        </w:rPr>
        <w:t>)</w:t>
      </w:r>
      <w:r w:rsidR="00FB00EF">
        <w:rPr>
          <w:sz w:val="20"/>
          <w:szCs w:val="20"/>
          <w:vertAlign w:val="superscript"/>
          <w:lang w:val="en-US"/>
        </w:rPr>
        <w:t xml:space="preserve"> </w:t>
      </w:r>
      <w:r w:rsidR="00FB00EF" w:rsidRPr="004B2135">
        <w:rPr>
          <w:sz w:val="20"/>
          <w:szCs w:val="20"/>
          <w:lang w:val="en-US"/>
        </w:rPr>
        <w:t>Percentage values statistically analysed by a non-parametric test, the Post Hoc Multiple</w:t>
      </w:r>
      <w:r w:rsidR="00FB00EF">
        <w:rPr>
          <w:sz w:val="20"/>
          <w:szCs w:val="20"/>
          <w:lang w:val="en-US"/>
        </w:rPr>
        <w:t xml:space="preserve"> </w:t>
      </w:r>
      <w:r w:rsidR="00FB00EF">
        <w:rPr>
          <w:sz w:val="20"/>
          <w:szCs w:val="20"/>
          <w:lang w:val="en-US"/>
        </w:rPr>
        <w:br/>
        <w:t xml:space="preserve">       </w:t>
      </w:r>
      <w:r w:rsidR="00FB00EF" w:rsidRPr="004B2135">
        <w:rPr>
          <w:sz w:val="20"/>
          <w:szCs w:val="20"/>
          <w:lang w:val="en-US"/>
        </w:rPr>
        <w:t>Comparisons Test (Marascuilo and McSweeney 1977).</w:t>
      </w:r>
    </w:p>
    <w:p w:rsidR="00E73561" w:rsidRPr="004B2135" w:rsidRDefault="00E73561" w:rsidP="009F3409">
      <w:pPr>
        <w:autoSpaceDE w:val="0"/>
        <w:autoSpaceDN w:val="0"/>
        <w:adjustRightInd w:val="0"/>
        <w:spacing w:line="480" w:lineRule="auto"/>
        <w:ind w:right="70"/>
        <w:jc w:val="both"/>
        <w:rPr>
          <w:sz w:val="20"/>
          <w:szCs w:val="20"/>
          <w:lang w:val="en-US"/>
        </w:rPr>
      </w:pPr>
      <w:r w:rsidRPr="00E73561">
        <w:rPr>
          <w:sz w:val="20"/>
          <w:szCs w:val="20"/>
          <w:vertAlign w:val="superscript"/>
          <w:lang w:val="en-US"/>
        </w:rPr>
        <w:t>(2)</w:t>
      </w:r>
      <w:r>
        <w:rPr>
          <w:sz w:val="20"/>
          <w:szCs w:val="20"/>
          <w:lang w:val="en-US"/>
        </w:rPr>
        <w:t xml:space="preserve">   Morphological observations indicated as (-), none; (+), low; (++), moderate; (+++), intense.  </w:t>
      </w:r>
    </w:p>
    <w:p w:rsidR="00FB00EF" w:rsidRPr="00FB00EF" w:rsidRDefault="00FB00EF" w:rsidP="00AC2417">
      <w:pPr>
        <w:spacing w:line="480" w:lineRule="auto"/>
        <w:rPr>
          <w:b/>
          <w:lang w:val="en-US"/>
        </w:rPr>
      </w:pPr>
    </w:p>
    <w:p w:rsidR="00890FBC" w:rsidRDefault="00890FBC" w:rsidP="00E73561">
      <w:pPr>
        <w:spacing w:line="480" w:lineRule="auto"/>
        <w:jc w:val="both"/>
        <w:rPr>
          <w:b/>
          <w:bCs/>
          <w:lang w:val="en-GB"/>
        </w:rPr>
      </w:pPr>
    </w:p>
    <w:p w:rsidR="00890FBC" w:rsidRDefault="00890FBC" w:rsidP="00E73561">
      <w:pPr>
        <w:spacing w:line="480" w:lineRule="auto"/>
        <w:jc w:val="both"/>
        <w:rPr>
          <w:b/>
          <w:bCs/>
          <w:lang w:val="en-GB"/>
        </w:rPr>
      </w:pPr>
    </w:p>
    <w:p w:rsidR="00890FBC" w:rsidRDefault="00890FBC" w:rsidP="00E73561">
      <w:pPr>
        <w:spacing w:line="480" w:lineRule="auto"/>
        <w:jc w:val="both"/>
        <w:rPr>
          <w:b/>
          <w:bCs/>
          <w:lang w:val="en-GB"/>
        </w:rPr>
      </w:pPr>
    </w:p>
    <w:p w:rsidR="00890FBC" w:rsidRDefault="00890FBC" w:rsidP="00E73561">
      <w:pPr>
        <w:spacing w:line="480" w:lineRule="auto"/>
        <w:jc w:val="both"/>
        <w:rPr>
          <w:b/>
          <w:bCs/>
          <w:lang w:val="en-GB"/>
        </w:rPr>
      </w:pPr>
    </w:p>
    <w:p w:rsidR="00890FBC" w:rsidRDefault="00890FBC" w:rsidP="00E73561">
      <w:pPr>
        <w:spacing w:line="480" w:lineRule="auto"/>
        <w:jc w:val="both"/>
        <w:rPr>
          <w:b/>
          <w:bCs/>
          <w:lang w:val="en-GB"/>
        </w:rPr>
      </w:pPr>
    </w:p>
    <w:p w:rsidR="00890FBC" w:rsidRDefault="00890FBC" w:rsidP="00E73561">
      <w:pPr>
        <w:spacing w:line="480" w:lineRule="auto"/>
        <w:jc w:val="both"/>
        <w:rPr>
          <w:b/>
          <w:bCs/>
          <w:lang w:val="en-GB"/>
        </w:rPr>
      </w:pPr>
    </w:p>
    <w:p w:rsidR="00890FBC" w:rsidRDefault="00890FBC" w:rsidP="00E73561">
      <w:pPr>
        <w:spacing w:line="480" w:lineRule="auto"/>
        <w:jc w:val="both"/>
        <w:rPr>
          <w:b/>
          <w:bCs/>
          <w:lang w:val="en-GB"/>
        </w:rPr>
      </w:pPr>
    </w:p>
    <w:p w:rsidR="00890FBC" w:rsidRDefault="00890FBC" w:rsidP="00E73561">
      <w:pPr>
        <w:spacing w:line="480" w:lineRule="auto"/>
        <w:jc w:val="both"/>
        <w:rPr>
          <w:b/>
          <w:bCs/>
          <w:lang w:val="en-GB"/>
        </w:rPr>
      </w:pPr>
    </w:p>
    <w:p w:rsidR="00E73561" w:rsidRDefault="00E73561" w:rsidP="00E73561">
      <w:pPr>
        <w:spacing w:line="480" w:lineRule="auto"/>
        <w:jc w:val="both"/>
        <w:rPr>
          <w:lang w:val="en-GB"/>
        </w:rPr>
      </w:pPr>
      <w:r w:rsidRPr="003A1B0D">
        <w:rPr>
          <w:b/>
          <w:bCs/>
          <w:lang w:val="en-GB"/>
        </w:rPr>
        <w:lastRenderedPageBreak/>
        <w:t xml:space="preserve">Table </w:t>
      </w:r>
      <w:r w:rsidR="00890FBC">
        <w:rPr>
          <w:b/>
          <w:bCs/>
          <w:lang w:val="en-GB"/>
        </w:rPr>
        <w:t>2</w:t>
      </w:r>
      <w:r w:rsidRPr="003A1B0D">
        <w:rPr>
          <w:b/>
          <w:bCs/>
          <w:lang w:val="en-GB"/>
        </w:rPr>
        <w:t>.</w:t>
      </w:r>
      <w:r w:rsidRPr="00045DE8">
        <w:rPr>
          <w:lang w:val="en-GB"/>
        </w:rPr>
        <w:t xml:space="preserve"> </w:t>
      </w:r>
      <w:r>
        <w:rPr>
          <w:lang w:val="en-GB"/>
        </w:rPr>
        <w:t xml:space="preserve">Regrowth potential of </w:t>
      </w:r>
      <w:r>
        <w:rPr>
          <w:i/>
          <w:iCs/>
          <w:lang w:val="en-GB"/>
        </w:rPr>
        <w:t>Thymus vulgaris</w:t>
      </w:r>
      <w:r w:rsidRPr="00045DE8">
        <w:rPr>
          <w:lang w:val="en-GB"/>
        </w:rPr>
        <w:t xml:space="preserve"> </w:t>
      </w:r>
      <w:r>
        <w:rPr>
          <w:lang w:val="en-GB"/>
        </w:rPr>
        <w:t>shoot tips</w:t>
      </w:r>
      <w:r w:rsidR="00890FBC">
        <w:rPr>
          <w:lang w:val="en-GB"/>
        </w:rPr>
        <w:t xml:space="preserve"> 4 weeks</w:t>
      </w:r>
      <w:r>
        <w:rPr>
          <w:lang w:val="en-GB"/>
        </w:rPr>
        <w:t xml:space="preserve"> after being back to standard culture conditions following </w:t>
      </w:r>
      <w:r w:rsidR="00890FBC">
        <w:rPr>
          <w:lang w:val="en-GB"/>
        </w:rPr>
        <w:t xml:space="preserve">slow growth </w:t>
      </w:r>
      <w:r>
        <w:rPr>
          <w:lang w:val="en-GB"/>
        </w:rPr>
        <w:t xml:space="preserve">storage at 4°C in darkness. 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</w:tblBorders>
        <w:tblLayout w:type="fixed"/>
        <w:tblLook w:val="01E0"/>
      </w:tblPr>
      <w:tblGrid>
        <w:gridCol w:w="1303"/>
        <w:gridCol w:w="1266"/>
        <w:gridCol w:w="1843"/>
        <w:gridCol w:w="1701"/>
        <w:gridCol w:w="956"/>
      </w:tblGrid>
      <w:tr w:rsidR="00890FBC"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</w:tcPr>
          <w:p w:rsidR="00890FBC" w:rsidRDefault="00890FBC" w:rsidP="00890FBC">
            <w:pPr>
              <w:spacing w:before="120"/>
              <w:jc w:val="center"/>
              <w:rPr>
                <w:b/>
                <w:bCs/>
              </w:rPr>
            </w:pPr>
            <w:r w:rsidRPr="002931E8">
              <w:rPr>
                <w:b/>
                <w:bCs/>
              </w:rPr>
              <w:t xml:space="preserve">Storage </w:t>
            </w:r>
            <w:r>
              <w:rPr>
                <w:b/>
                <w:bCs/>
              </w:rPr>
              <w:t>ti</w:t>
            </w:r>
            <w:r w:rsidRPr="002931E8">
              <w:rPr>
                <w:b/>
                <w:bCs/>
              </w:rPr>
              <w:t>me</w:t>
            </w:r>
          </w:p>
          <w:p w:rsidR="00890FBC" w:rsidRPr="002931E8" w:rsidRDefault="00890FBC" w:rsidP="00A572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(months)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</w:tcPr>
          <w:p w:rsidR="00890FBC" w:rsidRPr="00631AA7" w:rsidRDefault="00890FBC" w:rsidP="00AC2417">
            <w:pPr>
              <w:jc w:val="center"/>
              <w:rPr>
                <w:b/>
                <w:bCs/>
                <w:sz w:val="8"/>
                <w:szCs w:val="8"/>
              </w:rPr>
            </w:pPr>
          </w:p>
          <w:p w:rsidR="00890FBC" w:rsidRDefault="00890FBC" w:rsidP="00AC2417">
            <w:pPr>
              <w:jc w:val="center"/>
              <w:rPr>
                <w:b/>
                <w:bCs/>
              </w:rPr>
            </w:pPr>
            <w:r w:rsidRPr="002931E8">
              <w:rPr>
                <w:b/>
                <w:bCs/>
              </w:rPr>
              <w:t>Reg</w:t>
            </w:r>
            <w:r>
              <w:rPr>
                <w:b/>
                <w:bCs/>
              </w:rPr>
              <w:t>rowth</w:t>
            </w:r>
            <w:r w:rsidRPr="002931E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</w:t>
            </w:r>
            <w:r w:rsidRPr="002931E8">
              <w:rPr>
                <w:b/>
                <w:bCs/>
              </w:rPr>
              <w:t>ate</w:t>
            </w:r>
            <w:r w:rsidRPr="004B2135">
              <w:rPr>
                <w:b/>
                <w:bCs/>
                <w:vertAlign w:val="superscript"/>
              </w:rPr>
              <w:t>1</w:t>
            </w:r>
            <w:r w:rsidRPr="002931E8">
              <w:rPr>
                <w:b/>
                <w:bCs/>
              </w:rPr>
              <w:t xml:space="preserve"> </w:t>
            </w:r>
          </w:p>
          <w:p w:rsidR="00890FBC" w:rsidRPr="002931E8" w:rsidRDefault="00890FBC" w:rsidP="00AC2417">
            <w:pPr>
              <w:jc w:val="center"/>
              <w:rPr>
                <w:b/>
                <w:bCs/>
              </w:rPr>
            </w:pPr>
            <w:r w:rsidRPr="002931E8">
              <w:rPr>
                <w:b/>
                <w:bCs/>
              </w:rPr>
              <w:t>(%)</w:t>
            </w:r>
            <w:r w:rsidR="00983E11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90FBC" w:rsidRPr="00E369F5" w:rsidRDefault="00890FBC" w:rsidP="00AC2417">
            <w:pPr>
              <w:jc w:val="center"/>
              <w:rPr>
                <w:b/>
                <w:bCs/>
                <w:sz w:val="8"/>
                <w:szCs w:val="8"/>
                <w:lang w:val="en-GB"/>
              </w:rPr>
            </w:pPr>
          </w:p>
          <w:p w:rsidR="00890FBC" w:rsidRPr="00631AA7" w:rsidRDefault="00890FBC" w:rsidP="00AC241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 shoot number</w:t>
            </w:r>
            <w:r w:rsidR="00A93348">
              <w:rPr>
                <w:b/>
                <w:bCs/>
                <w:vertAlign w:val="superscript"/>
                <w:lang w:val="en-US"/>
              </w:rPr>
              <w:t>3</w:t>
            </w:r>
          </w:p>
          <w:p w:rsidR="00890FBC" w:rsidRPr="00631AA7" w:rsidRDefault="00983E11" w:rsidP="00983E1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(no ± S</w:t>
            </w:r>
            <w:r w:rsidR="00890FBC" w:rsidRPr="00631AA7">
              <w:rPr>
                <w:b/>
                <w:bCs/>
                <w:lang w:val="en-US"/>
              </w:rPr>
              <w:t>E)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90FBC" w:rsidRPr="00631AA7" w:rsidRDefault="00890FBC" w:rsidP="00AC2417">
            <w:pPr>
              <w:jc w:val="center"/>
              <w:rPr>
                <w:b/>
                <w:bCs/>
                <w:sz w:val="8"/>
                <w:szCs w:val="8"/>
                <w:lang w:val="en-US"/>
              </w:rPr>
            </w:pPr>
          </w:p>
          <w:p w:rsidR="00890FBC" w:rsidRDefault="00890FBC" w:rsidP="00AC2417">
            <w:pPr>
              <w:jc w:val="center"/>
              <w:rPr>
                <w:b/>
                <w:bCs/>
                <w:lang w:val="en-US"/>
              </w:rPr>
            </w:pPr>
            <w:r w:rsidRPr="004B2135">
              <w:rPr>
                <w:b/>
                <w:bCs/>
                <w:lang w:val="en-US"/>
              </w:rPr>
              <w:t xml:space="preserve">Mean </w:t>
            </w:r>
            <w:r>
              <w:rPr>
                <w:b/>
                <w:bCs/>
                <w:lang w:val="en-US"/>
              </w:rPr>
              <w:t>s</w:t>
            </w:r>
            <w:r w:rsidRPr="004B2135">
              <w:rPr>
                <w:b/>
                <w:bCs/>
                <w:lang w:val="en-US"/>
              </w:rPr>
              <w:t xml:space="preserve">hoot </w:t>
            </w:r>
            <w:r>
              <w:rPr>
                <w:b/>
                <w:bCs/>
                <w:lang w:val="en-US"/>
              </w:rPr>
              <w:t>l</w:t>
            </w:r>
            <w:r w:rsidRPr="004B2135">
              <w:rPr>
                <w:b/>
                <w:bCs/>
                <w:lang w:val="en-US"/>
              </w:rPr>
              <w:t>ength</w:t>
            </w:r>
            <w:r w:rsidR="00A93348">
              <w:rPr>
                <w:b/>
                <w:bCs/>
                <w:vertAlign w:val="superscript"/>
                <w:lang w:val="en-US"/>
              </w:rPr>
              <w:t>3</w:t>
            </w:r>
            <w:r w:rsidRPr="004B2135">
              <w:rPr>
                <w:b/>
                <w:bCs/>
                <w:lang w:val="en-US"/>
              </w:rPr>
              <w:t xml:space="preserve"> </w:t>
            </w:r>
          </w:p>
          <w:p w:rsidR="00890FBC" w:rsidRPr="004B2135" w:rsidRDefault="00890FBC" w:rsidP="00983E11">
            <w:pPr>
              <w:jc w:val="center"/>
              <w:rPr>
                <w:b/>
                <w:bCs/>
                <w:lang w:val="en-US"/>
              </w:rPr>
            </w:pPr>
            <w:r w:rsidRPr="004B2135">
              <w:rPr>
                <w:b/>
                <w:bCs/>
                <w:lang w:val="en-US"/>
              </w:rPr>
              <w:t>(cm ± SE)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</w:tcPr>
          <w:p w:rsidR="00890FBC" w:rsidRPr="00E369F5" w:rsidRDefault="00890FBC" w:rsidP="00AC2417">
            <w:pPr>
              <w:jc w:val="center"/>
              <w:rPr>
                <w:b/>
                <w:bCs/>
                <w:sz w:val="8"/>
                <w:szCs w:val="8"/>
                <w:lang w:val="en-GB"/>
              </w:rPr>
            </w:pPr>
          </w:p>
          <w:p w:rsidR="00890FBC" w:rsidRDefault="00890FBC" w:rsidP="00AC2417">
            <w:pPr>
              <w:jc w:val="center"/>
              <w:rPr>
                <w:b/>
                <w:bCs/>
                <w:vertAlign w:val="superscript"/>
              </w:rPr>
            </w:pPr>
            <w:r w:rsidRPr="002931E8">
              <w:rPr>
                <w:b/>
                <w:bCs/>
              </w:rPr>
              <w:t xml:space="preserve">SFC </w:t>
            </w:r>
            <w:r>
              <w:rPr>
                <w:b/>
                <w:bCs/>
              </w:rPr>
              <w:t>i</w:t>
            </w:r>
            <w:r w:rsidRPr="002931E8">
              <w:rPr>
                <w:b/>
                <w:bCs/>
              </w:rPr>
              <w:t>ndex</w:t>
            </w:r>
            <w:r w:rsidR="00A93348" w:rsidRPr="00A93348">
              <w:rPr>
                <w:b/>
                <w:bCs/>
                <w:vertAlign w:val="superscript"/>
              </w:rPr>
              <w:t>4</w:t>
            </w:r>
          </w:p>
          <w:p w:rsidR="00890FBC" w:rsidRDefault="00890FBC" w:rsidP="00AC2417">
            <w:pPr>
              <w:jc w:val="center"/>
              <w:rPr>
                <w:b/>
                <w:bCs/>
                <w:vertAlign w:val="superscript"/>
              </w:rPr>
            </w:pPr>
          </w:p>
          <w:p w:rsidR="00890FBC" w:rsidRPr="00631AA7" w:rsidRDefault="00890FBC" w:rsidP="00AC2417">
            <w:pPr>
              <w:jc w:val="center"/>
              <w:rPr>
                <w:b/>
                <w:bCs/>
                <w:sz w:val="8"/>
                <w:szCs w:val="8"/>
              </w:rPr>
            </w:pPr>
          </w:p>
        </w:tc>
      </w:tr>
      <w:tr w:rsidR="00890FBC" w:rsidRPr="00414A94">
        <w:tc>
          <w:tcPr>
            <w:tcW w:w="1303" w:type="dxa"/>
            <w:tcBorders>
              <w:top w:val="single" w:sz="4" w:space="0" w:color="auto"/>
            </w:tcBorders>
          </w:tcPr>
          <w:p w:rsidR="00890FBC" w:rsidRPr="00631AA7" w:rsidRDefault="00890FBC" w:rsidP="00892849">
            <w:pPr>
              <w:rPr>
                <w:sz w:val="8"/>
                <w:szCs w:val="8"/>
              </w:rPr>
            </w:pPr>
          </w:p>
          <w:p w:rsidR="00890FBC" w:rsidRDefault="00890FBC" w:rsidP="00892849">
            <w:r>
              <w:t xml:space="preserve">1 </w:t>
            </w:r>
          </w:p>
        </w:tc>
        <w:tc>
          <w:tcPr>
            <w:tcW w:w="1266" w:type="dxa"/>
            <w:tcBorders>
              <w:top w:val="single" w:sz="4" w:space="0" w:color="auto"/>
            </w:tcBorders>
          </w:tcPr>
          <w:p w:rsidR="00890FBC" w:rsidRPr="00631AA7" w:rsidRDefault="00890FBC" w:rsidP="00892849">
            <w:pPr>
              <w:jc w:val="center"/>
              <w:rPr>
                <w:sz w:val="8"/>
                <w:szCs w:val="8"/>
              </w:rPr>
            </w:pPr>
          </w:p>
          <w:p w:rsidR="00890FBC" w:rsidRPr="00414A94" w:rsidRDefault="00890FBC" w:rsidP="00892849">
            <w:pPr>
              <w:jc w:val="center"/>
              <w:rPr>
                <w:lang w:val="pt-BR"/>
              </w:rPr>
            </w:pPr>
            <w:r>
              <w:t xml:space="preserve"> </w:t>
            </w:r>
            <w:r w:rsidRPr="00414A94">
              <w:rPr>
                <w:lang w:val="pt-BR"/>
              </w:rPr>
              <w:t>100 a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890FBC" w:rsidRPr="00414A94" w:rsidRDefault="00890FBC" w:rsidP="00892849">
            <w:pPr>
              <w:jc w:val="center"/>
              <w:rPr>
                <w:sz w:val="8"/>
                <w:szCs w:val="8"/>
                <w:lang w:val="pt-BR"/>
              </w:rPr>
            </w:pPr>
          </w:p>
          <w:p w:rsidR="00890FBC" w:rsidRPr="00414A94" w:rsidRDefault="003754B9" w:rsidP="0089284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8.5 ± 0.6 a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890FBC" w:rsidRPr="00414A94" w:rsidRDefault="00890FBC" w:rsidP="00892849">
            <w:pPr>
              <w:jc w:val="center"/>
              <w:rPr>
                <w:sz w:val="8"/>
                <w:szCs w:val="8"/>
                <w:lang w:val="pt-BR"/>
              </w:rPr>
            </w:pPr>
          </w:p>
          <w:p w:rsidR="00890FBC" w:rsidRPr="00414A94" w:rsidRDefault="00890FBC" w:rsidP="0089284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1.2 ± 0.1</w:t>
            </w:r>
            <w:r w:rsidR="00A57288">
              <w:rPr>
                <w:lang w:val="pt-BR"/>
              </w:rPr>
              <w:t xml:space="preserve"> a</w:t>
            </w:r>
          </w:p>
        </w:tc>
        <w:tc>
          <w:tcPr>
            <w:tcW w:w="956" w:type="dxa"/>
            <w:tcBorders>
              <w:top w:val="single" w:sz="4" w:space="0" w:color="auto"/>
            </w:tcBorders>
          </w:tcPr>
          <w:p w:rsidR="00890FBC" w:rsidRPr="00414A94" w:rsidRDefault="00890FBC" w:rsidP="00892849">
            <w:pPr>
              <w:jc w:val="center"/>
              <w:rPr>
                <w:sz w:val="8"/>
                <w:szCs w:val="8"/>
                <w:lang w:val="pt-BR"/>
              </w:rPr>
            </w:pPr>
          </w:p>
          <w:p w:rsidR="00890FBC" w:rsidRPr="00414A94" w:rsidRDefault="003754B9" w:rsidP="0089284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8</w:t>
            </w:r>
            <w:r w:rsidR="00890FBC" w:rsidRPr="00414A94">
              <w:rPr>
                <w:lang w:val="pt-BR"/>
              </w:rPr>
              <w:t>.5</w:t>
            </w:r>
          </w:p>
        </w:tc>
      </w:tr>
      <w:tr w:rsidR="00890FBC" w:rsidRPr="00414A94">
        <w:tc>
          <w:tcPr>
            <w:tcW w:w="1303" w:type="dxa"/>
          </w:tcPr>
          <w:p w:rsidR="00890FBC" w:rsidRPr="00414A94" w:rsidRDefault="00890FBC" w:rsidP="00AC2417">
            <w:pPr>
              <w:rPr>
                <w:lang w:val="pt-BR"/>
              </w:rPr>
            </w:pPr>
            <w:r w:rsidRPr="00414A94">
              <w:rPr>
                <w:lang w:val="pt-BR"/>
              </w:rPr>
              <w:t xml:space="preserve">2 </w:t>
            </w:r>
          </w:p>
        </w:tc>
        <w:tc>
          <w:tcPr>
            <w:tcW w:w="1266" w:type="dxa"/>
          </w:tcPr>
          <w:p w:rsidR="00890FBC" w:rsidRPr="00414A94" w:rsidRDefault="00890FBC" w:rsidP="00AC2417">
            <w:pPr>
              <w:jc w:val="center"/>
              <w:rPr>
                <w:lang w:val="pt-BR"/>
              </w:rPr>
            </w:pPr>
            <w:r w:rsidRPr="00414A94">
              <w:rPr>
                <w:lang w:val="pt-BR"/>
              </w:rPr>
              <w:t xml:space="preserve"> 100 a</w:t>
            </w:r>
          </w:p>
        </w:tc>
        <w:tc>
          <w:tcPr>
            <w:tcW w:w="1843" w:type="dxa"/>
          </w:tcPr>
          <w:p w:rsidR="00890FBC" w:rsidRPr="00414A94" w:rsidRDefault="003754B9" w:rsidP="00AC24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9.1 ± 0.8 a</w:t>
            </w:r>
          </w:p>
        </w:tc>
        <w:tc>
          <w:tcPr>
            <w:tcW w:w="1701" w:type="dxa"/>
          </w:tcPr>
          <w:p w:rsidR="00890FBC" w:rsidRPr="00414A94" w:rsidRDefault="00890FBC" w:rsidP="00AC24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1.3 ± 0.1</w:t>
            </w:r>
            <w:r w:rsidR="00A57288">
              <w:rPr>
                <w:lang w:val="pt-BR"/>
              </w:rPr>
              <w:t xml:space="preserve"> a</w:t>
            </w:r>
          </w:p>
        </w:tc>
        <w:tc>
          <w:tcPr>
            <w:tcW w:w="956" w:type="dxa"/>
          </w:tcPr>
          <w:p w:rsidR="00890FBC" w:rsidRPr="00414A94" w:rsidRDefault="00890FBC" w:rsidP="00AC2417">
            <w:pPr>
              <w:jc w:val="center"/>
              <w:rPr>
                <w:lang w:val="pt-BR"/>
              </w:rPr>
            </w:pPr>
            <w:r w:rsidRPr="00414A94">
              <w:rPr>
                <w:lang w:val="pt-BR"/>
              </w:rPr>
              <w:t>9.1</w:t>
            </w:r>
          </w:p>
        </w:tc>
      </w:tr>
      <w:tr w:rsidR="00890FBC" w:rsidRPr="00414A94">
        <w:tc>
          <w:tcPr>
            <w:tcW w:w="1303" w:type="dxa"/>
          </w:tcPr>
          <w:p w:rsidR="00890FBC" w:rsidRPr="00414A94" w:rsidRDefault="00890FBC" w:rsidP="00AC2417">
            <w:pPr>
              <w:rPr>
                <w:lang w:val="pt-BR"/>
              </w:rPr>
            </w:pPr>
            <w:r w:rsidRPr="00414A94">
              <w:rPr>
                <w:lang w:val="pt-BR"/>
              </w:rPr>
              <w:t xml:space="preserve">3 </w:t>
            </w:r>
          </w:p>
        </w:tc>
        <w:tc>
          <w:tcPr>
            <w:tcW w:w="1266" w:type="dxa"/>
          </w:tcPr>
          <w:p w:rsidR="00890FBC" w:rsidRPr="00414A94" w:rsidRDefault="00890FBC" w:rsidP="00AC2417">
            <w:pPr>
              <w:jc w:val="center"/>
              <w:rPr>
                <w:lang w:val="pt-BR"/>
              </w:rPr>
            </w:pPr>
            <w:r w:rsidRPr="00414A94">
              <w:rPr>
                <w:lang w:val="pt-BR"/>
              </w:rPr>
              <w:t xml:space="preserve">  </w:t>
            </w:r>
            <w:r>
              <w:rPr>
                <w:lang w:val="pt-BR"/>
              </w:rPr>
              <w:t>92</w:t>
            </w:r>
            <w:r w:rsidRPr="00414A94">
              <w:rPr>
                <w:lang w:val="pt-BR"/>
              </w:rPr>
              <w:t xml:space="preserve"> a</w:t>
            </w:r>
          </w:p>
        </w:tc>
        <w:tc>
          <w:tcPr>
            <w:tcW w:w="1843" w:type="dxa"/>
          </w:tcPr>
          <w:p w:rsidR="00890FBC" w:rsidRPr="00414A94" w:rsidRDefault="003754B9" w:rsidP="00AC24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7.3 ± 0.8 b</w:t>
            </w:r>
          </w:p>
        </w:tc>
        <w:tc>
          <w:tcPr>
            <w:tcW w:w="1701" w:type="dxa"/>
          </w:tcPr>
          <w:p w:rsidR="00890FBC" w:rsidRPr="00414A94" w:rsidRDefault="00890FBC" w:rsidP="00AC24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1.6 ± 0.1</w:t>
            </w:r>
            <w:r w:rsidRPr="00414A94">
              <w:rPr>
                <w:lang w:val="pt-BR"/>
              </w:rPr>
              <w:t xml:space="preserve"> a</w:t>
            </w:r>
          </w:p>
        </w:tc>
        <w:tc>
          <w:tcPr>
            <w:tcW w:w="956" w:type="dxa"/>
          </w:tcPr>
          <w:p w:rsidR="00890FBC" w:rsidRPr="00414A94" w:rsidRDefault="00890FBC" w:rsidP="00AC2417">
            <w:pPr>
              <w:jc w:val="center"/>
              <w:rPr>
                <w:lang w:val="pt-BR"/>
              </w:rPr>
            </w:pPr>
            <w:r w:rsidRPr="00414A94">
              <w:rPr>
                <w:lang w:val="pt-BR"/>
              </w:rPr>
              <w:t>6.7</w:t>
            </w:r>
          </w:p>
        </w:tc>
      </w:tr>
      <w:tr w:rsidR="00890FBC" w:rsidRPr="00414A94">
        <w:tc>
          <w:tcPr>
            <w:tcW w:w="1303" w:type="dxa"/>
          </w:tcPr>
          <w:p w:rsidR="00890FBC" w:rsidRPr="00414A94" w:rsidRDefault="00890FBC" w:rsidP="00AC2417">
            <w:pPr>
              <w:rPr>
                <w:lang w:val="pt-BR"/>
              </w:rPr>
            </w:pPr>
            <w:r w:rsidRPr="00414A94">
              <w:rPr>
                <w:lang w:val="pt-BR"/>
              </w:rPr>
              <w:t xml:space="preserve">4 </w:t>
            </w:r>
          </w:p>
        </w:tc>
        <w:tc>
          <w:tcPr>
            <w:tcW w:w="1266" w:type="dxa"/>
          </w:tcPr>
          <w:p w:rsidR="00890FBC" w:rsidRPr="00414A94" w:rsidRDefault="00890FBC" w:rsidP="00AC2417">
            <w:pPr>
              <w:jc w:val="center"/>
              <w:rPr>
                <w:lang w:val="pt-BR"/>
              </w:rPr>
            </w:pPr>
            <w:r w:rsidRPr="00414A94">
              <w:rPr>
                <w:lang w:val="pt-BR"/>
              </w:rPr>
              <w:t xml:space="preserve">  </w:t>
            </w:r>
            <w:r>
              <w:rPr>
                <w:lang w:val="pt-BR"/>
              </w:rPr>
              <w:t>93</w:t>
            </w:r>
            <w:r w:rsidRPr="00414A94">
              <w:rPr>
                <w:lang w:val="pt-BR"/>
              </w:rPr>
              <w:t xml:space="preserve"> a</w:t>
            </w:r>
          </w:p>
        </w:tc>
        <w:tc>
          <w:tcPr>
            <w:tcW w:w="1843" w:type="dxa"/>
          </w:tcPr>
          <w:p w:rsidR="00890FBC" w:rsidRPr="00414A94" w:rsidRDefault="003754B9" w:rsidP="00AC24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4.4 ± 0.3 c</w:t>
            </w:r>
          </w:p>
        </w:tc>
        <w:tc>
          <w:tcPr>
            <w:tcW w:w="1701" w:type="dxa"/>
          </w:tcPr>
          <w:p w:rsidR="00890FBC" w:rsidRPr="00414A94" w:rsidRDefault="00890FBC" w:rsidP="00AC24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1.0 ± 0.0</w:t>
            </w:r>
            <w:r w:rsidR="00A57288">
              <w:rPr>
                <w:lang w:val="pt-BR"/>
              </w:rPr>
              <w:t xml:space="preserve"> a</w:t>
            </w:r>
          </w:p>
        </w:tc>
        <w:tc>
          <w:tcPr>
            <w:tcW w:w="956" w:type="dxa"/>
          </w:tcPr>
          <w:p w:rsidR="00890FBC" w:rsidRPr="00414A94" w:rsidRDefault="00890FBC" w:rsidP="00AC2417">
            <w:pPr>
              <w:jc w:val="center"/>
              <w:rPr>
                <w:lang w:val="pt-BR"/>
              </w:rPr>
            </w:pPr>
            <w:r w:rsidRPr="00414A94">
              <w:rPr>
                <w:lang w:val="pt-BR"/>
              </w:rPr>
              <w:t>4.1</w:t>
            </w:r>
          </w:p>
        </w:tc>
      </w:tr>
      <w:tr w:rsidR="00890FBC" w:rsidRPr="00414A94">
        <w:tc>
          <w:tcPr>
            <w:tcW w:w="1303" w:type="dxa"/>
          </w:tcPr>
          <w:p w:rsidR="00890FBC" w:rsidRPr="00414A94" w:rsidRDefault="00890FBC" w:rsidP="00AC2417">
            <w:pPr>
              <w:rPr>
                <w:lang w:val="pt-BR"/>
              </w:rPr>
            </w:pPr>
            <w:r w:rsidRPr="00414A94">
              <w:rPr>
                <w:lang w:val="pt-BR"/>
              </w:rPr>
              <w:t xml:space="preserve">5 </w:t>
            </w:r>
          </w:p>
        </w:tc>
        <w:tc>
          <w:tcPr>
            <w:tcW w:w="1266" w:type="dxa"/>
          </w:tcPr>
          <w:p w:rsidR="00890FBC" w:rsidRPr="00414A94" w:rsidRDefault="00890FBC" w:rsidP="00AC2417">
            <w:pPr>
              <w:jc w:val="center"/>
              <w:rPr>
                <w:lang w:val="pt-BR"/>
              </w:rPr>
            </w:pPr>
            <w:r w:rsidRPr="00414A94">
              <w:rPr>
                <w:lang w:val="pt-BR"/>
              </w:rPr>
              <w:t>100 a</w:t>
            </w:r>
          </w:p>
        </w:tc>
        <w:tc>
          <w:tcPr>
            <w:tcW w:w="1843" w:type="dxa"/>
          </w:tcPr>
          <w:p w:rsidR="00890FBC" w:rsidRPr="00414A94" w:rsidRDefault="003754B9" w:rsidP="00AC24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4.7 ± 0.3 c</w:t>
            </w:r>
          </w:p>
        </w:tc>
        <w:tc>
          <w:tcPr>
            <w:tcW w:w="1701" w:type="dxa"/>
          </w:tcPr>
          <w:p w:rsidR="00890FBC" w:rsidRPr="00414A94" w:rsidRDefault="00890FBC" w:rsidP="00AC24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1.0 ± 0.0</w:t>
            </w:r>
            <w:r w:rsidR="00A57288">
              <w:rPr>
                <w:lang w:val="pt-BR"/>
              </w:rPr>
              <w:t xml:space="preserve"> a</w:t>
            </w:r>
          </w:p>
        </w:tc>
        <w:tc>
          <w:tcPr>
            <w:tcW w:w="956" w:type="dxa"/>
          </w:tcPr>
          <w:p w:rsidR="00890FBC" w:rsidRPr="00414A94" w:rsidRDefault="00890FBC" w:rsidP="00AC2417">
            <w:pPr>
              <w:jc w:val="center"/>
              <w:rPr>
                <w:lang w:val="pt-BR"/>
              </w:rPr>
            </w:pPr>
            <w:r w:rsidRPr="00414A94">
              <w:rPr>
                <w:lang w:val="pt-BR"/>
              </w:rPr>
              <w:t>4.7</w:t>
            </w:r>
          </w:p>
        </w:tc>
      </w:tr>
      <w:tr w:rsidR="00890FBC" w:rsidRPr="00414A94">
        <w:tc>
          <w:tcPr>
            <w:tcW w:w="1303" w:type="dxa"/>
          </w:tcPr>
          <w:p w:rsidR="00890FBC" w:rsidRPr="00414A94" w:rsidRDefault="00890FBC" w:rsidP="00AC2417">
            <w:pPr>
              <w:rPr>
                <w:lang w:val="pt-BR"/>
              </w:rPr>
            </w:pPr>
            <w:r w:rsidRPr="00414A94">
              <w:rPr>
                <w:lang w:val="pt-BR"/>
              </w:rPr>
              <w:t xml:space="preserve">6 </w:t>
            </w:r>
          </w:p>
        </w:tc>
        <w:tc>
          <w:tcPr>
            <w:tcW w:w="1266" w:type="dxa"/>
          </w:tcPr>
          <w:p w:rsidR="00890FBC" w:rsidRPr="00414A94" w:rsidRDefault="00890FBC" w:rsidP="00AC2417">
            <w:pPr>
              <w:jc w:val="center"/>
              <w:rPr>
                <w:lang w:val="pt-BR"/>
              </w:rPr>
            </w:pPr>
            <w:r w:rsidRPr="00414A94">
              <w:rPr>
                <w:lang w:val="pt-BR"/>
              </w:rPr>
              <w:t xml:space="preserve">  </w:t>
            </w:r>
            <w:r>
              <w:rPr>
                <w:lang w:val="pt-BR"/>
              </w:rPr>
              <w:t>95</w:t>
            </w:r>
            <w:r w:rsidRPr="00414A94">
              <w:rPr>
                <w:lang w:val="pt-BR"/>
              </w:rPr>
              <w:t xml:space="preserve"> a</w:t>
            </w:r>
          </w:p>
        </w:tc>
        <w:tc>
          <w:tcPr>
            <w:tcW w:w="1843" w:type="dxa"/>
          </w:tcPr>
          <w:p w:rsidR="00890FBC" w:rsidRPr="00414A94" w:rsidRDefault="003754B9" w:rsidP="00AC24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4.7 ± 0.5 c</w:t>
            </w:r>
          </w:p>
        </w:tc>
        <w:tc>
          <w:tcPr>
            <w:tcW w:w="1701" w:type="dxa"/>
          </w:tcPr>
          <w:p w:rsidR="00890FBC" w:rsidRPr="00414A94" w:rsidRDefault="00890FBC" w:rsidP="00AC24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1.6</w:t>
            </w:r>
            <w:r w:rsidRPr="00414A94">
              <w:rPr>
                <w:lang w:val="pt-BR"/>
              </w:rPr>
              <w:t xml:space="preserve"> ±</w:t>
            </w:r>
            <w:r>
              <w:rPr>
                <w:lang w:val="pt-BR"/>
              </w:rPr>
              <w:t xml:space="preserve"> 0.1</w:t>
            </w:r>
            <w:r w:rsidRPr="00414A94">
              <w:rPr>
                <w:lang w:val="pt-BR"/>
              </w:rPr>
              <w:t xml:space="preserve"> a</w:t>
            </w:r>
          </w:p>
        </w:tc>
        <w:tc>
          <w:tcPr>
            <w:tcW w:w="956" w:type="dxa"/>
          </w:tcPr>
          <w:p w:rsidR="00890FBC" w:rsidRPr="00414A94" w:rsidRDefault="00890FBC" w:rsidP="00AC2417">
            <w:pPr>
              <w:jc w:val="center"/>
              <w:rPr>
                <w:lang w:val="pt-BR"/>
              </w:rPr>
            </w:pPr>
            <w:r w:rsidRPr="00414A94">
              <w:rPr>
                <w:lang w:val="pt-BR"/>
              </w:rPr>
              <w:t>4.5</w:t>
            </w:r>
          </w:p>
        </w:tc>
      </w:tr>
      <w:tr w:rsidR="00890FBC" w:rsidRPr="00414A94">
        <w:tc>
          <w:tcPr>
            <w:tcW w:w="1303" w:type="dxa"/>
          </w:tcPr>
          <w:p w:rsidR="00890FBC" w:rsidRPr="00414A94" w:rsidRDefault="00890FBC" w:rsidP="00AC2417">
            <w:pPr>
              <w:rPr>
                <w:lang w:val="pt-BR"/>
              </w:rPr>
            </w:pPr>
            <w:r w:rsidRPr="00414A94">
              <w:rPr>
                <w:lang w:val="pt-BR"/>
              </w:rPr>
              <w:t xml:space="preserve">7 </w:t>
            </w:r>
          </w:p>
        </w:tc>
        <w:tc>
          <w:tcPr>
            <w:tcW w:w="1266" w:type="dxa"/>
          </w:tcPr>
          <w:p w:rsidR="00890FBC" w:rsidRPr="00414A94" w:rsidRDefault="00890FBC" w:rsidP="00AC2417">
            <w:pPr>
              <w:jc w:val="center"/>
              <w:rPr>
                <w:lang w:val="pt-BR"/>
              </w:rPr>
            </w:pPr>
            <w:r w:rsidRPr="00414A94">
              <w:rPr>
                <w:lang w:val="pt-BR"/>
              </w:rPr>
              <w:t xml:space="preserve">  </w:t>
            </w:r>
            <w:r>
              <w:rPr>
                <w:lang w:val="pt-BR"/>
              </w:rPr>
              <w:t>9</w:t>
            </w:r>
            <w:r w:rsidRPr="00414A94">
              <w:rPr>
                <w:lang w:val="pt-BR"/>
              </w:rPr>
              <w:t>7 a</w:t>
            </w:r>
          </w:p>
        </w:tc>
        <w:tc>
          <w:tcPr>
            <w:tcW w:w="1843" w:type="dxa"/>
          </w:tcPr>
          <w:p w:rsidR="00890FBC" w:rsidRPr="00414A94" w:rsidRDefault="003754B9" w:rsidP="00AC24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6.5 ± 0.5 b</w:t>
            </w:r>
          </w:p>
        </w:tc>
        <w:tc>
          <w:tcPr>
            <w:tcW w:w="1701" w:type="dxa"/>
          </w:tcPr>
          <w:p w:rsidR="00890FBC" w:rsidRPr="00414A94" w:rsidRDefault="00890FBC" w:rsidP="00AC24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1.1</w:t>
            </w:r>
            <w:r w:rsidRPr="00414A94">
              <w:rPr>
                <w:lang w:val="pt-BR"/>
              </w:rPr>
              <w:t xml:space="preserve"> ±</w:t>
            </w:r>
            <w:r>
              <w:rPr>
                <w:lang w:val="pt-BR"/>
              </w:rPr>
              <w:t xml:space="preserve"> 0.0</w:t>
            </w:r>
            <w:r w:rsidR="00A57288">
              <w:rPr>
                <w:lang w:val="pt-BR"/>
              </w:rPr>
              <w:t xml:space="preserve"> a</w:t>
            </w:r>
          </w:p>
        </w:tc>
        <w:tc>
          <w:tcPr>
            <w:tcW w:w="956" w:type="dxa"/>
          </w:tcPr>
          <w:p w:rsidR="00890FBC" w:rsidRPr="00414A94" w:rsidRDefault="00890FBC" w:rsidP="00AC2417">
            <w:pPr>
              <w:jc w:val="center"/>
              <w:rPr>
                <w:lang w:val="pt-BR"/>
              </w:rPr>
            </w:pPr>
            <w:r w:rsidRPr="00414A94">
              <w:rPr>
                <w:lang w:val="pt-BR"/>
              </w:rPr>
              <w:t>6.3</w:t>
            </w:r>
          </w:p>
        </w:tc>
      </w:tr>
      <w:tr w:rsidR="00890FBC" w:rsidRPr="00414A94">
        <w:tc>
          <w:tcPr>
            <w:tcW w:w="1303" w:type="dxa"/>
          </w:tcPr>
          <w:p w:rsidR="00890FBC" w:rsidRPr="00414A94" w:rsidRDefault="00890FBC" w:rsidP="00AC2417">
            <w:pPr>
              <w:rPr>
                <w:lang w:val="pt-BR"/>
              </w:rPr>
            </w:pPr>
            <w:r w:rsidRPr="00414A94">
              <w:rPr>
                <w:lang w:val="pt-BR"/>
              </w:rPr>
              <w:t xml:space="preserve">8 </w:t>
            </w:r>
          </w:p>
        </w:tc>
        <w:tc>
          <w:tcPr>
            <w:tcW w:w="1266" w:type="dxa"/>
          </w:tcPr>
          <w:p w:rsidR="00890FBC" w:rsidRPr="00414A94" w:rsidRDefault="00890FBC" w:rsidP="00AC2417">
            <w:pPr>
              <w:jc w:val="center"/>
              <w:rPr>
                <w:lang w:val="pt-BR"/>
              </w:rPr>
            </w:pPr>
            <w:r w:rsidRPr="00414A94">
              <w:rPr>
                <w:lang w:val="pt-BR"/>
              </w:rPr>
              <w:t xml:space="preserve">  </w:t>
            </w:r>
            <w:r w:rsidR="003754B9">
              <w:rPr>
                <w:lang w:val="pt-BR"/>
              </w:rPr>
              <w:t>92</w:t>
            </w:r>
            <w:r w:rsidRPr="00414A94">
              <w:rPr>
                <w:lang w:val="pt-BR"/>
              </w:rPr>
              <w:t xml:space="preserve"> a</w:t>
            </w:r>
          </w:p>
        </w:tc>
        <w:tc>
          <w:tcPr>
            <w:tcW w:w="1843" w:type="dxa"/>
          </w:tcPr>
          <w:p w:rsidR="00890FBC" w:rsidRPr="00414A94" w:rsidRDefault="00A57288" w:rsidP="00AC24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3754B9">
              <w:rPr>
                <w:lang w:val="pt-BR"/>
              </w:rPr>
              <w:t>5</w:t>
            </w:r>
            <w:r w:rsidR="00890FBC" w:rsidRPr="00414A94">
              <w:rPr>
                <w:lang w:val="pt-BR"/>
              </w:rPr>
              <w:t>.6 ± 0.4 b</w:t>
            </w:r>
            <w:r w:rsidR="003754B9">
              <w:rPr>
                <w:lang w:val="pt-BR"/>
              </w:rPr>
              <w:t>c</w:t>
            </w:r>
          </w:p>
        </w:tc>
        <w:tc>
          <w:tcPr>
            <w:tcW w:w="1701" w:type="dxa"/>
          </w:tcPr>
          <w:p w:rsidR="00890FBC" w:rsidRPr="00414A94" w:rsidRDefault="00890FBC" w:rsidP="00AC24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1.1</w:t>
            </w:r>
            <w:r w:rsidRPr="00414A94">
              <w:rPr>
                <w:lang w:val="pt-BR"/>
              </w:rPr>
              <w:t xml:space="preserve"> ±</w:t>
            </w:r>
            <w:r>
              <w:rPr>
                <w:lang w:val="pt-BR"/>
              </w:rPr>
              <w:t xml:space="preserve"> 0.0</w:t>
            </w:r>
            <w:r w:rsidR="00A57288">
              <w:rPr>
                <w:lang w:val="pt-BR"/>
              </w:rPr>
              <w:t xml:space="preserve"> a</w:t>
            </w:r>
          </w:p>
        </w:tc>
        <w:tc>
          <w:tcPr>
            <w:tcW w:w="956" w:type="dxa"/>
          </w:tcPr>
          <w:p w:rsidR="00890FBC" w:rsidRPr="00414A94" w:rsidRDefault="003754B9" w:rsidP="00AC24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5.2</w:t>
            </w:r>
          </w:p>
        </w:tc>
      </w:tr>
      <w:tr w:rsidR="00890FBC" w:rsidRPr="00414A94">
        <w:tc>
          <w:tcPr>
            <w:tcW w:w="1303" w:type="dxa"/>
          </w:tcPr>
          <w:p w:rsidR="00890FBC" w:rsidRPr="00414A94" w:rsidRDefault="00890FBC" w:rsidP="00AC2417">
            <w:pPr>
              <w:rPr>
                <w:lang w:val="pt-BR"/>
              </w:rPr>
            </w:pPr>
            <w:r w:rsidRPr="00414A94">
              <w:rPr>
                <w:lang w:val="pt-BR"/>
              </w:rPr>
              <w:t xml:space="preserve">9 </w:t>
            </w:r>
          </w:p>
        </w:tc>
        <w:tc>
          <w:tcPr>
            <w:tcW w:w="1266" w:type="dxa"/>
          </w:tcPr>
          <w:p w:rsidR="00890FBC" w:rsidRPr="00414A94" w:rsidRDefault="00890FBC" w:rsidP="00AC2417">
            <w:pPr>
              <w:jc w:val="center"/>
              <w:rPr>
                <w:lang w:val="pt-BR"/>
              </w:rPr>
            </w:pPr>
            <w:r w:rsidRPr="00414A94">
              <w:rPr>
                <w:lang w:val="pt-BR"/>
              </w:rPr>
              <w:t xml:space="preserve">  </w:t>
            </w:r>
            <w:r>
              <w:rPr>
                <w:lang w:val="pt-BR"/>
              </w:rPr>
              <w:t>95</w:t>
            </w:r>
            <w:r w:rsidRPr="00414A94">
              <w:rPr>
                <w:lang w:val="pt-BR"/>
              </w:rPr>
              <w:t xml:space="preserve"> a</w:t>
            </w:r>
          </w:p>
        </w:tc>
        <w:tc>
          <w:tcPr>
            <w:tcW w:w="1843" w:type="dxa"/>
          </w:tcPr>
          <w:p w:rsidR="00890FBC" w:rsidRPr="00414A94" w:rsidRDefault="00890FBC" w:rsidP="00AC2417">
            <w:pPr>
              <w:jc w:val="center"/>
              <w:rPr>
                <w:lang w:val="pt-BR"/>
              </w:rPr>
            </w:pPr>
            <w:r w:rsidRPr="00414A94">
              <w:rPr>
                <w:lang w:val="pt-BR"/>
              </w:rPr>
              <w:t xml:space="preserve"> </w:t>
            </w:r>
            <w:r w:rsidR="003754B9">
              <w:rPr>
                <w:lang w:val="pt-BR"/>
              </w:rPr>
              <w:t>7.7 ± 0.4 ab</w:t>
            </w:r>
          </w:p>
        </w:tc>
        <w:tc>
          <w:tcPr>
            <w:tcW w:w="1701" w:type="dxa"/>
          </w:tcPr>
          <w:p w:rsidR="00890FBC" w:rsidRPr="00414A94" w:rsidRDefault="00890FBC" w:rsidP="00AC24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1.2</w:t>
            </w:r>
            <w:r w:rsidRPr="00414A94">
              <w:rPr>
                <w:lang w:val="pt-BR"/>
              </w:rPr>
              <w:t xml:space="preserve"> ±</w:t>
            </w:r>
            <w:r>
              <w:rPr>
                <w:lang w:val="pt-BR"/>
              </w:rPr>
              <w:t xml:space="preserve"> 0.0</w:t>
            </w:r>
            <w:r w:rsidR="00A57288">
              <w:rPr>
                <w:lang w:val="pt-BR"/>
              </w:rPr>
              <w:t xml:space="preserve"> a</w:t>
            </w:r>
          </w:p>
        </w:tc>
        <w:tc>
          <w:tcPr>
            <w:tcW w:w="956" w:type="dxa"/>
          </w:tcPr>
          <w:p w:rsidR="00890FBC" w:rsidRPr="00414A94" w:rsidRDefault="003754B9" w:rsidP="00AC24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7.3</w:t>
            </w:r>
          </w:p>
        </w:tc>
      </w:tr>
      <w:tr w:rsidR="00890FBC">
        <w:tc>
          <w:tcPr>
            <w:tcW w:w="1303" w:type="dxa"/>
          </w:tcPr>
          <w:p w:rsidR="00890FBC" w:rsidRPr="00414A94" w:rsidRDefault="00890FBC" w:rsidP="00AC2417">
            <w:pPr>
              <w:rPr>
                <w:lang w:val="pt-BR"/>
              </w:rPr>
            </w:pPr>
            <w:r w:rsidRPr="00414A94">
              <w:rPr>
                <w:lang w:val="pt-BR"/>
              </w:rPr>
              <w:t xml:space="preserve">10 </w:t>
            </w:r>
          </w:p>
        </w:tc>
        <w:tc>
          <w:tcPr>
            <w:tcW w:w="1266" w:type="dxa"/>
          </w:tcPr>
          <w:p w:rsidR="00890FBC" w:rsidRPr="00414A94" w:rsidRDefault="00890FBC" w:rsidP="00AC2417">
            <w:pPr>
              <w:jc w:val="center"/>
              <w:rPr>
                <w:lang w:val="pt-BR"/>
              </w:rPr>
            </w:pPr>
            <w:r w:rsidRPr="00414A94">
              <w:rPr>
                <w:lang w:val="pt-BR"/>
              </w:rPr>
              <w:t xml:space="preserve">  </w:t>
            </w:r>
            <w:r>
              <w:rPr>
                <w:lang w:val="pt-BR"/>
              </w:rPr>
              <w:t>98</w:t>
            </w:r>
            <w:r w:rsidRPr="00414A94">
              <w:rPr>
                <w:lang w:val="pt-BR"/>
              </w:rPr>
              <w:t xml:space="preserve"> a</w:t>
            </w:r>
          </w:p>
        </w:tc>
        <w:tc>
          <w:tcPr>
            <w:tcW w:w="1843" w:type="dxa"/>
          </w:tcPr>
          <w:p w:rsidR="00890FBC" w:rsidRDefault="00A57288" w:rsidP="00A57288">
            <w:r>
              <w:rPr>
                <w:lang w:val="pt-BR"/>
              </w:rPr>
              <w:t xml:space="preserve">    </w:t>
            </w:r>
            <w:r w:rsidR="00890FBC" w:rsidRPr="00414A94">
              <w:rPr>
                <w:lang w:val="pt-BR"/>
              </w:rPr>
              <w:t>8</w:t>
            </w:r>
            <w:r w:rsidR="00890FBC">
              <w:rPr>
                <w:lang w:val="en-GB"/>
              </w:rPr>
              <w:t xml:space="preserve">.4 </w:t>
            </w:r>
            <w:r w:rsidR="00890FBC" w:rsidRPr="002931E8">
              <w:rPr>
                <w:lang w:val="en-GB"/>
              </w:rPr>
              <w:t>±</w:t>
            </w:r>
            <w:r w:rsidR="00890FBC">
              <w:rPr>
                <w:lang w:val="en-GB"/>
              </w:rPr>
              <w:t xml:space="preserve"> 0.5 </w:t>
            </w:r>
            <w:r w:rsidR="003754B9">
              <w:rPr>
                <w:lang w:val="en-GB"/>
              </w:rPr>
              <w:t>a</w:t>
            </w:r>
          </w:p>
        </w:tc>
        <w:tc>
          <w:tcPr>
            <w:tcW w:w="1701" w:type="dxa"/>
          </w:tcPr>
          <w:p w:rsidR="00890FBC" w:rsidRDefault="00890FBC" w:rsidP="00AC2417">
            <w:pPr>
              <w:jc w:val="center"/>
            </w:pPr>
            <w:r>
              <w:rPr>
                <w:lang w:val="en-GB"/>
              </w:rPr>
              <w:t xml:space="preserve">1.3 </w:t>
            </w:r>
            <w:r w:rsidRPr="002931E8">
              <w:rPr>
                <w:lang w:val="en-GB"/>
              </w:rPr>
              <w:t>±</w:t>
            </w:r>
            <w:r>
              <w:rPr>
                <w:lang w:val="en-GB"/>
              </w:rPr>
              <w:t xml:space="preserve"> 0.0 </w:t>
            </w:r>
            <w:r w:rsidR="00A57288">
              <w:rPr>
                <w:lang w:val="en-GB"/>
              </w:rPr>
              <w:t>a</w:t>
            </w:r>
          </w:p>
        </w:tc>
        <w:tc>
          <w:tcPr>
            <w:tcW w:w="956" w:type="dxa"/>
          </w:tcPr>
          <w:p w:rsidR="00890FBC" w:rsidRPr="00401718" w:rsidRDefault="003754B9" w:rsidP="00AC2417">
            <w:pPr>
              <w:jc w:val="center"/>
            </w:pPr>
            <w:r>
              <w:t>8.1</w:t>
            </w:r>
          </w:p>
        </w:tc>
      </w:tr>
      <w:tr w:rsidR="00890FBC">
        <w:tc>
          <w:tcPr>
            <w:tcW w:w="1303" w:type="dxa"/>
          </w:tcPr>
          <w:p w:rsidR="00890FBC" w:rsidRDefault="00890FBC" w:rsidP="00AC2417">
            <w:r>
              <w:t xml:space="preserve">11 </w:t>
            </w:r>
          </w:p>
        </w:tc>
        <w:tc>
          <w:tcPr>
            <w:tcW w:w="1266" w:type="dxa"/>
          </w:tcPr>
          <w:p w:rsidR="00890FBC" w:rsidRDefault="00890FBC" w:rsidP="00AC2417">
            <w:pPr>
              <w:jc w:val="center"/>
            </w:pPr>
            <w:r>
              <w:t xml:space="preserve">  98 a</w:t>
            </w:r>
          </w:p>
        </w:tc>
        <w:tc>
          <w:tcPr>
            <w:tcW w:w="1843" w:type="dxa"/>
          </w:tcPr>
          <w:p w:rsidR="00890FBC" w:rsidRDefault="00A57288" w:rsidP="00A57288">
            <w:r>
              <w:rPr>
                <w:lang w:val="en-GB"/>
              </w:rPr>
              <w:t xml:space="preserve">    </w:t>
            </w:r>
            <w:r w:rsidR="00890FBC">
              <w:rPr>
                <w:lang w:val="en-GB"/>
              </w:rPr>
              <w:t xml:space="preserve">7.4 </w:t>
            </w:r>
            <w:r w:rsidR="00890FBC" w:rsidRPr="002931E8">
              <w:rPr>
                <w:lang w:val="en-GB"/>
              </w:rPr>
              <w:t>±</w:t>
            </w:r>
            <w:r w:rsidR="00890FBC">
              <w:rPr>
                <w:lang w:val="en-GB"/>
              </w:rPr>
              <w:t xml:space="preserve"> 0.4 b</w:t>
            </w:r>
          </w:p>
        </w:tc>
        <w:tc>
          <w:tcPr>
            <w:tcW w:w="1701" w:type="dxa"/>
          </w:tcPr>
          <w:p w:rsidR="00890FBC" w:rsidRDefault="00890FBC" w:rsidP="00AC2417">
            <w:pPr>
              <w:jc w:val="center"/>
            </w:pPr>
            <w:r>
              <w:rPr>
                <w:lang w:val="en-GB"/>
              </w:rPr>
              <w:t xml:space="preserve">1.3 </w:t>
            </w:r>
            <w:r w:rsidRPr="002931E8">
              <w:rPr>
                <w:lang w:val="en-GB"/>
              </w:rPr>
              <w:t>±</w:t>
            </w:r>
            <w:r>
              <w:rPr>
                <w:lang w:val="en-GB"/>
              </w:rPr>
              <w:t xml:space="preserve"> 0.0 </w:t>
            </w:r>
            <w:r w:rsidR="00A57288">
              <w:rPr>
                <w:lang w:val="en-GB"/>
              </w:rPr>
              <w:t>a</w:t>
            </w:r>
          </w:p>
        </w:tc>
        <w:tc>
          <w:tcPr>
            <w:tcW w:w="956" w:type="dxa"/>
          </w:tcPr>
          <w:p w:rsidR="00890FBC" w:rsidRPr="00401718" w:rsidRDefault="00890FBC" w:rsidP="00AC2417">
            <w:pPr>
              <w:jc w:val="center"/>
            </w:pPr>
            <w:r w:rsidRPr="00401718">
              <w:t>7.3</w:t>
            </w:r>
          </w:p>
        </w:tc>
      </w:tr>
      <w:tr w:rsidR="00890FBC">
        <w:tc>
          <w:tcPr>
            <w:tcW w:w="1303" w:type="dxa"/>
          </w:tcPr>
          <w:p w:rsidR="00890FBC" w:rsidRDefault="00890FBC" w:rsidP="00AC2417">
            <w:r>
              <w:t xml:space="preserve">12 </w:t>
            </w:r>
          </w:p>
        </w:tc>
        <w:tc>
          <w:tcPr>
            <w:tcW w:w="1266" w:type="dxa"/>
          </w:tcPr>
          <w:p w:rsidR="00890FBC" w:rsidRDefault="00890FBC" w:rsidP="00AC2417">
            <w:pPr>
              <w:jc w:val="center"/>
            </w:pPr>
            <w:r>
              <w:t xml:space="preserve">  78 b</w:t>
            </w:r>
          </w:p>
        </w:tc>
        <w:tc>
          <w:tcPr>
            <w:tcW w:w="1843" w:type="dxa"/>
          </w:tcPr>
          <w:p w:rsidR="00890FBC" w:rsidRPr="002931E8" w:rsidRDefault="00890FBC" w:rsidP="00AC2417">
            <w:pPr>
              <w:rPr>
                <w:lang w:val="en-GB"/>
              </w:rPr>
            </w:pPr>
            <w:r>
              <w:rPr>
                <w:lang w:val="en-GB"/>
              </w:rPr>
              <w:t xml:space="preserve">    8.8 </w:t>
            </w:r>
            <w:r w:rsidRPr="002931E8">
              <w:rPr>
                <w:lang w:val="en-GB"/>
              </w:rPr>
              <w:t>±</w:t>
            </w:r>
            <w:r>
              <w:rPr>
                <w:lang w:val="en-GB"/>
              </w:rPr>
              <w:t xml:space="preserve"> 1.2 a</w:t>
            </w:r>
          </w:p>
        </w:tc>
        <w:tc>
          <w:tcPr>
            <w:tcW w:w="1701" w:type="dxa"/>
          </w:tcPr>
          <w:p w:rsidR="00890FBC" w:rsidRPr="002931E8" w:rsidRDefault="00890FBC" w:rsidP="00AC24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1.0 </w:t>
            </w:r>
            <w:r w:rsidRPr="002931E8">
              <w:rPr>
                <w:lang w:val="en-GB"/>
              </w:rPr>
              <w:t>±</w:t>
            </w:r>
            <w:r>
              <w:rPr>
                <w:lang w:val="en-GB"/>
              </w:rPr>
              <w:t xml:space="preserve"> 0.0 </w:t>
            </w:r>
            <w:r w:rsidR="00A57288">
              <w:rPr>
                <w:lang w:val="en-GB"/>
              </w:rPr>
              <w:t>a</w:t>
            </w:r>
          </w:p>
        </w:tc>
        <w:tc>
          <w:tcPr>
            <w:tcW w:w="956" w:type="dxa"/>
          </w:tcPr>
          <w:p w:rsidR="00890FBC" w:rsidRPr="00401718" w:rsidRDefault="00890FBC" w:rsidP="00AC2417">
            <w:pPr>
              <w:jc w:val="center"/>
            </w:pPr>
            <w:r w:rsidRPr="00401718">
              <w:t>6.9</w:t>
            </w:r>
          </w:p>
        </w:tc>
      </w:tr>
      <w:tr w:rsidR="00890FBC" w:rsidRPr="00414A94">
        <w:tc>
          <w:tcPr>
            <w:tcW w:w="1303" w:type="dxa"/>
          </w:tcPr>
          <w:p w:rsidR="00890FBC" w:rsidRDefault="00890FBC" w:rsidP="00AC2417">
            <w:r>
              <w:t xml:space="preserve">13 </w:t>
            </w:r>
          </w:p>
        </w:tc>
        <w:tc>
          <w:tcPr>
            <w:tcW w:w="1266" w:type="dxa"/>
          </w:tcPr>
          <w:p w:rsidR="00890FBC" w:rsidRPr="00414A94" w:rsidRDefault="00890FBC" w:rsidP="00AC2417">
            <w:pPr>
              <w:jc w:val="center"/>
              <w:rPr>
                <w:lang w:val="en-GB"/>
              </w:rPr>
            </w:pPr>
            <w:r>
              <w:t xml:space="preserve">    </w:t>
            </w:r>
            <w:r>
              <w:rPr>
                <w:lang w:val="en-GB"/>
              </w:rPr>
              <w:t>3</w:t>
            </w:r>
            <w:r w:rsidRPr="00414A94">
              <w:rPr>
                <w:lang w:val="en-GB"/>
              </w:rPr>
              <w:t xml:space="preserve"> c</w:t>
            </w:r>
          </w:p>
        </w:tc>
        <w:tc>
          <w:tcPr>
            <w:tcW w:w="1843" w:type="dxa"/>
          </w:tcPr>
          <w:p w:rsidR="00890FBC" w:rsidRPr="002931E8" w:rsidRDefault="00A57288" w:rsidP="00AC24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890FBC">
              <w:rPr>
                <w:lang w:val="en-GB"/>
              </w:rPr>
              <w:t xml:space="preserve">6.0 </w:t>
            </w:r>
            <w:r w:rsidR="00890FBC" w:rsidRPr="002931E8">
              <w:rPr>
                <w:lang w:val="en-GB"/>
              </w:rPr>
              <w:t>±</w:t>
            </w:r>
            <w:r w:rsidR="00890FBC">
              <w:rPr>
                <w:lang w:val="en-GB"/>
              </w:rPr>
              <w:t xml:space="preserve"> 2.0 </w:t>
            </w:r>
            <w:r>
              <w:rPr>
                <w:lang w:val="en-GB"/>
              </w:rPr>
              <w:t>bc</w:t>
            </w:r>
          </w:p>
        </w:tc>
        <w:tc>
          <w:tcPr>
            <w:tcW w:w="1701" w:type="dxa"/>
          </w:tcPr>
          <w:p w:rsidR="00890FBC" w:rsidRPr="002931E8" w:rsidRDefault="00890FBC" w:rsidP="00AC24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1.2 </w:t>
            </w:r>
            <w:r w:rsidRPr="002931E8">
              <w:rPr>
                <w:lang w:val="en-GB"/>
              </w:rPr>
              <w:t>±</w:t>
            </w:r>
            <w:r>
              <w:rPr>
                <w:lang w:val="en-GB"/>
              </w:rPr>
              <w:t xml:space="preserve"> 0.0 </w:t>
            </w:r>
            <w:r w:rsidR="00A57288">
              <w:rPr>
                <w:lang w:val="en-GB"/>
              </w:rPr>
              <w:t>a</w:t>
            </w:r>
          </w:p>
        </w:tc>
        <w:tc>
          <w:tcPr>
            <w:tcW w:w="956" w:type="dxa"/>
          </w:tcPr>
          <w:p w:rsidR="00890FBC" w:rsidRPr="00414A94" w:rsidRDefault="00890FBC" w:rsidP="00AC2417">
            <w:pPr>
              <w:jc w:val="center"/>
              <w:rPr>
                <w:lang w:val="en-GB"/>
              </w:rPr>
            </w:pPr>
            <w:r w:rsidRPr="00414A94">
              <w:rPr>
                <w:lang w:val="en-GB"/>
              </w:rPr>
              <w:t>0.2</w:t>
            </w:r>
          </w:p>
        </w:tc>
      </w:tr>
      <w:tr w:rsidR="00890FBC" w:rsidRPr="00414A94">
        <w:tc>
          <w:tcPr>
            <w:tcW w:w="1303" w:type="dxa"/>
          </w:tcPr>
          <w:p w:rsidR="00890FBC" w:rsidRPr="00414A94" w:rsidRDefault="00890FBC" w:rsidP="00AC2417">
            <w:pPr>
              <w:rPr>
                <w:lang w:val="en-GB"/>
              </w:rPr>
            </w:pPr>
          </w:p>
        </w:tc>
        <w:tc>
          <w:tcPr>
            <w:tcW w:w="1266" w:type="dxa"/>
          </w:tcPr>
          <w:p w:rsidR="00890FBC" w:rsidRPr="00414A94" w:rsidRDefault="00890FBC" w:rsidP="00AC2417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</w:tcPr>
          <w:p w:rsidR="00890FBC" w:rsidRPr="002931E8" w:rsidRDefault="00890FBC" w:rsidP="00AC2417">
            <w:pPr>
              <w:jc w:val="center"/>
              <w:rPr>
                <w:lang w:val="en-GB"/>
              </w:rPr>
            </w:pPr>
          </w:p>
        </w:tc>
        <w:tc>
          <w:tcPr>
            <w:tcW w:w="1701" w:type="dxa"/>
          </w:tcPr>
          <w:p w:rsidR="00890FBC" w:rsidRPr="002931E8" w:rsidRDefault="00890FBC" w:rsidP="00AC2417">
            <w:pPr>
              <w:jc w:val="center"/>
              <w:rPr>
                <w:lang w:val="en-GB"/>
              </w:rPr>
            </w:pPr>
          </w:p>
        </w:tc>
        <w:tc>
          <w:tcPr>
            <w:tcW w:w="956" w:type="dxa"/>
          </w:tcPr>
          <w:p w:rsidR="00890FBC" w:rsidRPr="00414A94" w:rsidRDefault="00890FBC" w:rsidP="00AC2417">
            <w:pPr>
              <w:jc w:val="center"/>
              <w:rPr>
                <w:lang w:val="en-GB"/>
              </w:rPr>
            </w:pPr>
          </w:p>
        </w:tc>
      </w:tr>
      <w:tr w:rsidR="00890FBC" w:rsidRPr="00414A94">
        <w:tc>
          <w:tcPr>
            <w:tcW w:w="1303" w:type="dxa"/>
          </w:tcPr>
          <w:p w:rsidR="00890FBC" w:rsidRPr="00414A94" w:rsidRDefault="00890FBC" w:rsidP="00AC2417">
            <w:pPr>
              <w:rPr>
                <w:lang w:val="en-GB"/>
              </w:rPr>
            </w:pPr>
            <w:r w:rsidRPr="00414A94">
              <w:rPr>
                <w:lang w:val="en-GB"/>
              </w:rPr>
              <w:t>Control</w:t>
            </w:r>
            <w:r w:rsidR="00A93348">
              <w:rPr>
                <w:vertAlign w:val="superscript"/>
                <w:lang w:val="en-GB"/>
              </w:rPr>
              <w:t>5</w:t>
            </w:r>
          </w:p>
        </w:tc>
        <w:tc>
          <w:tcPr>
            <w:tcW w:w="1266" w:type="dxa"/>
          </w:tcPr>
          <w:p w:rsidR="00890FBC" w:rsidRPr="00414A94" w:rsidRDefault="00890FBC" w:rsidP="00AC24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  <w:r w:rsidRPr="00414A94">
              <w:rPr>
                <w:lang w:val="en-GB"/>
              </w:rPr>
              <w:t>7</w:t>
            </w:r>
          </w:p>
        </w:tc>
        <w:tc>
          <w:tcPr>
            <w:tcW w:w="1843" w:type="dxa"/>
          </w:tcPr>
          <w:p w:rsidR="00890FBC" w:rsidRPr="002931E8" w:rsidRDefault="00890FBC" w:rsidP="00AC2417">
            <w:pPr>
              <w:rPr>
                <w:lang w:val="en-GB"/>
              </w:rPr>
            </w:pPr>
            <w:r>
              <w:rPr>
                <w:lang w:val="en-GB"/>
              </w:rPr>
              <w:t xml:space="preserve">     8.6 </w:t>
            </w:r>
            <w:r w:rsidRPr="00414A94">
              <w:rPr>
                <w:lang w:val="en-GB"/>
              </w:rPr>
              <w:t>± 0.9</w:t>
            </w:r>
          </w:p>
        </w:tc>
        <w:tc>
          <w:tcPr>
            <w:tcW w:w="1701" w:type="dxa"/>
          </w:tcPr>
          <w:p w:rsidR="00890FBC" w:rsidRPr="002931E8" w:rsidRDefault="00890FBC" w:rsidP="00AC2417">
            <w:pPr>
              <w:jc w:val="center"/>
              <w:rPr>
                <w:lang w:val="en-GB"/>
              </w:rPr>
            </w:pPr>
            <w:r w:rsidRPr="00414A94">
              <w:rPr>
                <w:lang w:val="en-GB"/>
              </w:rPr>
              <w:t>1.0 ± 0.0</w:t>
            </w:r>
          </w:p>
        </w:tc>
        <w:tc>
          <w:tcPr>
            <w:tcW w:w="956" w:type="dxa"/>
          </w:tcPr>
          <w:p w:rsidR="00890FBC" w:rsidRPr="00414A94" w:rsidRDefault="00890FBC" w:rsidP="00AC2417">
            <w:pPr>
              <w:jc w:val="center"/>
              <w:rPr>
                <w:sz w:val="8"/>
                <w:szCs w:val="8"/>
                <w:lang w:val="en-GB"/>
              </w:rPr>
            </w:pPr>
            <w:r w:rsidRPr="00414A94">
              <w:rPr>
                <w:lang w:val="en-GB"/>
              </w:rPr>
              <w:t>8.3</w:t>
            </w:r>
          </w:p>
        </w:tc>
      </w:tr>
    </w:tbl>
    <w:p w:rsidR="00890FBC" w:rsidRDefault="00890FBC" w:rsidP="00FE2899">
      <w:pPr>
        <w:autoSpaceDE w:val="0"/>
        <w:autoSpaceDN w:val="0"/>
        <w:adjustRightInd w:val="0"/>
        <w:spacing w:line="480" w:lineRule="auto"/>
        <w:ind w:left="-142" w:right="-144"/>
        <w:jc w:val="both"/>
        <w:rPr>
          <w:sz w:val="20"/>
          <w:szCs w:val="20"/>
          <w:vertAlign w:val="superscript"/>
          <w:lang w:val="en-US"/>
        </w:rPr>
      </w:pPr>
    </w:p>
    <w:p w:rsidR="00A93348" w:rsidRPr="004B2135" w:rsidRDefault="003754B9" w:rsidP="00FE2899">
      <w:pPr>
        <w:tabs>
          <w:tab w:val="left" w:pos="360"/>
        </w:tabs>
        <w:autoSpaceDE w:val="0"/>
        <w:autoSpaceDN w:val="0"/>
        <w:adjustRightInd w:val="0"/>
        <w:spacing w:line="480" w:lineRule="auto"/>
        <w:ind w:left="360" w:right="70" w:hanging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vertAlign w:val="superscript"/>
          <w:lang w:val="en-US"/>
        </w:rPr>
        <w:t xml:space="preserve"> </w:t>
      </w:r>
      <w:r w:rsidR="00A93348" w:rsidRPr="00DF7DD8">
        <w:rPr>
          <w:sz w:val="20"/>
          <w:szCs w:val="20"/>
          <w:vertAlign w:val="superscript"/>
          <w:lang w:val="en-US"/>
        </w:rPr>
        <w:t xml:space="preserve">(1) </w:t>
      </w:r>
      <w:r w:rsidRPr="00DF7DD8">
        <w:rPr>
          <w:sz w:val="20"/>
          <w:szCs w:val="20"/>
          <w:vertAlign w:val="superscript"/>
          <w:lang w:val="en-US"/>
        </w:rPr>
        <w:t xml:space="preserve">  </w:t>
      </w:r>
      <w:r w:rsidR="00A93348" w:rsidRPr="00DF7DD8">
        <w:rPr>
          <w:sz w:val="20"/>
          <w:szCs w:val="20"/>
          <w:lang w:val="en-US"/>
        </w:rPr>
        <w:t xml:space="preserve">Regrowth rate </w:t>
      </w:r>
      <w:r w:rsidRPr="00DF7DD8">
        <w:rPr>
          <w:sz w:val="20"/>
          <w:szCs w:val="20"/>
          <w:lang w:val="en-US"/>
        </w:rPr>
        <w:t>was calculated based on the total number of shoot tips re-introduced to standard culture   conditions.</w:t>
      </w:r>
    </w:p>
    <w:p w:rsidR="004B2135" w:rsidRPr="004B2135" w:rsidRDefault="003754B9" w:rsidP="00FE2899">
      <w:pPr>
        <w:tabs>
          <w:tab w:val="left" w:pos="180"/>
        </w:tabs>
        <w:autoSpaceDE w:val="0"/>
        <w:autoSpaceDN w:val="0"/>
        <w:adjustRightInd w:val="0"/>
        <w:spacing w:line="480" w:lineRule="auto"/>
        <w:ind w:right="70"/>
        <w:jc w:val="both"/>
        <w:rPr>
          <w:sz w:val="20"/>
          <w:szCs w:val="20"/>
          <w:lang w:val="en-US"/>
        </w:rPr>
      </w:pPr>
      <w:r>
        <w:rPr>
          <w:sz w:val="20"/>
          <w:szCs w:val="20"/>
          <w:vertAlign w:val="superscript"/>
          <w:lang w:val="en-US"/>
        </w:rPr>
        <w:t xml:space="preserve"> (2</w:t>
      </w:r>
      <w:r w:rsidR="004B2135" w:rsidRPr="008C482A">
        <w:rPr>
          <w:sz w:val="20"/>
          <w:szCs w:val="20"/>
          <w:vertAlign w:val="superscript"/>
          <w:lang w:val="en-US"/>
        </w:rPr>
        <w:t>)</w:t>
      </w:r>
      <w:r w:rsidR="00890FBC">
        <w:rPr>
          <w:sz w:val="20"/>
          <w:szCs w:val="20"/>
          <w:vertAlign w:val="superscript"/>
          <w:lang w:val="en-US"/>
        </w:rPr>
        <w:t xml:space="preserve"> </w:t>
      </w:r>
      <w:r w:rsidR="004B2135" w:rsidRPr="004B2135">
        <w:rPr>
          <w:sz w:val="20"/>
          <w:szCs w:val="20"/>
          <w:lang w:val="en-US"/>
        </w:rPr>
        <w:t>Percentage values statistically analysed by a non-parametric test, the Post Hoc Multiple</w:t>
      </w:r>
      <w:r w:rsidR="004B2135">
        <w:rPr>
          <w:sz w:val="20"/>
          <w:szCs w:val="20"/>
          <w:lang w:val="en-US"/>
        </w:rPr>
        <w:t xml:space="preserve"> </w:t>
      </w:r>
      <w:r w:rsidR="004B2135">
        <w:rPr>
          <w:sz w:val="20"/>
          <w:szCs w:val="20"/>
          <w:lang w:val="en-US"/>
        </w:rPr>
        <w:br/>
        <w:t xml:space="preserve">     </w:t>
      </w:r>
      <w:r w:rsidR="00890FBC">
        <w:rPr>
          <w:sz w:val="20"/>
          <w:szCs w:val="20"/>
          <w:lang w:val="en-US"/>
        </w:rPr>
        <w:t xml:space="preserve">  </w:t>
      </w:r>
      <w:r w:rsidR="004B2135" w:rsidRPr="004B2135">
        <w:rPr>
          <w:sz w:val="20"/>
          <w:szCs w:val="20"/>
          <w:lang w:val="en-US"/>
        </w:rPr>
        <w:t>Comparisons Test (Marascuilo and McSweeney 1977).</w:t>
      </w:r>
    </w:p>
    <w:p w:rsidR="004B2135" w:rsidRPr="004B2135" w:rsidRDefault="003754B9" w:rsidP="00FE2899">
      <w:pPr>
        <w:autoSpaceDE w:val="0"/>
        <w:autoSpaceDN w:val="0"/>
        <w:adjustRightInd w:val="0"/>
        <w:spacing w:line="480" w:lineRule="auto"/>
        <w:ind w:right="70"/>
        <w:jc w:val="both"/>
        <w:rPr>
          <w:sz w:val="20"/>
          <w:szCs w:val="20"/>
          <w:lang w:val="en-US"/>
        </w:rPr>
      </w:pPr>
      <w:r>
        <w:rPr>
          <w:sz w:val="20"/>
          <w:szCs w:val="20"/>
          <w:vertAlign w:val="superscript"/>
          <w:lang w:val="en-US"/>
        </w:rPr>
        <w:t>(3</w:t>
      </w:r>
      <w:r w:rsidR="004B2135" w:rsidRPr="008C482A">
        <w:rPr>
          <w:sz w:val="20"/>
          <w:szCs w:val="20"/>
          <w:vertAlign w:val="superscript"/>
          <w:lang w:val="en-US"/>
        </w:rPr>
        <w:t>)</w:t>
      </w:r>
      <w:r w:rsidR="004B2135" w:rsidRPr="004B2135">
        <w:rPr>
          <w:sz w:val="20"/>
          <w:szCs w:val="20"/>
          <w:lang w:val="en-US"/>
        </w:rPr>
        <w:t xml:space="preserve"> </w:t>
      </w:r>
      <w:r w:rsidR="00890FBC">
        <w:rPr>
          <w:sz w:val="20"/>
          <w:szCs w:val="20"/>
          <w:lang w:val="en-US"/>
        </w:rPr>
        <w:t xml:space="preserve">   </w:t>
      </w:r>
      <w:r w:rsidR="004B2135" w:rsidRPr="004B2135">
        <w:rPr>
          <w:sz w:val="20"/>
          <w:szCs w:val="20"/>
          <w:lang w:val="en-US"/>
        </w:rPr>
        <w:t>Statistical analysis performed by ANOVA, followed by LSD test at P</w:t>
      </w:r>
      <w:r w:rsidR="004B2135" w:rsidRPr="004B2135">
        <w:rPr>
          <w:rFonts w:eastAsia="TimesNewRoman"/>
          <w:sz w:val="20"/>
          <w:szCs w:val="20"/>
          <w:lang w:val="en-US"/>
        </w:rPr>
        <w:t>≤</w:t>
      </w:r>
      <w:r w:rsidR="004B2135" w:rsidRPr="004B2135">
        <w:rPr>
          <w:sz w:val="20"/>
          <w:szCs w:val="20"/>
          <w:lang w:val="en-US"/>
        </w:rPr>
        <w:t>0.05</w:t>
      </w:r>
      <w:r w:rsidR="00983E11">
        <w:rPr>
          <w:sz w:val="20"/>
          <w:szCs w:val="20"/>
          <w:lang w:val="en-US"/>
        </w:rPr>
        <w:t>; SE, standard error of means</w:t>
      </w:r>
      <w:r w:rsidR="004B2135" w:rsidRPr="004B2135">
        <w:rPr>
          <w:sz w:val="20"/>
          <w:szCs w:val="20"/>
          <w:lang w:val="en-US"/>
        </w:rPr>
        <w:t>.</w:t>
      </w:r>
    </w:p>
    <w:p w:rsidR="004B2135" w:rsidRDefault="003754B9" w:rsidP="00FE2899">
      <w:pPr>
        <w:autoSpaceDE w:val="0"/>
        <w:autoSpaceDN w:val="0"/>
        <w:adjustRightInd w:val="0"/>
        <w:spacing w:line="480" w:lineRule="auto"/>
        <w:ind w:right="70"/>
        <w:jc w:val="both"/>
        <w:rPr>
          <w:sz w:val="20"/>
          <w:szCs w:val="20"/>
          <w:lang w:val="en-US"/>
        </w:rPr>
      </w:pPr>
      <w:r>
        <w:rPr>
          <w:sz w:val="20"/>
          <w:szCs w:val="20"/>
          <w:vertAlign w:val="superscript"/>
          <w:lang w:val="en-US"/>
        </w:rPr>
        <w:t>(4</w:t>
      </w:r>
      <w:r w:rsidR="004B2135" w:rsidRPr="008C482A">
        <w:rPr>
          <w:sz w:val="20"/>
          <w:szCs w:val="20"/>
          <w:vertAlign w:val="superscript"/>
          <w:lang w:val="en-US"/>
        </w:rPr>
        <w:t>)</w:t>
      </w:r>
      <w:r w:rsidR="00890FBC">
        <w:rPr>
          <w:sz w:val="20"/>
          <w:szCs w:val="20"/>
          <w:vertAlign w:val="superscript"/>
          <w:lang w:val="en-US"/>
        </w:rPr>
        <w:t xml:space="preserve">      </w:t>
      </w:r>
      <w:r w:rsidR="004B2135" w:rsidRPr="004B2135">
        <w:rPr>
          <w:sz w:val="20"/>
          <w:szCs w:val="20"/>
          <w:lang w:val="en-US"/>
        </w:rPr>
        <w:t>SFC</w:t>
      </w:r>
      <w:r w:rsidR="00024F8F">
        <w:rPr>
          <w:sz w:val="20"/>
          <w:szCs w:val="20"/>
          <w:lang w:val="en-US"/>
        </w:rPr>
        <w:t xml:space="preserve"> index</w:t>
      </w:r>
      <w:r w:rsidR="004B2135" w:rsidRPr="004B2135">
        <w:rPr>
          <w:sz w:val="20"/>
          <w:szCs w:val="20"/>
          <w:lang w:val="en-US"/>
        </w:rPr>
        <w:t xml:space="preserve"> = </w:t>
      </w:r>
      <w:r w:rsidR="003E39C2">
        <w:rPr>
          <w:sz w:val="20"/>
          <w:szCs w:val="20"/>
          <w:lang w:val="en-US"/>
        </w:rPr>
        <w:t>(mean</w:t>
      </w:r>
      <w:r w:rsidR="004B2135" w:rsidRPr="004B2135">
        <w:rPr>
          <w:sz w:val="20"/>
          <w:szCs w:val="20"/>
          <w:lang w:val="en-US"/>
        </w:rPr>
        <w:t xml:space="preserve"> shoot</w:t>
      </w:r>
      <w:r w:rsidR="003E39C2">
        <w:rPr>
          <w:sz w:val="20"/>
          <w:szCs w:val="20"/>
          <w:lang w:val="en-US"/>
        </w:rPr>
        <w:t xml:space="preserve"> number</w:t>
      </w:r>
      <w:r w:rsidR="004B2135" w:rsidRPr="004B2135">
        <w:rPr>
          <w:sz w:val="20"/>
          <w:szCs w:val="20"/>
          <w:lang w:val="en-US"/>
        </w:rPr>
        <w:t xml:space="preserve"> per regenerating explant) x (</w:t>
      </w:r>
      <w:r w:rsidR="00024F8F">
        <w:rPr>
          <w:sz w:val="20"/>
          <w:szCs w:val="20"/>
          <w:lang w:val="en-US"/>
        </w:rPr>
        <w:t>regrowth rate</w:t>
      </w:r>
      <w:r w:rsidR="004B2135" w:rsidRPr="004B2135">
        <w:rPr>
          <w:sz w:val="20"/>
          <w:szCs w:val="20"/>
          <w:lang w:val="en-US"/>
        </w:rPr>
        <w:t>) / 100</w:t>
      </w:r>
    </w:p>
    <w:p w:rsidR="008C482A" w:rsidRPr="008C482A" w:rsidRDefault="003754B9" w:rsidP="00FE2899">
      <w:pPr>
        <w:autoSpaceDE w:val="0"/>
        <w:autoSpaceDN w:val="0"/>
        <w:adjustRightInd w:val="0"/>
        <w:spacing w:line="480" w:lineRule="auto"/>
        <w:ind w:right="70"/>
        <w:jc w:val="both"/>
        <w:rPr>
          <w:sz w:val="20"/>
          <w:szCs w:val="20"/>
          <w:lang w:val="en-US"/>
        </w:rPr>
      </w:pPr>
      <w:r>
        <w:rPr>
          <w:sz w:val="20"/>
          <w:szCs w:val="20"/>
          <w:vertAlign w:val="superscript"/>
          <w:lang w:val="en-US"/>
        </w:rPr>
        <w:t>(5</w:t>
      </w:r>
      <w:r w:rsidR="008C482A" w:rsidRPr="008C482A">
        <w:rPr>
          <w:sz w:val="20"/>
          <w:szCs w:val="20"/>
          <w:vertAlign w:val="superscript"/>
          <w:lang w:val="en-US"/>
        </w:rPr>
        <w:t>)</w:t>
      </w:r>
      <w:r w:rsidR="008C482A" w:rsidRPr="008C482A">
        <w:rPr>
          <w:sz w:val="20"/>
          <w:szCs w:val="20"/>
          <w:lang w:val="en-US"/>
        </w:rPr>
        <w:t xml:space="preserve"> </w:t>
      </w:r>
      <w:r w:rsidR="008C482A" w:rsidRPr="008C482A">
        <w:rPr>
          <w:i/>
          <w:sz w:val="20"/>
          <w:szCs w:val="20"/>
          <w:lang w:val="en-US"/>
        </w:rPr>
        <w:t>In vitro</w:t>
      </w:r>
      <w:r w:rsidR="008C482A" w:rsidRPr="008C482A">
        <w:rPr>
          <w:sz w:val="20"/>
          <w:szCs w:val="20"/>
          <w:lang w:val="en-US"/>
        </w:rPr>
        <w:t xml:space="preserve"> plant regeneration from </w:t>
      </w:r>
      <w:r w:rsidR="008C482A" w:rsidRPr="008C482A">
        <w:rPr>
          <w:i/>
          <w:sz w:val="20"/>
          <w:szCs w:val="20"/>
          <w:lang w:val="en-US"/>
        </w:rPr>
        <w:t>T. vulgaris</w:t>
      </w:r>
      <w:r w:rsidR="008C482A" w:rsidRPr="008C482A">
        <w:rPr>
          <w:sz w:val="20"/>
          <w:szCs w:val="20"/>
          <w:lang w:val="en-US"/>
        </w:rPr>
        <w:t xml:space="preserve"> shoot tips </w:t>
      </w:r>
      <w:r w:rsidR="00D658A9">
        <w:rPr>
          <w:sz w:val="20"/>
          <w:szCs w:val="20"/>
          <w:lang w:val="en-US"/>
        </w:rPr>
        <w:t>at</w:t>
      </w:r>
      <w:r w:rsidR="008C482A" w:rsidRPr="008C482A">
        <w:rPr>
          <w:sz w:val="20"/>
          <w:szCs w:val="20"/>
          <w:lang w:val="en-US"/>
        </w:rPr>
        <w:t xml:space="preserve"> standard culture conditions (i.e., </w:t>
      </w:r>
      <w:r w:rsidR="008C482A">
        <w:rPr>
          <w:sz w:val="20"/>
          <w:szCs w:val="20"/>
          <w:lang w:val="en-US"/>
        </w:rPr>
        <w:t xml:space="preserve"> </w:t>
      </w:r>
      <w:r w:rsidR="008C482A">
        <w:rPr>
          <w:sz w:val="20"/>
          <w:szCs w:val="20"/>
          <w:lang w:val="en-US"/>
        </w:rPr>
        <w:br/>
        <w:t xml:space="preserve">    </w:t>
      </w:r>
      <w:r w:rsidR="00890FBC">
        <w:rPr>
          <w:sz w:val="20"/>
          <w:szCs w:val="20"/>
          <w:lang w:val="en-US"/>
        </w:rPr>
        <w:t xml:space="preserve"> </w:t>
      </w:r>
      <w:r w:rsidR="008C482A">
        <w:rPr>
          <w:sz w:val="20"/>
          <w:szCs w:val="20"/>
          <w:lang w:val="en-US"/>
        </w:rPr>
        <w:t xml:space="preserve"> 23±2°C, 16h photoperiod)</w:t>
      </w:r>
    </w:p>
    <w:p w:rsidR="004B2135" w:rsidRDefault="004B2135" w:rsidP="00AC2417">
      <w:pPr>
        <w:spacing w:line="480" w:lineRule="auto"/>
        <w:jc w:val="both"/>
        <w:rPr>
          <w:b/>
          <w:lang w:val="en-GB"/>
        </w:rPr>
      </w:pPr>
    </w:p>
    <w:p w:rsidR="004B2135" w:rsidRDefault="004B2135" w:rsidP="00AC2417">
      <w:pPr>
        <w:spacing w:line="480" w:lineRule="auto"/>
        <w:jc w:val="both"/>
        <w:rPr>
          <w:lang w:val="en-GB"/>
        </w:rPr>
      </w:pPr>
    </w:p>
    <w:p w:rsidR="003D3CCC" w:rsidRPr="003D3CCC" w:rsidRDefault="00024F8F" w:rsidP="00AC2417">
      <w:pPr>
        <w:autoSpaceDE w:val="0"/>
        <w:autoSpaceDN w:val="0"/>
        <w:adjustRightInd w:val="0"/>
        <w:spacing w:line="480" w:lineRule="auto"/>
        <w:ind w:right="-144"/>
        <w:jc w:val="both"/>
        <w:rPr>
          <w:b/>
          <w:lang w:val="en-GB"/>
        </w:rPr>
      </w:pPr>
      <w:r>
        <w:rPr>
          <w:i/>
          <w:lang w:val="en-US"/>
        </w:rPr>
        <w:br w:type="page"/>
      </w:r>
      <w:r w:rsidR="003A1B0D">
        <w:rPr>
          <w:b/>
          <w:lang w:val="en-GB"/>
        </w:rPr>
        <w:lastRenderedPageBreak/>
        <w:t>LEGENDS TO F</w:t>
      </w:r>
      <w:r w:rsidR="003A1B0D" w:rsidRPr="003D3CCC">
        <w:rPr>
          <w:b/>
          <w:lang w:val="en-GB"/>
        </w:rPr>
        <w:t>IGURES</w:t>
      </w:r>
    </w:p>
    <w:p w:rsidR="003D3CCC" w:rsidRDefault="003D3CCC" w:rsidP="00AC2417">
      <w:pPr>
        <w:spacing w:line="480" w:lineRule="auto"/>
        <w:jc w:val="both"/>
        <w:rPr>
          <w:lang w:val="en-GB"/>
        </w:rPr>
      </w:pPr>
    </w:p>
    <w:p w:rsidR="003D3CCC" w:rsidRDefault="003D3CCC" w:rsidP="00AC2417">
      <w:pPr>
        <w:spacing w:line="480" w:lineRule="auto"/>
        <w:jc w:val="both"/>
        <w:rPr>
          <w:lang w:val="en-GB"/>
        </w:rPr>
      </w:pPr>
      <w:r w:rsidRPr="003A1B0D">
        <w:rPr>
          <w:b/>
          <w:lang w:val="en-GB"/>
        </w:rPr>
        <w:t>Figure 1.</w:t>
      </w:r>
      <w:r>
        <w:rPr>
          <w:lang w:val="en-GB"/>
        </w:rPr>
        <w:t xml:space="preserve"> </w:t>
      </w:r>
      <w:r w:rsidR="002B5C6D" w:rsidRPr="002B5C6D">
        <w:rPr>
          <w:i/>
          <w:lang w:val="en-GB"/>
        </w:rPr>
        <w:t>In vitro</w:t>
      </w:r>
      <w:r w:rsidR="002B5C6D">
        <w:rPr>
          <w:lang w:val="en-GB"/>
        </w:rPr>
        <w:t xml:space="preserve"> shoot cultures of </w:t>
      </w:r>
      <w:r w:rsidR="002B5C6D" w:rsidRPr="002B5C6D">
        <w:rPr>
          <w:i/>
          <w:lang w:val="en-GB"/>
        </w:rPr>
        <w:t>T. vulgaris</w:t>
      </w:r>
      <w:r w:rsidR="002B5C6D">
        <w:rPr>
          <w:lang w:val="en-GB"/>
        </w:rPr>
        <w:t xml:space="preserve"> </w:t>
      </w:r>
      <w:r w:rsidR="00024F8F">
        <w:rPr>
          <w:lang w:val="en-GB"/>
        </w:rPr>
        <w:t>after</w:t>
      </w:r>
      <w:r w:rsidR="002B5C6D">
        <w:rPr>
          <w:lang w:val="en-GB"/>
        </w:rPr>
        <w:t xml:space="preserve"> (A) 1 month (bar, </w:t>
      </w:r>
      <w:r w:rsidR="004F15EE" w:rsidRPr="004F15EE">
        <w:rPr>
          <w:lang w:val="en-GB"/>
        </w:rPr>
        <w:t>1.75 c</w:t>
      </w:r>
      <w:r w:rsidR="002B5C6D" w:rsidRPr="004F15EE">
        <w:rPr>
          <w:lang w:val="en-GB"/>
        </w:rPr>
        <w:t xml:space="preserve">m), (B) 5 months (bar, </w:t>
      </w:r>
      <w:r w:rsidR="004F15EE" w:rsidRPr="004F15EE">
        <w:rPr>
          <w:lang w:val="en-GB"/>
        </w:rPr>
        <w:t>1.35</w:t>
      </w:r>
      <w:r w:rsidR="002B5C6D" w:rsidRPr="004F15EE">
        <w:rPr>
          <w:lang w:val="en-GB"/>
        </w:rPr>
        <w:t xml:space="preserve"> cm), (C) 11 months (bar, </w:t>
      </w:r>
      <w:r w:rsidR="004F15EE" w:rsidRPr="004F15EE">
        <w:rPr>
          <w:lang w:val="en-GB"/>
        </w:rPr>
        <w:t>1.20</w:t>
      </w:r>
      <w:r w:rsidR="002B5C6D" w:rsidRPr="004F15EE">
        <w:rPr>
          <w:lang w:val="en-GB"/>
        </w:rPr>
        <w:t xml:space="preserve"> cm), and (D) 13</w:t>
      </w:r>
      <w:r w:rsidR="002B5C6D">
        <w:rPr>
          <w:lang w:val="en-GB"/>
        </w:rPr>
        <w:t xml:space="preserve"> months of storage at 4°C, in darkness (bar, </w:t>
      </w:r>
      <w:r w:rsidR="004F15EE">
        <w:rPr>
          <w:lang w:val="en-GB"/>
        </w:rPr>
        <w:t>1.25</w:t>
      </w:r>
      <w:r w:rsidR="002B5C6D">
        <w:rPr>
          <w:lang w:val="en-GB"/>
        </w:rPr>
        <w:t xml:space="preserve"> cm). </w:t>
      </w:r>
    </w:p>
    <w:p w:rsidR="002B5C6D" w:rsidRDefault="002B5C6D" w:rsidP="00AC2417">
      <w:pPr>
        <w:spacing w:line="480" w:lineRule="auto"/>
        <w:jc w:val="both"/>
        <w:rPr>
          <w:lang w:val="en-GB"/>
        </w:rPr>
      </w:pPr>
    </w:p>
    <w:p w:rsidR="002B5C6D" w:rsidRDefault="002B5C6D" w:rsidP="00AC2417">
      <w:pPr>
        <w:spacing w:line="480" w:lineRule="auto"/>
        <w:jc w:val="both"/>
        <w:rPr>
          <w:lang w:val="en-GB"/>
        </w:rPr>
      </w:pPr>
      <w:r w:rsidRPr="003A1B0D">
        <w:rPr>
          <w:b/>
          <w:lang w:val="en-GB"/>
        </w:rPr>
        <w:t>Figure 2.</w:t>
      </w:r>
      <w:r>
        <w:rPr>
          <w:lang w:val="en-GB"/>
        </w:rPr>
        <w:t xml:space="preserve"> Regrowth of shoot tips, excised from </w:t>
      </w:r>
      <w:r w:rsidRPr="002B5C6D">
        <w:rPr>
          <w:i/>
          <w:lang w:val="en-GB"/>
        </w:rPr>
        <w:t>in vitro</w:t>
      </w:r>
      <w:r>
        <w:rPr>
          <w:lang w:val="en-GB"/>
        </w:rPr>
        <w:t xml:space="preserve"> shoot cultures of </w:t>
      </w:r>
      <w:r w:rsidRPr="002B5C6D">
        <w:rPr>
          <w:i/>
          <w:lang w:val="en-GB"/>
        </w:rPr>
        <w:t xml:space="preserve">T. </w:t>
      </w:r>
      <w:r w:rsidRPr="001232BA">
        <w:rPr>
          <w:i/>
          <w:lang w:val="en-GB"/>
        </w:rPr>
        <w:t>vulgaris</w:t>
      </w:r>
      <w:r w:rsidRPr="001232BA">
        <w:rPr>
          <w:lang w:val="en-GB"/>
        </w:rPr>
        <w:t xml:space="preserve"> L., maintained at cold storage conditions for (A) 11 months (bar, </w:t>
      </w:r>
      <w:r w:rsidR="001232BA" w:rsidRPr="001232BA">
        <w:rPr>
          <w:lang w:val="en-GB"/>
        </w:rPr>
        <w:t xml:space="preserve">1.35 </w:t>
      </w:r>
      <w:r w:rsidRPr="001232BA">
        <w:rPr>
          <w:lang w:val="en-GB"/>
        </w:rPr>
        <w:t xml:space="preserve">cm), (B) 12 months (bar, </w:t>
      </w:r>
      <w:r w:rsidR="001232BA" w:rsidRPr="001232BA">
        <w:rPr>
          <w:lang w:val="en-GB"/>
        </w:rPr>
        <w:t>1.35</w:t>
      </w:r>
      <w:r w:rsidRPr="001232BA">
        <w:rPr>
          <w:lang w:val="en-GB"/>
        </w:rPr>
        <w:t xml:space="preserve"> cm), and (C) 13 months (bar, </w:t>
      </w:r>
      <w:r w:rsidR="001232BA" w:rsidRPr="001232BA">
        <w:rPr>
          <w:lang w:val="en-GB"/>
        </w:rPr>
        <w:t>1.05</w:t>
      </w:r>
      <w:r w:rsidRPr="001232BA">
        <w:rPr>
          <w:lang w:val="en-GB"/>
        </w:rPr>
        <w:t xml:space="preserve"> cm).</w:t>
      </w:r>
      <w:r>
        <w:rPr>
          <w:lang w:val="en-GB"/>
        </w:rPr>
        <w:t xml:space="preserve">  </w:t>
      </w:r>
    </w:p>
    <w:p w:rsidR="002B5C6D" w:rsidRDefault="002B5C6D" w:rsidP="00AC2417">
      <w:pPr>
        <w:spacing w:line="480" w:lineRule="auto"/>
        <w:jc w:val="both"/>
        <w:rPr>
          <w:lang w:val="en-GB"/>
        </w:rPr>
      </w:pPr>
    </w:p>
    <w:p w:rsidR="003D3CCC" w:rsidRDefault="003D3CCC" w:rsidP="00AC2417">
      <w:pPr>
        <w:spacing w:line="480" w:lineRule="auto"/>
        <w:jc w:val="both"/>
        <w:rPr>
          <w:lang w:val="en-GB"/>
        </w:rPr>
      </w:pPr>
    </w:p>
    <w:p w:rsidR="003D3CCC" w:rsidRDefault="003D3CCC" w:rsidP="00AC2417">
      <w:pPr>
        <w:spacing w:line="480" w:lineRule="auto"/>
        <w:jc w:val="both"/>
        <w:rPr>
          <w:lang w:val="en-GB"/>
        </w:rPr>
      </w:pPr>
    </w:p>
    <w:p w:rsidR="003D3CCC" w:rsidRDefault="003D3CCC" w:rsidP="00AC2417">
      <w:pPr>
        <w:spacing w:line="480" w:lineRule="auto"/>
        <w:jc w:val="both"/>
        <w:rPr>
          <w:lang w:val="en-GB"/>
        </w:rPr>
      </w:pPr>
    </w:p>
    <w:p w:rsidR="003D3CCC" w:rsidRDefault="003D3CCC" w:rsidP="00AC2417">
      <w:pPr>
        <w:spacing w:line="480" w:lineRule="auto"/>
        <w:jc w:val="both"/>
        <w:rPr>
          <w:lang w:val="en-GB"/>
        </w:rPr>
      </w:pPr>
    </w:p>
    <w:p w:rsidR="003D3CCC" w:rsidRDefault="003D3CCC" w:rsidP="00AC2417">
      <w:pPr>
        <w:spacing w:line="480" w:lineRule="auto"/>
        <w:jc w:val="both"/>
        <w:rPr>
          <w:lang w:val="en-GB"/>
        </w:rPr>
      </w:pPr>
    </w:p>
    <w:p w:rsidR="003D3CCC" w:rsidRDefault="003D3CCC" w:rsidP="00AC2417">
      <w:pPr>
        <w:spacing w:line="480" w:lineRule="auto"/>
        <w:jc w:val="both"/>
        <w:rPr>
          <w:lang w:val="en-GB"/>
        </w:rPr>
      </w:pPr>
    </w:p>
    <w:p w:rsidR="003D3CCC" w:rsidRDefault="003D3CCC" w:rsidP="00AC2417">
      <w:pPr>
        <w:spacing w:line="480" w:lineRule="auto"/>
        <w:jc w:val="both"/>
        <w:rPr>
          <w:lang w:val="en-GB"/>
        </w:rPr>
      </w:pPr>
    </w:p>
    <w:p w:rsidR="003D3CCC" w:rsidRDefault="003D3CCC" w:rsidP="00AC2417">
      <w:pPr>
        <w:spacing w:line="480" w:lineRule="auto"/>
        <w:jc w:val="both"/>
        <w:rPr>
          <w:lang w:val="en-GB"/>
        </w:rPr>
      </w:pPr>
    </w:p>
    <w:p w:rsidR="003D3CCC" w:rsidRDefault="003D3CCC" w:rsidP="00AC2417">
      <w:pPr>
        <w:spacing w:line="480" w:lineRule="auto"/>
        <w:jc w:val="both"/>
        <w:rPr>
          <w:lang w:val="en-GB"/>
        </w:rPr>
      </w:pPr>
    </w:p>
    <w:p w:rsidR="003D3CCC" w:rsidRDefault="003D3CCC" w:rsidP="00AC2417">
      <w:pPr>
        <w:spacing w:line="480" w:lineRule="auto"/>
        <w:jc w:val="both"/>
        <w:rPr>
          <w:lang w:val="en-GB"/>
        </w:rPr>
      </w:pPr>
    </w:p>
    <w:p w:rsidR="003D3CCC" w:rsidRDefault="003D3CCC" w:rsidP="00AC2417">
      <w:pPr>
        <w:spacing w:line="480" w:lineRule="auto"/>
        <w:jc w:val="both"/>
        <w:rPr>
          <w:lang w:val="en-GB"/>
        </w:rPr>
      </w:pPr>
    </w:p>
    <w:p w:rsidR="003D3CCC" w:rsidRDefault="003D3CCC" w:rsidP="00AC2417">
      <w:pPr>
        <w:spacing w:line="480" w:lineRule="auto"/>
        <w:jc w:val="both"/>
        <w:rPr>
          <w:lang w:val="en-GB"/>
        </w:rPr>
      </w:pPr>
    </w:p>
    <w:p w:rsidR="003D3CCC" w:rsidRDefault="003D3CCC" w:rsidP="00AC2417">
      <w:pPr>
        <w:spacing w:line="480" w:lineRule="auto"/>
        <w:jc w:val="both"/>
        <w:rPr>
          <w:lang w:val="en-GB"/>
        </w:rPr>
      </w:pPr>
    </w:p>
    <w:p w:rsidR="003D3CCC" w:rsidRDefault="003D3CCC" w:rsidP="00AC2417">
      <w:pPr>
        <w:spacing w:line="480" w:lineRule="auto"/>
        <w:jc w:val="both"/>
        <w:rPr>
          <w:lang w:val="en-GB"/>
        </w:rPr>
      </w:pPr>
    </w:p>
    <w:p w:rsidR="00C71EE4" w:rsidRDefault="00C71EE4" w:rsidP="00AC2417">
      <w:pPr>
        <w:spacing w:line="480" w:lineRule="auto"/>
        <w:jc w:val="both"/>
        <w:rPr>
          <w:b/>
          <w:lang w:val="en-GB"/>
        </w:rPr>
      </w:pPr>
    </w:p>
    <w:sectPr w:rsidR="00C71EE4" w:rsidSect="00C71EE4">
      <w:footerReference w:type="even" r:id="rId9"/>
      <w:footerReference w:type="default" r:id="rId10"/>
      <w:pgSz w:w="11906" w:h="16838" w:code="9"/>
      <w:pgMar w:top="1418" w:right="1418" w:bottom="1418" w:left="1418" w:header="709" w:footer="709" w:gutter="0"/>
      <w:lnNumType w:countBy="1" w:restart="continuous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15D4" w:rsidRDefault="008715D4">
      <w:r>
        <w:separator/>
      </w:r>
    </w:p>
  </w:endnote>
  <w:endnote w:type="continuationSeparator" w:id="0">
    <w:p w:rsidR="008715D4" w:rsidRDefault="008715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dvGulliv-R">
    <w:altName w:val="Arial Unicode MS"/>
    <w:panose1 w:val="00000000000000000000"/>
    <w:charset w:val="80"/>
    <w:family w:val="auto"/>
    <w:notTrueType/>
    <w:pitch w:val="default"/>
    <w:sig w:usb0="00000005" w:usb1="08070000" w:usb2="00000010" w:usb3="00000000" w:csb0="00020002" w:csb1="00000000"/>
  </w:font>
  <w:font w:name="AdvPS7014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S7018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S7DA6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181" w:rsidRDefault="000E7181" w:rsidP="002D78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E7181" w:rsidRDefault="000E7181" w:rsidP="002D78C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181" w:rsidRDefault="000E7181" w:rsidP="002D78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5F7A">
      <w:rPr>
        <w:rStyle w:val="PageNumber"/>
        <w:noProof/>
      </w:rPr>
      <w:t>1</w:t>
    </w:r>
    <w:r>
      <w:rPr>
        <w:rStyle w:val="PageNumber"/>
      </w:rPr>
      <w:fldChar w:fldCharType="end"/>
    </w:r>
  </w:p>
  <w:p w:rsidR="000E7181" w:rsidRDefault="000E7181" w:rsidP="002D78C9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15D4" w:rsidRDefault="008715D4">
      <w:r>
        <w:separator/>
      </w:r>
    </w:p>
  </w:footnote>
  <w:footnote w:type="continuationSeparator" w:id="0">
    <w:p w:rsidR="008715D4" w:rsidRDefault="008715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C41A2"/>
    <w:multiLevelType w:val="hybridMultilevel"/>
    <w:tmpl w:val="25EE9B34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1080FB4"/>
    <w:multiLevelType w:val="hybridMultilevel"/>
    <w:tmpl w:val="83C8F4E6"/>
    <w:lvl w:ilvl="0" w:tplc="E5B01D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9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4231"/>
    <w:rsid w:val="000069C6"/>
    <w:rsid w:val="00006F6A"/>
    <w:rsid w:val="00007A21"/>
    <w:rsid w:val="00007FD7"/>
    <w:rsid w:val="00024F8F"/>
    <w:rsid w:val="000340D7"/>
    <w:rsid w:val="0004176B"/>
    <w:rsid w:val="00047E9C"/>
    <w:rsid w:val="0006536D"/>
    <w:rsid w:val="00075BCE"/>
    <w:rsid w:val="00075BFE"/>
    <w:rsid w:val="0009162C"/>
    <w:rsid w:val="000A7FB7"/>
    <w:rsid w:val="000B5253"/>
    <w:rsid w:val="000C0D93"/>
    <w:rsid w:val="000C614F"/>
    <w:rsid w:val="000D1AF3"/>
    <w:rsid w:val="000E101B"/>
    <w:rsid w:val="000E256E"/>
    <w:rsid w:val="000E3E38"/>
    <w:rsid w:val="000E7181"/>
    <w:rsid w:val="000F18B5"/>
    <w:rsid w:val="000F41C1"/>
    <w:rsid w:val="00101028"/>
    <w:rsid w:val="00113763"/>
    <w:rsid w:val="001232BA"/>
    <w:rsid w:val="0012727B"/>
    <w:rsid w:val="00136F36"/>
    <w:rsid w:val="00154391"/>
    <w:rsid w:val="00155CC9"/>
    <w:rsid w:val="00171AD5"/>
    <w:rsid w:val="0017383A"/>
    <w:rsid w:val="0018170A"/>
    <w:rsid w:val="001A24D4"/>
    <w:rsid w:val="001A2548"/>
    <w:rsid w:val="001A2D15"/>
    <w:rsid w:val="001B0BC6"/>
    <w:rsid w:val="001B0CAF"/>
    <w:rsid w:val="001B257C"/>
    <w:rsid w:val="001C591C"/>
    <w:rsid w:val="001C75B5"/>
    <w:rsid w:val="001E7837"/>
    <w:rsid w:val="001F28F7"/>
    <w:rsid w:val="00202E5E"/>
    <w:rsid w:val="00212621"/>
    <w:rsid w:val="00212680"/>
    <w:rsid w:val="00221086"/>
    <w:rsid w:val="00222800"/>
    <w:rsid w:val="00236CA9"/>
    <w:rsid w:val="0024195D"/>
    <w:rsid w:val="0025293B"/>
    <w:rsid w:val="00262834"/>
    <w:rsid w:val="00281531"/>
    <w:rsid w:val="00295F7A"/>
    <w:rsid w:val="002A07D3"/>
    <w:rsid w:val="002A2901"/>
    <w:rsid w:val="002A3885"/>
    <w:rsid w:val="002B303A"/>
    <w:rsid w:val="002B41A7"/>
    <w:rsid w:val="002B5C6D"/>
    <w:rsid w:val="002C2BD2"/>
    <w:rsid w:val="002D0771"/>
    <w:rsid w:val="002D78C9"/>
    <w:rsid w:val="002E4AF9"/>
    <w:rsid w:val="002E5BF8"/>
    <w:rsid w:val="002E5D1F"/>
    <w:rsid w:val="0031000D"/>
    <w:rsid w:val="00314122"/>
    <w:rsid w:val="00314BCF"/>
    <w:rsid w:val="00315399"/>
    <w:rsid w:val="003425C7"/>
    <w:rsid w:val="003668DC"/>
    <w:rsid w:val="00371A8F"/>
    <w:rsid w:val="003754B9"/>
    <w:rsid w:val="003873EF"/>
    <w:rsid w:val="003A1543"/>
    <w:rsid w:val="003A1B0D"/>
    <w:rsid w:val="003A5C46"/>
    <w:rsid w:val="003A7B78"/>
    <w:rsid w:val="003C1460"/>
    <w:rsid w:val="003D2334"/>
    <w:rsid w:val="003D3CCC"/>
    <w:rsid w:val="003E39C2"/>
    <w:rsid w:val="003F737F"/>
    <w:rsid w:val="00401718"/>
    <w:rsid w:val="00403691"/>
    <w:rsid w:val="00404733"/>
    <w:rsid w:val="00414A94"/>
    <w:rsid w:val="00415B45"/>
    <w:rsid w:val="00417D45"/>
    <w:rsid w:val="00423498"/>
    <w:rsid w:val="0042425A"/>
    <w:rsid w:val="00424D88"/>
    <w:rsid w:val="004278DD"/>
    <w:rsid w:val="004317D1"/>
    <w:rsid w:val="00444551"/>
    <w:rsid w:val="004509B8"/>
    <w:rsid w:val="00464BFA"/>
    <w:rsid w:val="00472313"/>
    <w:rsid w:val="0048039C"/>
    <w:rsid w:val="004838B1"/>
    <w:rsid w:val="004A7EF9"/>
    <w:rsid w:val="004B2135"/>
    <w:rsid w:val="004B69A3"/>
    <w:rsid w:val="004B7B7A"/>
    <w:rsid w:val="004D11FD"/>
    <w:rsid w:val="004E2F8E"/>
    <w:rsid w:val="004F06E8"/>
    <w:rsid w:val="004F15EE"/>
    <w:rsid w:val="004F5215"/>
    <w:rsid w:val="00500581"/>
    <w:rsid w:val="00506A4E"/>
    <w:rsid w:val="00553B79"/>
    <w:rsid w:val="00561646"/>
    <w:rsid w:val="00575ED6"/>
    <w:rsid w:val="0058268B"/>
    <w:rsid w:val="00590791"/>
    <w:rsid w:val="00590C16"/>
    <w:rsid w:val="00593343"/>
    <w:rsid w:val="00593FD0"/>
    <w:rsid w:val="00595151"/>
    <w:rsid w:val="005B3721"/>
    <w:rsid w:val="005C6CFC"/>
    <w:rsid w:val="005D13D6"/>
    <w:rsid w:val="005D47C3"/>
    <w:rsid w:val="005E0EE2"/>
    <w:rsid w:val="006017B4"/>
    <w:rsid w:val="00612A10"/>
    <w:rsid w:val="00620673"/>
    <w:rsid w:val="0062192A"/>
    <w:rsid w:val="00621C25"/>
    <w:rsid w:val="00631AA7"/>
    <w:rsid w:val="006349A4"/>
    <w:rsid w:val="0064709B"/>
    <w:rsid w:val="00647192"/>
    <w:rsid w:val="00647332"/>
    <w:rsid w:val="00661025"/>
    <w:rsid w:val="006610E0"/>
    <w:rsid w:val="006818D0"/>
    <w:rsid w:val="0069090D"/>
    <w:rsid w:val="00692BF6"/>
    <w:rsid w:val="006B347F"/>
    <w:rsid w:val="006B737C"/>
    <w:rsid w:val="006C6559"/>
    <w:rsid w:val="006E19C6"/>
    <w:rsid w:val="006E2AE8"/>
    <w:rsid w:val="006F5397"/>
    <w:rsid w:val="006F53CE"/>
    <w:rsid w:val="006F7635"/>
    <w:rsid w:val="00715271"/>
    <w:rsid w:val="007315EE"/>
    <w:rsid w:val="00760020"/>
    <w:rsid w:val="00760BFF"/>
    <w:rsid w:val="00764231"/>
    <w:rsid w:val="00765A9D"/>
    <w:rsid w:val="00770DAA"/>
    <w:rsid w:val="007775DE"/>
    <w:rsid w:val="0078164D"/>
    <w:rsid w:val="00781AA3"/>
    <w:rsid w:val="0078224A"/>
    <w:rsid w:val="007847FC"/>
    <w:rsid w:val="00784AD3"/>
    <w:rsid w:val="00793C6C"/>
    <w:rsid w:val="0079539D"/>
    <w:rsid w:val="00795832"/>
    <w:rsid w:val="00795DEC"/>
    <w:rsid w:val="007A0484"/>
    <w:rsid w:val="007A336C"/>
    <w:rsid w:val="007A75BE"/>
    <w:rsid w:val="007B4943"/>
    <w:rsid w:val="007B5B8A"/>
    <w:rsid w:val="007C180D"/>
    <w:rsid w:val="007C7F46"/>
    <w:rsid w:val="007E1EDC"/>
    <w:rsid w:val="007E49A6"/>
    <w:rsid w:val="007E49F5"/>
    <w:rsid w:val="007E5BA0"/>
    <w:rsid w:val="008014BE"/>
    <w:rsid w:val="008070E1"/>
    <w:rsid w:val="00816293"/>
    <w:rsid w:val="00832772"/>
    <w:rsid w:val="00832A13"/>
    <w:rsid w:val="00840BB2"/>
    <w:rsid w:val="00857FBB"/>
    <w:rsid w:val="008605CA"/>
    <w:rsid w:val="00865413"/>
    <w:rsid w:val="00865ACC"/>
    <w:rsid w:val="008715D4"/>
    <w:rsid w:val="00890FBC"/>
    <w:rsid w:val="0089238A"/>
    <w:rsid w:val="00892849"/>
    <w:rsid w:val="008A12AD"/>
    <w:rsid w:val="008C197F"/>
    <w:rsid w:val="008C482A"/>
    <w:rsid w:val="008E210E"/>
    <w:rsid w:val="008F6448"/>
    <w:rsid w:val="009012B4"/>
    <w:rsid w:val="009077A7"/>
    <w:rsid w:val="00914488"/>
    <w:rsid w:val="0092538C"/>
    <w:rsid w:val="00937938"/>
    <w:rsid w:val="00943BD4"/>
    <w:rsid w:val="00967581"/>
    <w:rsid w:val="00976E83"/>
    <w:rsid w:val="00982D1C"/>
    <w:rsid w:val="00983E11"/>
    <w:rsid w:val="009903B7"/>
    <w:rsid w:val="009957E4"/>
    <w:rsid w:val="0099667A"/>
    <w:rsid w:val="009A42E7"/>
    <w:rsid w:val="009A4EF1"/>
    <w:rsid w:val="009C63E9"/>
    <w:rsid w:val="009E797E"/>
    <w:rsid w:val="009F3409"/>
    <w:rsid w:val="009F6DBF"/>
    <w:rsid w:val="00A013E6"/>
    <w:rsid w:val="00A05486"/>
    <w:rsid w:val="00A1097A"/>
    <w:rsid w:val="00A1585B"/>
    <w:rsid w:val="00A27D9B"/>
    <w:rsid w:val="00A368D5"/>
    <w:rsid w:val="00A40DAB"/>
    <w:rsid w:val="00A40FF8"/>
    <w:rsid w:val="00A46209"/>
    <w:rsid w:val="00A467CA"/>
    <w:rsid w:val="00A57288"/>
    <w:rsid w:val="00A670DA"/>
    <w:rsid w:val="00A710F8"/>
    <w:rsid w:val="00A80901"/>
    <w:rsid w:val="00A81FCC"/>
    <w:rsid w:val="00A9011C"/>
    <w:rsid w:val="00A93348"/>
    <w:rsid w:val="00AA6146"/>
    <w:rsid w:val="00AA7FB8"/>
    <w:rsid w:val="00AB3F9F"/>
    <w:rsid w:val="00AB6548"/>
    <w:rsid w:val="00AC2417"/>
    <w:rsid w:val="00AD7965"/>
    <w:rsid w:val="00AE0A53"/>
    <w:rsid w:val="00AF181C"/>
    <w:rsid w:val="00AF2C29"/>
    <w:rsid w:val="00B04901"/>
    <w:rsid w:val="00B06B62"/>
    <w:rsid w:val="00B12BF3"/>
    <w:rsid w:val="00B2288A"/>
    <w:rsid w:val="00B27CB8"/>
    <w:rsid w:val="00B27F18"/>
    <w:rsid w:val="00B27FE6"/>
    <w:rsid w:val="00B344A2"/>
    <w:rsid w:val="00B409CD"/>
    <w:rsid w:val="00B40E1A"/>
    <w:rsid w:val="00B452EC"/>
    <w:rsid w:val="00B455AC"/>
    <w:rsid w:val="00B45EB1"/>
    <w:rsid w:val="00B55AC6"/>
    <w:rsid w:val="00B72B49"/>
    <w:rsid w:val="00B74602"/>
    <w:rsid w:val="00B7677E"/>
    <w:rsid w:val="00B76DD2"/>
    <w:rsid w:val="00B82A5B"/>
    <w:rsid w:val="00BA3931"/>
    <w:rsid w:val="00BA457F"/>
    <w:rsid w:val="00BB320F"/>
    <w:rsid w:val="00BB6728"/>
    <w:rsid w:val="00BC2FD9"/>
    <w:rsid w:val="00BD3656"/>
    <w:rsid w:val="00BD67CE"/>
    <w:rsid w:val="00BE594A"/>
    <w:rsid w:val="00BE6C56"/>
    <w:rsid w:val="00BE7FB2"/>
    <w:rsid w:val="00BF31CD"/>
    <w:rsid w:val="00C0103B"/>
    <w:rsid w:val="00C01E46"/>
    <w:rsid w:val="00C02523"/>
    <w:rsid w:val="00C0761A"/>
    <w:rsid w:val="00C12216"/>
    <w:rsid w:val="00C15706"/>
    <w:rsid w:val="00C17708"/>
    <w:rsid w:val="00C213C4"/>
    <w:rsid w:val="00C246BB"/>
    <w:rsid w:val="00C56FFA"/>
    <w:rsid w:val="00C71EE4"/>
    <w:rsid w:val="00C7321D"/>
    <w:rsid w:val="00C74F0F"/>
    <w:rsid w:val="00C83EE6"/>
    <w:rsid w:val="00CA3B43"/>
    <w:rsid w:val="00CA4DE8"/>
    <w:rsid w:val="00CA574E"/>
    <w:rsid w:val="00CC3DC2"/>
    <w:rsid w:val="00CC4ECB"/>
    <w:rsid w:val="00CC708E"/>
    <w:rsid w:val="00CD2DAE"/>
    <w:rsid w:val="00CE6430"/>
    <w:rsid w:val="00CF102E"/>
    <w:rsid w:val="00D02B70"/>
    <w:rsid w:val="00D10887"/>
    <w:rsid w:val="00D11BCD"/>
    <w:rsid w:val="00D14A97"/>
    <w:rsid w:val="00D2576D"/>
    <w:rsid w:val="00D43E3E"/>
    <w:rsid w:val="00D46CBC"/>
    <w:rsid w:val="00D50259"/>
    <w:rsid w:val="00D54328"/>
    <w:rsid w:val="00D63132"/>
    <w:rsid w:val="00D658A9"/>
    <w:rsid w:val="00D65D42"/>
    <w:rsid w:val="00D82373"/>
    <w:rsid w:val="00D90845"/>
    <w:rsid w:val="00D9392D"/>
    <w:rsid w:val="00DB719B"/>
    <w:rsid w:val="00DB74C9"/>
    <w:rsid w:val="00DC2483"/>
    <w:rsid w:val="00DC5492"/>
    <w:rsid w:val="00DD135A"/>
    <w:rsid w:val="00DD52B4"/>
    <w:rsid w:val="00DD6328"/>
    <w:rsid w:val="00DD7D8E"/>
    <w:rsid w:val="00DE1EEF"/>
    <w:rsid w:val="00DE2106"/>
    <w:rsid w:val="00DF2702"/>
    <w:rsid w:val="00DF7DD8"/>
    <w:rsid w:val="00E0481C"/>
    <w:rsid w:val="00E055BA"/>
    <w:rsid w:val="00E27038"/>
    <w:rsid w:val="00E3020A"/>
    <w:rsid w:val="00E304FE"/>
    <w:rsid w:val="00E30F82"/>
    <w:rsid w:val="00E31F14"/>
    <w:rsid w:val="00E36146"/>
    <w:rsid w:val="00E3614E"/>
    <w:rsid w:val="00E369F5"/>
    <w:rsid w:val="00E41C8C"/>
    <w:rsid w:val="00E55E86"/>
    <w:rsid w:val="00E57669"/>
    <w:rsid w:val="00E57DE4"/>
    <w:rsid w:val="00E64D57"/>
    <w:rsid w:val="00E66E14"/>
    <w:rsid w:val="00E717E5"/>
    <w:rsid w:val="00E73561"/>
    <w:rsid w:val="00E746CA"/>
    <w:rsid w:val="00E8118C"/>
    <w:rsid w:val="00E92D35"/>
    <w:rsid w:val="00E94E47"/>
    <w:rsid w:val="00EA1800"/>
    <w:rsid w:val="00EA47A3"/>
    <w:rsid w:val="00EA4FBE"/>
    <w:rsid w:val="00EB269B"/>
    <w:rsid w:val="00EB324C"/>
    <w:rsid w:val="00ED3D3A"/>
    <w:rsid w:val="00ED5C49"/>
    <w:rsid w:val="00EE30C5"/>
    <w:rsid w:val="00EE4FB3"/>
    <w:rsid w:val="00EF3F17"/>
    <w:rsid w:val="00EF511D"/>
    <w:rsid w:val="00F1136B"/>
    <w:rsid w:val="00F205C5"/>
    <w:rsid w:val="00F22514"/>
    <w:rsid w:val="00F234DC"/>
    <w:rsid w:val="00F27224"/>
    <w:rsid w:val="00F36F61"/>
    <w:rsid w:val="00F42D15"/>
    <w:rsid w:val="00F4770E"/>
    <w:rsid w:val="00F52330"/>
    <w:rsid w:val="00F6007D"/>
    <w:rsid w:val="00F6647B"/>
    <w:rsid w:val="00F757CA"/>
    <w:rsid w:val="00F83034"/>
    <w:rsid w:val="00F858F1"/>
    <w:rsid w:val="00FA7DD4"/>
    <w:rsid w:val="00FB00EF"/>
    <w:rsid w:val="00FC3656"/>
    <w:rsid w:val="00FD3B6E"/>
    <w:rsid w:val="00FD5D76"/>
    <w:rsid w:val="00FD6AA0"/>
    <w:rsid w:val="00FD768C"/>
    <w:rsid w:val="00FE2899"/>
    <w:rsid w:val="00FF7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martTagType w:namespaceuri="urn:schemas-microsoft-com:office:smarttags" w:name="metricconverter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F8E"/>
    <w:rPr>
      <w:sz w:val="24"/>
      <w:szCs w:val="24"/>
      <w:lang w:val="it-IT" w:eastAsia="it-IT"/>
    </w:rPr>
  </w:style>
  <w:style w:type="paragraph" w:styleId="Heading1">
    <w:name w:val="heading 1"/>
    <w:basedOn w:val="Normal"/>
    <w:next w:val="Normal"/>
    <w:qFormat/>
    <w:rsid w:val="00CA3B4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E31F14"/>
    <w:pPr>
      <w:keepNext/>
      <w:jc w:val="both"/>
      <w:outlineLvl w:val="2"/>
    </w:pPr>
    <w:rPr>
      <w:i/>
      <w:szCs w:val="20"/>
      <w:lang w:val="en-GB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7B5B8A"/>
    <w:rPr>
      <w:color w:val="0000FF"/>
      <w:u w:val="single"/>
    </w:rPr>
  </w:style>
  <w:style w:type="paragraph" w:styleId="Footer">
    <w:name w:val="footer"/>
    <w:basedOn w:val="Normal"/>
    <w:rsid w:val="002D78C9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2D78C9"/>
  </w:style>
  <w:style w:type="paragraph" w:styleId="BalloonText">
    <w:name w:val="Balloon Text"/>
    <w:basedOn w:val="Normal"/>
    <w:link w:val="BalloonTextChar"/>
    <w:uiPriority w:val="99"/>
    <w:semiHidden/>
    <w:unhideWhenUsed/>
    <w:rsid w:val="00007F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D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425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5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5C7"/>
    <w:rPr>
      <w:lang w:val="it-IT" w:eastAsia="it-I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5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5C7"/>
    <w:rPr>
      <w:b/>
      <w:bCs/>
    </w:rPr>
  </w:style>
  <w:style w:type="table" w:styleId="TableGrid">
    <w:name w:val="Table Grid"/>
    <w:basedOn w:val="TableNormal"/>
    <w:rsid w:val="00FB00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itation">
    <w:name w:val="citation"/>
    <w:basedOn w:val="DefaultParagraphFont"/>
    <w:rsid w:val="00D14A97"/>
  </w:style>
  <w:style w:type="character" w:styleId="LineNumber">
    <w:name w:val="line number"/>
    <w:basedOn w:val="DefaultParagraphFont"/>
    <w:rsid w:val="00C71E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3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f@gyte.edu.t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ifaylinozudogru@yahoo.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3778</Words>
  <Characters>21539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Authors: Elif Aylin Ozudogru*, Ergun Kaya, Emrah Kirdok</vt:lpstr>
    </vt:vector>
  </TitlesOfParts>
  <Company>Hewlett-Packard</Company>
  <LinksUpToDate>false</LinksUpToDate>
  <CharactersWithSpaces>25267</CharactersWithSpaces>
  <SharedDoc>false</SharedDoc>
  <HLinks>
    <vt:vector size="12" baseType="variant">
      <vt:variant>
        <vt:i4>5636151</vt:i4>
      </vt:variant>
      <vt:variant>
        <vt:i4>3</vt:i4>
      </vt:variant>
      <vt:variant>
        <vt:i4>0</vt:i4>
      </vt:variant>
      <vt:variant>
        <vt:i4>5</vt:i4>
      </vt:variant>
      <vt:variant>
        <vt:lpwstr>mailto:elif@gyte.edu.tr</vt:lpwstr>
      </vt:variant>
      <vt:variant>
        <vt:lpwstr/>
      </vt:variant>
      <vt:variant>
        <vt:i4>1441847</vt:i4>
      </vt:variant>
      <vt:variant>
        <vt:i4>0</vt:i4>
      </vt:variant>
      <vt:variant>
        <vt:i4>0</vt:i4>
      </vt:variant>
      <vt:variant>
        <vt:i4>5</vt:i4>
      </vt:variant>
      <vt:variant>
        <vt:lpwstr>mailto:elifaylinozudogru@yahoo.it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Authors: Elif Aylin Ozudogru*, Ergun Kaya, Emrah Kirdok</dc:title>
  <dc:subject/>
  <dc:creator>utente</dc:creator>
  <cp:keywords/>
  <cp:lastModifiedBy>Anon</cp:lastModifiedBy>
  <cp:revision>2</cp:revision>
  <cp:lastPrinted>2012-01-31T15:13:00Z</cp:lastPrinted>
  <dcterms:created xsi:type="dcterms:W3CDTF">2012-03-07T09:57:00Z</dcterms:created>
  <dcterms:modified xsi:type="dcterms:W3CDTF">2012-03-07T09:57:00Z</dcterms:modified>
</cp:coreProperties>
</file>