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6419">
      <w:pPr>
        <w:spacing w:line="360" w:lineRule="auto"/>
        <w:rPr>
          <w:b/>
          <w:color w:val="000000"/>
        </w:rPr>
      </w:pPr>
      <w:r>
        <w:rPr>
          <w:b/>
          <w:lang w:val="es-ES_tradnl"/>
        </w:rPr>
        <w:t xml:space="preserve">INFLUENCE OF GROWTH REGULATORS ON THE ORGANOGENESIS AND MULTIPLICATION OF </w:t>
      </w:r>
      <w:proofErr w:type="spellStart"/>
      <w:r>
        <w:rPr>
          <w:b/>
          <w:i/>
          <w:lang w:val="es-ES_tradnl"/>
        </w:rPr>
        <w:t>Ortegocactus</w:t>
      </w:r>
      <w:proofErr w:type="spellEnd"/>
      <w:r>
        <w:rPr>
          <w:b/>
          <w:i/>
          <w:lang w:val="es-ES_tradnl"/>
        </w:rPr>
        <w:t xml:space="preserve"> </w:t>
      </w:r>
      <w:proofErr w:type="spellStart"/>
      <w:r>
        <w:rPr>
          <w:b/>
          <w:i/>
          <w:lang w:val="es-ES_tradnl"/>
        </w:rPr>
        <w:t>macdougallii</w:t>
      </w:r>
      <w:proofErr w:type="spellEnd"/>
      <w:r>
        <w:rPr>
          <w:b/>
          <w:lang w:val="es-ES_tradnl"/>
        </w:rPr>
        <w:t xml:space="preserve"> ALEXANDER</w:t>
      </w:r>
      <w:r>
        <w:rPr>
          <w:b/>
        </w:rPr>
        <w:t>, A THREATENED MEXICAN CACTUS.</w:t>
      </w:r>
    </w:p>
    <w:p w:rsidR="00000000" w:rsidRDefault="009E6419">
      <w:pPr>
        <w:spacing w:line="360" w:lineRule="auto"/>
        <w:rPr>
          <w:color w:val="000000"/>
        </w:rPr>
      </w:pPr>
    </w:p>
    <w:p w:rsidR="00000000" w:rsidRDefault="009E6419">
      <w:pPr>
        <w:tabs>
          <w:tab w:val="left" w:pos="220"/>
          <w:tab w:val="left" w:pos="720"/>
        </w:tabs>
        <w:spacing w:line="360" w:lineRule="auto"/>
        <w:rPr>
          <w:b/>
          <w:color w:val="000000"/>
        </w:rPr>
      </w:pPr>
      <w:r>
        <w:rPr>
          <w:b/>
          <w:color w:val="000000"/>
        </w:rPr>
        <w:t>Abraham Arellano-Perusquía</w:t>
      </w:r>
      <w:r>
        <w:rPr>
          <w:b/>
          <w:color w:val="000000"/>
          <w:vertAlign w:val="superscript"/>
        </w:rPr>
        <w:t>1</w:t>
      </w:r>
      <w:r>
        <w:rPr>
          <w:b/>
          <w:color w:val="000000"/>
        </w:rPr>
        <w:t xml:space="preserve">, </w:t>
      </w:r>
      <w:proofErr w:type="spellStart"/>
      <w:r>
        <w:rPr>
          <w:b/>
          <w:color w:val="000000"/>
        </w:rPr>
        <w:t>María</w:t>
      </w:r>
      <w:proofErr w:type="spellEnd"/>
      <w:r>
        <w:rPr>
          <w:b/>
          <w:color w:val="000000"/>
        </w:rPr>
        <w:t xml:space="preserve"> Cristina Guadalupe López-Peralta</w:t>
      </w:r>
      <w:r>
        <w:rPr>
          <w:b/>
          <w:color w:val="000000"/>
          <w:vertAlign w:val="superscript"/>
        </w:rPr>
        <w:t>2</w:t>
      </w:r>
      <w:r>
        <w:rPr>
          <w:b/>
          <w:color w:val="000000"/>
        </w:rPr>
        <w:t>, Francisco Chablé-Moreno</w:t>
      </w:r>
      <w:r>
        <w:rPr>
          <w:b/>
          <w:color w:val="000000"/>
          <w:vertAlign w:val="superscript"/>
        </w:rPr>
        <w:t>3</w:t>
      </w:r>
      <w:r>
        <w:rPr>
          <w:b/>
          <w:color w:val="000000"/>
        </w:rPr>
        <w:t>, and Andrés Adolfo E</w:t>
      </w:r>
      <w:r>
        <w:rPr>
          <w:b/>
          <w:color w:val="000000"/>
        </w:rPr>
        <w:t>strada-Luna</w:t>
      </w:r>
      <w:r>
        <w:rPr>
          <w:b/>
          <w:color w:val="000000"/>
          <w:vertAlign w:val="superscript"/>
        </w:rPr>
        <w:t>1,4</w:t>
      </w:r>
      <w:r>
        <w:rPr>
          <w:b/>
          <w:color w:val="000000"/>
        </w:rPr>
        <w:t>.</w:t>
      </w:r>
    </w:p>
    <w:p w:rsidR="00000000" w:rsidRDefault="009E6419">
      <w:pPr>
        <w:rPr>
          <w:color w:val="000000"/>
        </w:rPr>
      </w:pPr>
      <w:proofErr w:type="gramStart"/>
      <w:r>
        <w:rPr>
          <w:color w:val="000000"/>
          <w:vertAlign w:val="superscript"/>
        </w:rPr>
        <w:t>1</w:t>
      </w:r>
      <w:r>
        <w:rPr>
          <w:color w:val="000000"/>
        </w:rPr>
        <w:t xml:space="preserve"> </w:t>
      </w:r>
      <w:proofErr w:type="spellStart"/>
      <w:r>
        <w:rPr>
          <w:color w:val="000000"/>
        </w:rPr>
        <w:t>Escuela</w:t>
      </w:r>
      <w:proofErr w:type="spellEnd"/>
      <w:r>
        <w:rPr>
          <w:color w:val="000000"/>
        </w:rPr>
        <w:t xml:space="preserve"> de </w:t>
      </w:r>
      <w:proofErr w:type="spellStart"/>
      <w:r>
        <w:rPr>
          <w:color w:val="000000"/>
        </w:rPr>
        <w:t>Agronomía</w:t>
      </w:r>
      <w:proofErr w:type="spellEnd"/>
      <w:r>
        <w:rPr>
          <w:color w:val="000000"/>
        </w:rPr>
        <w:t>.</w:t>
      </w:r>
      <w:proofErr w:type="gramEnd"/>
      <w:r>
        <w:rPr>
          <w:color w:val="000000"/>
        </w:rPr>
        <w:t xml:space="preserve"> </w:t>
      </w:r>
      <w:proofErr w:type="gramStart"/>
      <w:r>
        <w:rPr>
          <w:color w:val="000000"/>
        </w:rPr>
        <w:t xml:space="preserve">Universidad De La Salle </w:t>
      </w:r>
      <w:proofErr w:type="spellStart"/>
      <w:r>
        <w:rPr>
          <w:color w:val="000000"/>
        </w:rPr>
        <w:t>Bajío</w:t>
      </w:r>
      <w:proofErr w:type="spellEnd"/>
      <w:r>
        <w:rPr>
          <w:color w:val="000000"/>
        </w:rPr>
        <w:t>.</w:t>
      </w:r>
      <w:proofErr w:type="gramEnd"/>
      <w:r>
        <w:rPr>
          <w:color w:val="000000"/>
        </w:rPr>
        <w:t xml:space="preserve"> Av. Universidad 602, Col. Lomas </w:t>
      </w:r>
      <w:proofErr w:type="gramStart"/>
      <w:r>
        <w:rPr>
          <w:color w:val="000000"/>
        </w:rPr>
        <w:t>del</w:t>
      </w:r>
      <w:proofErr w:type="gramEnd"/>
      <w:r>
        <w:rPr>
          <w:color w:val="000000"/>
        </w:rPr>
        <w:t xml:space="preserve"> </w:t>
      </w:r>
      <w:proofErr w:type="spellStart"/>
      <w:r>
        <w:rPr>
          <w:color w:val="000000"/>
        </w:rPr>
        <w:t>Campestre</w:t>
      </w:r>
      <w:proofErr w:type="spellEnd"/>
      <w:r>
        <w:rPr>
          <w:color w:val="000000"/>
        </w:rPr>
        <w:t xml:space="preserve">. León, </w:t>
      </w:r>
      <w:proofErr w:type="spellStart"/>
      <w:proofErr w:type="gramStart"/>
      <w:r>
        <w:rPr>
          <w:color w:val="000000"/>
        </w:rPr>
        <w:t>Gto</w:t>
      </w:r>
      <w:proofErr w:type="spellEnd"/>
      <w:r>
        <w:rPr>
          <w:color w:val="000000"/>
        </w:rPr>
        <w:t>.,</w:t>
      </w:r>
      <w:proofErr w:type="gramEnd"/>
      <w:r>
        <w:rPr>
          <w:color w:val="000000"/>
        </w:rPr>
        <w:t xml:space="preserve"> C.P. 37150. </w:t>
      </w:r>
      <w:proofErr w:type="gramStart"/>
      <w:r>
        <w:rPr>
          <w:color w:val="000000"/>
        </w:rPr>
        <w:t>México.</w:t>
      </w:r>
      <w:proofErr w:type="gramEnd"/>
      <w:r>
        <w:rPr>
          <w:color w:val="000000"/>
        </w:rPr>
        <w:t xml:space="preserve"> E-mail: </w:t>
      </w:r>
      <w:r>
        <w:rPr>
          <w:rFonts w:eastAsia="Times New Roman"/>
          <w:lang w:val="es-ES_tradnl"/>
        </w:rPr>
        <w:t>abraham9_</w:t>
      </w:r>
      <w:proofErr w:type="gramStart"/>
      <w:r>
        <w:rPr>
          <w:rFonts w:eastAsia="Times New Roman"/>
          <w:lang w:val="es-ES_tradnl"/>
        </w:rPr>
        <w:t>@hotmail.com</w:t>
      </w:r>
      <w:r>
        <w:rPr>
          <w:color w:val="000000"/>
        </w:rPr>
        <w:t xml:space="preserve"> </w:t>
      </w:r>
      <w:r>
        <w:rPr>
          <w:color w:val="000000"/>
        </w:rPr>
        <w:cr/>
      </w:r>
      <w:r>
        <w:rPr>
          <w:color w:val="000000"/>
          <w:vertAlign w:val="superscript"/>
        </w:rPr>
        <w:t>2</w:t>
      </w:r>
      <w:proofErr w:type="gramEnd"/>
      <w:r>
        <w:rPr>
          <w:color w:val="000000"/>
        </w:rPr>
        <w:t xml:space="preserve"> </w:t>
      </w:r>
      <w:proofErr w:type="spellStart"/>
      <w:r>
        <w:rPr>
          <w:color w:val="000000"/>
        </w:rPr>
        <w:t>Laboratorio</w:t>
      </w:r>
      <w:proofErr w:type="spellEnd"/>
      <w:r>
        <w:rPr>
          <w:color w:val="000000"/>
        </w:rPr>
        <w:t xml:space="preserve"> de </w:t>
      </w:r>
      <w:proofErr w:type="spellStart"/>
      <w:r>
        <w:rPr>
          <w:color w:val="000000"/>
        </w:rPr>
        <w:t>Biotecnología</w:t>
      </w:r>
      <w:proofErr w:type="spellEnd"/>
      <w:r>
        <w:rPr>
          <w:color w:val="000000"/>
        </w:rPr>
        <w:t xml:space="preserve">. </w:t>
      </w:r>
      <w:proofErr w:type="spellStart"/>
      <w:proofErr w:type="gramStart"/>
      <w:r>
        <w:rPr>
          <w:color w:val="000000"/>
        </w:rPr>
        <w:t>Instituto</w:t>
      </w:r>
      <w:proofErr w:type="spellEnd"/>
      <w:r>
        <w:rPr>
          <w:color w:val="000000"/>
        </w:rPr>
        <w:t xml:space="preserve"> de </w:t>
      </w:r>
      <w:proofErr w:type="spellStart"/>
      <w:r>
        <w:rPr>
          <w:color w:val="000000"/>
        </w:rPr>
        <w:t>Recursos</w:t>
      </w:r>
      <w:proofErr w:type="spellEnd"/>
      <w:r>
        <w:rPr>
          <w:color w:val="000000"/>
        </w:rPr>
        <w:t xml:space="preserve"> </w:t>
      </w:r>
      <w:proofErr w:type="spellStart"/>
      <w:r>
        <w:rPr>
          <w:color w:val="000000"/>
        </w:rPr>
        <w:t>Genéticos</w:t>
      </w:r>
      <w:proofErr w:type="spellEnd"/>
      <w:r>
        <w:rPr>
          <w:color w:val="000000"/>
        </w:rPr>
        <w:t xml:space="preserve"> y </w:t>
      </w:r>
      <w:proofErr w:type="spellStart"/>
      <w:r>
        <w:rPr>
          <w:color w:val="000000"/>
        </w:rPr>
        <w:t>Productiv</w:t>
      </w:r>
      <w:r>
        <w:rPr>
          <w:color w:val="000000"/>
        </w:rPr>
        <w:t>idad</w:t>
      </w:r>
      <w:proofErr w:type="spellEnd"/>
      <w:r>
        <w:rPr>
          <w:color w:val="000000"/>
        </w:rPr>
        <w:t xml:space="preserve">, </w:t>
      </w:r>
      <w:proofErr w:type="spellStart"/>
      <w:r>
        <w:rPr>
          <w:color w:val="000000"/>
        </w:rPr>
        <w:t>Edificio</w:t>
      </w:r>
      <w:proofErr w:type="spellEnd"/>
      <w:r>
        <w:rPr>
          <w:color w:val="000000"/>
        </w:rPr>
        <w:t xml:space="preserve"> de </w:t>
      </w:r>
      <w:proofErr w:type="spellStart"/>
      <w:r>
        <w:rPr>
          <w:color w:val="000000"/>
        </w:rPr>
        <w:t>Genética</w:t>
      </w:r>
      <w:proofErr w:type="spellEnd"/>
      <w:r>
        <w:rPr>
          <w:color w:val="000000"/>
        </w:rPr>
        <w:t>.</w:t>
      </w:r>
      <w:proofErr w:type="gramEnd"/>
      <w:r>
        <w:rPr>
          <w:color w:val="000000"/>
        </w:rPr>
        <w:t xml:space="preserve"> </w:t>
      </w:r>
      <w:r>
        <w:rPr>
          <w:i/>
          <w:color w:val="000000"/>
        </w:rPr>
        <w:t>Campus</w:t>
      </w:r>
      <w:r>
        <w:rPr>
          <w:color w:val="000000"/>
        </w:rPr>
        <w:t xml:space="preserve"> </w:t>
      </w:r>
      <w:proofErr w:type="spellStart"/>
      <w:r>
        <w:rPr>
          <w:color w:val="000000"/>
        </w:rPr>
        <w:t>Montecillo</w:t>
      </w:r>
      <w:proofErr w:type="spellEnd"/>
      <w:r>
        <w:rPr>
          <w:color w:val="000000"/>
        </w:rPr>
        <w:t xml:space="preserve">, </w:t>
      </w:r>
      <w:proofErr w:type="spellStart"/>
      <w:r>
        <w:rPr>
          <w:color w:val="000000"/>
        </w:rPr>
        <w:t>Colegio</w:t>
      </w:r>
      <w:proofErr w:type="spellEnd"/>
      <w:r>
        <w:rPr>
          <w:color w:val="000000"/>
        </w:rPr>
        <w:t xml:space="preserve"> de </w:t>
      </w:r>
      <w:proofErr w:type="spellStart"/>
      <w:r>
        <w:rPr>
          <w:color w:val="000000"/>
        </w:rPr>
        <w:t>Postgraduados</w:t>
      </w:r>
      <w:proofErr w:type="spellEnd"/>
      <w:r>
        <w:rPr>
          <w:color w:val="000000"/>
        </w:rPr>
        <w:t xml:space="preserve">. </w:t>
      </w:r>
      <w:proofErr w:type="spellStart"/>
      <w:r>
        <w:rPr>
          <w:color w:val="000000"/>
        </w:rPr>
        <w:t>Montecillo</w:t>
      </w:r>
      <w:proofErr w:type="spellEnd"/>
      <w:r>
        <w:rPr>
          <w:color w:val="000000"/>
        </w:rPr>
        <w:t xml:space="preserve">, Edo. </w:t>
      </w:r>
      <w:proofErr w:type="gramStart"/>
      <w:r>
        <w:rPr>
          <w:color w:val="000000"/>
        </w:rPr>
        <w:t>de</w:t>
      </w:r>
      <w:proofErr w:type="gramEnd"/>
      <w:r>
        <w:rPr>
          <w:color w:val="000000"/>
        </w:rPr>
        <w:t xml:space="preserve"> México. C.P. 56230, México. E-mail: </w:t>
      </w:r>
      <w:proofErr w:type="gramStart"/>
      <w:r>
        <w:rPr>
          <w:rFonts w:eastAsia="Times New Roman"/>
          <w:lang w:val="es-ES_tradnl"/>
        </w:rPr>
        <w:t>cristy@colpos.mx</w:t>
      </w:r>
      <w:r>
        <w:rPr>
          <w:color w:val="000000"/>
        </w:rPr>
        <w:t xml:space="preserve"> </w:t>
      </w:r>
      <w:r>
        <w:rPr>
          <w:color w:val="000000"/>
        </w:rPr>
        <w:cr/>
      </w:r>
      <w:r>
        <w:rPr>
          <w:color w:val="000000"/>
          <w:vertAlign w:val="superscript"/>
        </w:rPr>
        <w:t>3</w:t>
      </w:r>
      <w:proofErr w:type="gramEnd"/>
      <w:r>
        <w:rPr>
          <w:color w:val="000000"/>
        </w:rPr>
        <w:t xml:space="preserve"> </w:t>
      </w:r>
      <w:proofErr w:type="spellStart"/>
      <w:r>
        <w:rPr>
          <w:color w:val="000000"/>
        </w:rPr>
        <w:t>Instituto</w:t>
      </w:r>
      <w:proofErr w:type="spellEnd"/>
      <w:r>
        <w:rPr>
          <w:color w:val="000000"/>
        </w:rPr>
        <w:t xml:space="preserve"> </w:t>
      </w:r>
      <w:proofErr w:type="spellStart"/>
      <w:r>
        <w:rPr>
          <w:color w:val="000000"/>
        </w:rPr>
        <w:t>Tecnológico</w:t>
      </w:r>
      <w:proofErr w:type="spellEnd"/>
      <w:r>
        <w:rPr>
          <w:color w:val="000000"/>
        </w:rPr>
        <w:t xml:space="preserve"> de </w:t>
      </w:r>
      <w:proofErr w:type="spellStart"/>
      <w:r>
        <w:rPr>
          <w:color w:val="000000"/>
        </w:rPr>
        <w:t>Roque</w:t>
      </w:r>
      <w:proofErr w:type="spellEnd"/>
      <w:r>
        <w:rPr>
          <w:color w:val="000000"/>
        </w:rPr>
        <w:t xml:space="preserve"> (CEPI-ITR), Km. 8 </w:t>
      </w:r>
      <w:proofErr w:type="spellStart"/>
      <w:r>
        <w:rPr>
          <w:color w:val="000000"/>
        </w:rPr>
        <w:t>Carretera</w:t>
      </w:r>
      <w:proofErr w:type="spellEnd"/>
      <w:r>
        <w:rPr>
          <w:color w:val="000000"/>
        </w:rPr>
        <w:t xml:space="preserve"> Celaya-</w:t>
      </w:r>
      <w:proofErr w:type="spellStart"/>
      <w:r>
        <w:rPr>
          <w:color w:val="000000"/>
        </w:rPr>
        <w:t>Juventino</w:t>
      </w:r>
      <w:proofErr w:type="spellEnd"/>
      <w:r>
        <w:rPr>
          <w:color w:val="000000"/>
        </w:rPr>
        <w:t xml:space="preserve"> Rosas, </w:t>
      </w:r>
      <w:proofErr w:type="spellStart"/>
      <w:r>
        <w:rPr>
          <w:color w:val="000000"/>
        </w:rPr>
        <w:t>Apdo</w:t>
      </w:r>
      <w:proofErr w:type="spellEnd"/>
      <w:r>
        <w:rPr>
          <w:color w:val="000000"/>
        </w:rPr>
        <w:t xml:space="preserve">. </w:t>
      </w:r>
      <w:proofErr w:type="gramStart"/>
      <w:r>
        <w:rPr>
          <w:color w:val="000000"/>
        </w:rPr>
        <w:t>Postal No. 508.</w:t>
      </w:r>
      <w:proofErr w:type="gramEnd"/>
      <w:r>
        <w:rPr>
          <w:color w:val="000000"/>
        </w:rPr>
        <w:t xml:space="preserve"> C.</w:t>
      </w:r>
      <w:r>
        <w:rPr>
          <w:color w:val="000000"/>
        </w:rPr>
        <w:t xml:space="preserve">P. 38110, México. E-mail: </w:t>
      </w:r>
      <w:proofErr w:type="gramStart"/>
      <w:r>
        <w:rPr>
          <w:rFonts w:eastAsia="Times New Roman"/>
          <w:lang w:val="es-ES_tradnl"/>
        </w:rPr>
        <w:t>fchable4oct@hotmail.com</w:t>
      </w:r>
      <w:r>
        <w:rPr>
          <w:color w:val="000000"/>
        </w:rPr>
        <w:t xml:space="preserve"> </w:t>
      </w:r>
      <w:r>
        <w:rPr>
          <w:color w:val="000000"/>
        </w:rPr>
        <w:cr/>
      </w:r>
      <w:r>
        <w:rPr>
          <w:color w:val="000000"/>
          <w:vertAlign w:val="superscript"/>
        </w:rPr>
        <w:t>4</w:t>
      </w:r>
      <w:proofErr w:type="gramEnd"/>
      <w:r>
        <w:rPr>
          <w:color w:val="000000"/>
        </w:rPr>
        <w:t xml:space="preserve"> </w:t>
      </w:r>
      <w:proofErr w:type="spellStart"/>
      <w:r>
        <w:rPr>
          <w:color w:val="000000"/>
        </w:rPr>
        <w:t>Departamento</w:t>
      </w:r>
      <w:proofErr w:type="spellEnd"/>
      <w:r>
        <w:rPr>
          <w:color w:val="000000"/>
        </w:rPr>
        <w:t xml:space="preserve"> de </w:t>
      </w:r>
      <w:proofErr w:type="spellStart"/>
      <w:r>
        <w:rPr>
          <w:color w:val="000000"/>
        </w:rPr>
        <w:t>Ingeniería</w:t>
      </w:r>
      <w:proofErr w:type="spellEnd"/>
      <w:r>
        <w:rPr>
          <w:color w:val="000000"/>
        </w:rPr>
        <w:t xml:space="preserve"> </w:t>
      </w:r>
      <w:proofErr w:type="spellStart"/>
      <w:r>
        <w:rPr>
          <w:color w:val="000000"/>
        </w:rPr>
        <w:t>Genética</w:t>
      </w:r>
      <w:proofErr w:type="spellEnd"/>
      <w:r>
        <w:rPr>
          <w:color w:val="000000"/>
        </w:rPr>
        <w:t xml:space="preserve">. Centro de </w:t>
      </w:r>
      <w:proofErr w:type="spellStart"/>
      <w:r>
        <w:rPr>
          <w:color w:val="000000"/>
        </w:rPr>
        <w:t>Investigación</w:t>
      </w:r>
      <w:proofErr w:type="spellEnd"/>
      <w:r>
        <w:rPr>
          <w:color w:val="000000"/>
        </w:rPr>
        <w:t xml:space="preserve"> y de </w:t>
      </w:r>
      <w:proofErr w:type="spellStart"/>
      <w:r>
        <w:rPr>
          <w:color w:val="000000"/>
        </w:rPr>
        <w:t>Estudios</w:t>
      </w:r>
      <w:proofErr w:type="spellEnd"/>
      <w:r>
        <w:rPr>
          <w:color w:val="000000"/>
        </w:rPr>
        <w:t xml:space="preserve"> </w:t>
      </w:r>
      <w:proofErr w:type="spellStart"/>
      <w:r>
        <w:rPr>
          <w:color w:val="000000"/>
        </w:rPr>
        <w:t>Avanzados</w:t>
      </w:r>
      <w:proofErr w:type="spellEnd"/>
      <w:r>
        <w:rPr>
          <w:color w:val="000000"/>
        </w:rPr>
        <w:t xml:space="preserve"> </w:t>
      </w:r>
      <w:proofErr w:type="gramStart"/>
      <w:r>
        <w:rPr>
          <w:color w:val="000000"/>
        </w:rPr>
        <w:t>del</w:t>
      </w:r>
      <w:proofErr w:type="gramEnd"/>
      <w:r>
        <w:rPr>
          <w:color w:val="000000"/>
        </w:rPr>
        <w:t xml:space="preserve"> </w:t>
      </w:r>
      <w:proofErr w:type="spellStart"/>
      <w:r>
        <w:rPr>
          <w:color w:val="000000"/>
        </w:rPr>
        <w:t>Instituto</w:t>
      </w:r>
      <w:proofErr w:type="spellEnd"/>
      <w:r>
        <w:rPr>
          <w:color w:val="000000"/>
        </w:rPr>
        <w:t xml:space="preserve"> </w:t>
      </w:r>
      <w:proofErr w:type="spellStart"/>
      <w:r>
        <w:rPr>
          <w:color w:val="000000"/>
        </w:rPr>
        <w:t>Politécnico</w:t>
      </w:r>
      <w:proofErr w:type="spellEnd"/>
      <w:r>
        <w:rPr>
          <w:color w:val="000000"/>
        </w:rPr>
        <w:t xml:space="preserve"> </w:t>
      </w:r>
      <w:proofErr w:type="spellStart"/>
      <w:r>
        <w:rPr>
          <w:color w:val="000000"/>
        </w:rPr>
        <w:t>Nacional</w:t>
      </w:r>
      <w:proofErr w:type="spellEnd"/>
      <w:r>
        <w:rPr>
          <w:color w:val="000000"/>
        </w:rPr>
        <w:t xml:space="preserve">, </w:t>
      </w:r>
      <w:proofErr w:type="spellStart"/>
      <w:r>
        <w:rPr>
          <w:color w:val="000000"/>
        </w:rPr>
        <w:t>Unidad</w:t>
      </w:r>
      <w:proofErr w:type="spellEnd"/>
      <w:r>
        <w:rPr>
          <w:color w:val="000000"/>
        </w:rPr>
        <w:t xml:space="preserve"> Irapuato, </w:t>
      </w:r>
      <w:proofErr w:type="spellStart"/>
      <w:r>
        <w:rPr>
          <w:color w:val="000000"/>
        </w:rPr>
        <w:t>Gto</w:t>
      </w:r>
      <w:proofErr w:type="spellEnd"/>
      <w:r>
        <w:rPr>
          <w:color w:val="000000"/>
        </w:rPr>
        <w:t xml:space="preserve">. Km. 9.6 </w:t>
      </w:r>
      <w:proofErr w:type="spellStart"/>
      <w:r>
        <w:rPr>
          <w:color w:val="000000"/>
        </w:rPr>
        <w:t>Libramiento</w:t>
      </w:r>
      <w:proofErr w:type="spellEnd"/>
      <w:r>
        <w:rPr>
          <w:color w:val="000000"/>
        </w:rPr>
        <w:t xml:space="preserve"> Norte, </w:t>
      </w:r>
      <w:proofErr w:type="spellStart"/>
      <w:r>
        <w:rPr>
          <w:color w:val="000000"/>
        </w:rPr>
        <w:t>Carretera</w:t>
      </w:r>
      <w:proofErr w:type="spellEnd"/>
      <w:r>
        <w:rPr>
          <w:color w:val="000000"/>
        </w:rPr>
        <w:t xml:space="preserve"> Irapuato-León. Irapuato</w:t>
      </w:r>
      <w:r>
        <w:rPr>
          <w:color w:val="000000"/>
        </w:rPr>
        <w:t xml:space="preserve">, </w:t>
      </w:r>
      <w:proofErr w:type="spellStart"/>
      <w:r>
        <w:rPr>
          <w:color w:val="000000"/>
        </w:rPr>
        <w:t>Gto</w:t>
      </w:r>
      <w:proofErr w:type="spellEnd"/>
      <w:r>
        <w:rPr>
          <w:color w:val="000000"/>
        </w:rPr>
        <w:t xml:space="preserve">. </w:t>
      </w:r>
      <w:proofErr w:type="gramStart"/>
      <w:r>
        <w:rPr>
          <w:color w:val="000000"/>
        </w:rPr>
        <w:t>C.P. 36821.México.</w:t>
      </w:r>
      <w:proofErr w:type="gramEnd"/>
      <w:r>
        <w:rPr>
          <w:color w:val="000000"/>
        </w:rPr>
        <w:t xml:space="preserve"> </w:t>
      </w:r>
      <w:r>
        <w:t>ael103018@udelasalle.edu.mx</w:t>
      </w:r>
      <w:r>
        <w:rPr>
          <w:color w:val="000000"/>
        </w:rPr>
        <w:t xml:space="preserve">, </w:t>
      </w:r>
      <w:r>
        <w:t>aestrada@ira.cinvestav.mx</w:t>
      </w:r>
      <w:r>
        <w:rPr>
          <w:color w:val="000000"/>
        </w:rPr>
        <w:t xml:space="preserve"> or aestradaluna@yahoo.com </w:t>
      </w:r>
      <w:r>
        <w:rPr>
          <w:color w:val="000000"/>
        </w:rPr>
        <w:cr/>
      </w:r>
      <w:r>
        <w:rPr>
          <w:color w:val="000000"/>
        </w:rPr>
        <w:cr/>
      </w:r>
    </w:p>
    <w:p w:rsidR="00000000" w:rsidRDefault="009E6419">
      <w:pPr>
        <w:rPr>
          <w:color w:val="000000"/>
        </w:rPr>
      </w:pPr>
    </w:p>
    <w:p w:rsidR="00000000" w:rsidRDefault="009E6419">
      <w:pPr>
        <w:rPr>
          <w:color w:val="0000FF"/>
        </w:rPr>
      </w:pPr>
      <w:r>
        <w:rPr>
          <w:color w:val="000000"/>
        </w:rPr>
        <w:t xml:space="preserve">Corresponding Author: </w:t>
      </w:r>
      <w:r>
        <w:rPr>
          <w:color w:val="000000"/>
        </w:rPr>
        <w:cr/>
        <w:t>Andrés Adolfo Estrada-Luna</w:t>
      </w:r>
      <w:r>
        <w:rPr>
          <w:color w:val="000000"/>
        </w:rPr>
        <w:cr/>
      </w:r>
      <w:proofErr w:type="spellStart"/>
      <w:r>
        <w:rPr>
          <w:color w:val="000000"/>
        </w:rPr>
        <w:t>Escuela</w:t>
      </w:r>
      <w:proofErr w:type="spellEnd"/>
      <w:r>
        <w:rPr>
          <w:color w:val="000000"/>
        </w:rPr>
        <w:t xml:space="preserve"> de </w:t>
      </w:r>
      <w:proofErr w:type="spellStart"/>
      <w:r>
        <w:rPr>
          <w:color w:val="000000"/>
        </w:rPr>
        <w:t>Agronomía</w:t>
      </w:r>
      <w:proofErr w:type="spellEnd"/>
      <w:r>
        <w:rPr>
          <w:color w:val="000000"/>
        </w:rPr>
        <w:t xml:space="preserve">. </w:t>
      </w:r>
      <w:proofErr w:type="gramStart"/>
      <w:r>
        <w:rPr>
          <w:color w:val="000000"/>
        </w:rPr>
        <w:t xml:space="preserve">Universidad De La Salle </w:t>
      </w:r>
      <w:proofErr w:type="spellStart"/>
      <w:r>
        <w:rPr>
          <w:color w:val="000000"/>
        </w:rPr>
        <w:t>Bajío</w:t>
      </w:r>
      <w:proofErr w:type="spellEnd"/>
      <w:r>
        <w:rPr>
          <w:color w:val="000000"/>
        </w:rPr>
        <w:t>.</w:t>
      </w:r>
      <w:proofErr w:type="gramEnd"/>
      <w:r>
        <w:rPr>
          <w:color w:val="000000"/>
        </w:rPr>
        <w:t xml:space="preserve"> </w:t>
      </w:r>
      <w:r>
        <w:rPr>
          <w:color w:val="000000"/>
        </w:rPr>
        <w:cr/>
        <w:t xml:space="preserve">Av. Universidad 602, Col. Lomas </w:t>
      </w:r>
      <w:proofErr w:type="gramStart"/>
      <w:r>
        <w:rPr>
          <w:color w:val="000000"/>
        </w:rPr>
        <w:t>del</w:t>
      </w:r>
      <w:proofErr w:type="gramEnd"/>
      <w:r>
        <w:rPr>
          <w:color w:val="000000"/>
        </w:rPr>
        <w:t xml:space="preserve"> </w:t>
      </w:r>
      <w:proofErr w:type="spellStart"/>
      <w:r>
        <w:rPr>
          <w:color w:val="000000"/>
        </w:rPr>
        <w:t>Campe</w:t>
      </w:r>
      <w:r>
        <w:rPr>
          <w:color w:val="000000"/>
        </w:rPr>
        <w:t>stre</w:t>
      </w:r>
      <w:proofErr w:type="spellEnd"/>
      <w:r>
        <w:rPr>
          <w:color w:val="000000"/>
        </w:rPr>
        <w:t xml:space="preserve">. </w:t>
      </w:r>
      <w:r>
        <w:rPr>
          <w:color w:val="000000"/>
        </w:rPr>
        <w:cr/>
        <w:t xml:space="preserve">León, </w:t>
      </w:r>
      <w:proofErr w:type="spellStart"/>
      <w:r>
        <w:rPr>
          <w:color w:val="000000"/>
        </w:rPr>
        <w:t>Gto</w:t>
      </w:r>
      <w:proofErr w:type="spellEnd"/>
      <w:r>
        <w:rPr>
          <w:color w:val="000000"/>
        </w:rPr>
        <w:t xml:space="preserve">. </w:t>
      </w:r>
      <w:proofErr w:type="gramStart"/>
      <w:r>
        <w:rPr>
          <w:color w:val="000000"/>
        </w:rPr>
        <w:t>México.</w:t>
      </w:r>
      <w:proofErr w:type="gramEnd"/>
      <w:r>
        <w:rPr>
          <w:color w:val="000000"/>
        </w:rPr>
        <w:t xml:space="preserve"> </w:t>
      </w:r>
      <w:proofErr w:type="gramStart"/>
      <w:r>
        <w:rPr>
          <w:color w:val="000000"/>
        </w:rPr>
        <w:t>C.P. 37150.</w:t>
      </w:r>
      <w:proofErr w:type="gramEnd"/>
      <w:r>
        <w:rPr>
          <w:color w:val="000000"/>
        </w:rPr>
        <w:t xml:space="preserve"> </w:t>
      </w:r>
      <w:r>
        <w:rPr>
          <w:color w:val="000000"/>
        </w:rPr>
        <w:cr/>
        <w:t>Tel. +052 (477) 7108500 ext. 182; Fax: +052 (477) 7185511</w:t>
      </w:r>
      <w:r>
        <w:rPr>
          <w:color w:val="000000"/>
        </w:rPr>
        <w:cr/>
        <w:t xml:space="preserve">E-mail:  </w:t>
      </w:r>
      <w:r>
        <w:t>ael103018@udelasalle.edu.mx</w:t>
      </w:r>
      <w:r>
        <w:rPr>
          <w:color w:val="0000FF"/>
        </w:rPr>
        <w:cr/>
      </w:r>
    </w:p>
    <w:p w:rsidR="00000000" w:rsidRDefault="009E6419">
      <w:pPr>
        <w:rPr>
          <w:color w:val="000000"/>
        </w:rPr>
      </w:pPr>
      <w:proofErr w:type="gramStart"/>
      <w:r>
        <w:rPr>
          <w:color w:val="000000"/>
        </w:rPr>
        <w:t>or</w:t>
      </w:r>
      <w:proofErr w:type="gramEnd"/>
      <w:r>
        <w:rPr>
          <w:color w:val="000000"/>
        </w:rPr>
        <w:cr/>
      </w:r>
    </w:p>
    <w:p w:rsidR="00000000" w:rsidRDefault="009E6419">
      <w:pPr>
        <w:rPr>
          <w:color w:val="000000"/>
        </w:rPr>
      </w:pPr>
      <w:proofErr w:type="spellStart"/>
      <w:proofErr w:type="gramStart"/>
      <w:r>
        <w:rPr>
          <w:color w:val="000000"/>
        </w:rPr>
        <w:t>Departamento</w:t>
      </w:r>
      <w:proofErr w:type="spellEnd"/>
      <w:r>
        <w:rPr>
          <w:color w:val="000000"/>
        </w:rPr>
        <w:t xml:space="preserve"> de </w:t>
      </w:r>
      <w:proofErr w:type="spellStart"/>
      <w:r>
        <w:rPr>
          <w:color w:val="000000"/>
        </w:rPr>
        <w:t>Ingeniería</w:t>
      </w:r>
      <w:proofErr w:type="spellEnd"/>
      <w:r>
        <w:rPr>
          <w:color w:val="000000"/>
        </w:rPr>
        <w:t xml:space="preserve"> </w:t>
      </w:r>
      <w:proofErr w:type="spellStart"/>
      <w:r>
        <w:rPr>
          <w:color w:val="000000"/>
        </w:rPr>
        <w:t>Genética</w:t>
      </w:r>
      <w:proofErr w:type="spellEnd"/>
      <w:r>
        <w:rPr>
          <w:color w:val="000000"/>
        </w:rPr>
        <w:t>.</w:t>
      </w:r>
      <w:proofErr w:type="gramEnd"/>
      <w:r>
        <w:rPr>
          <w:color w:val="000000"/>
        </w:rPr>
        <w:t xml:space="preserve"> Centro de </w:t>
      </w:r>
      <w:proofErr w:type="spellStart"/>
      <w:r>
        <w:rPr>
          <w:color w:val="000000"/>
        </w:rPr>
        <w:t>Investigación</w:t>
      </w:r>
      <w:proofErr w:type="spellEnd"/>
      <w:r>
        <w:rPr>
          <w:color w:val="000000"/>
        </w:rPr>
        <w:t xml:space="preserve"> y de </w:t>
      </w:r>
      <w:proofErr w:type="spellStart"/>
      <w:r>
        <w:rPr>
          <w:color w:val="000000"/>
        </w:rPr>
        <w:t>Estudios</w:t>
      </w:r>
      <w:proofErr w:type="spellEnd"/>
      <w:r>
        <w:rPr>
          <w:color w:val="000000"/>
        </w:rPr>
        <w:cr/>
      </w:r>
      <w:proofErr w:type="spellStart"/>
      <w:r>
        <w:rPr>
          <w:color w:val="000000"/>
        </w:rPr>
        <w:t>Avanzados</w:t>
      </w:r>
      <w:proofErr w:type="spellEnd"/>
      <w:r>
        <w:rPr>
          <w:color w:val="000000"/>
        </w:rPr>
        <w:t xml:space="preserve"> </w:t>
      </w:r>
      <w:proofErr w:type="gramStart"/>
      <w:r>
        <w:rPr>
          <w:color w:val="000000"/>
        </w:rPr>
        <w:t>del</w:t>
      </w:r>
      <w:proofErr w:type="gramEnd"/>
      <w:r>
        <w:rPr>
          <w:color w:val="000000"/>
        </w:rPr>
        <w:t xml:space="preserve"> </w:t>
      </w:r>
      <w:proofErr w:type="spellStart"/>
      <w:r>
        <w:rPr>
          <w:color w:val="000000"/>
        </w:rPr>
        <w:t>Instituto</w:t>
      </w:r>
      <w:proofErr w:type="spellEnd"/>
      <w:r>
        <w:rPr>
          <w:color w:val="000000"/>
        </w:rPr>
        <w:t xml:space="preserve"> </w:t>
      </w:r>
      <w:proofErr w:type="spellStart"/>
      <w:r>
        <w:rPr>
          <w:color w:val="000000"/>
        </w:rPr>
        <w:t>Politécnico</w:t>
      </w:r>
      <w:proofErr w:type="spellEnd"/>
      <w:r>
        <w:rPr>
          <w:color w:val="000000"/>
        </w:rPr>
        <w:t xml:space="preserve"> </w:t>
      </w:r>
      <w:proofErr w:type="spellStart"/>
      <w:r>
        <w:rPr>
          <w:color w:val="000000"/>
        </w:rPr>
        <w:t>Nacion</w:t>
      </w:r>
      <w:r>
        <w:rPr>
          <w:color w:val="000000"/>
        </w:rPr>
        <w:t>al</w:t>
      </w:r>
      <w:proofErr w:type="spellEnd"/>
      <w:r>
        <w:rPr>
          <w:color w:val="000000"/>
        </w:rPr>
        <w:t xml:space="preserve">, </w:t>
      </w:r>
      <w:proofErr w:type="spellStart"/>
      <w:r>
        <w:rPr>
          <w:color w:val="000000"/>
        </w:rPr>
        <w:t>Unidad</w:t>
      </w:r>
      <w:proofErr w:type="spellEnd"/>
      <w:r>
        <w:rPr>
          <w:color w:val="000000"/>
        </w:rPr>
        <w:t xml:space="preserve"> Irapuato.</w:t>
      </w:r>
      <w:r>
        <w:rPr>
          <w:color w:val="000000"/>
        </w:rPr>
        <w:cr/>
        <w:t xml:space="preserve">Km. 9.6 </w:t>
      </w:r>
      <w:proofErr w:type="spellStart"/>
      <w:r>
        <w:rPr>
          <w:color w:val="000000"/>
        </w:rPr>
        <w:t>Libramiento</w:t>
      </w:r>
      <w:proofErr w:type="spellEnd"/>
      <w:r>
        <w:rPr>
          <w:color w:val="000000"/>
        </w:rPr>
        <w:t xml:space="preserve"> Norte, </w:t>
      </w:r>
      <w:proofErr w:type="spellStart"/>
      <w:r>
        <w:rPr>
          <w:color w:val="000000"/>
        </w:rPr>
        <w:t>Carretera</w:t>
      </w:r>
      <w:proofErr w:type="spellEnd"/>
      <w:r>
        <w:rPr>
          <w:color w:val="000000"/>
        </w:rPr>
        <w:t xml:space="preserve"> Irapuato-León. </w:t>
      </w:r>
      <w:r>
        <w:rPr>
          <w:color w:val="000000"/>
        </w:rPr>
        <w:cr/>
        <w:t xml:space="preserve">Irapuato, </w:t>
      </w:r>
      <w:proofErr w:type="spellStart"/>
      <w:r>
        <w:rPr>
          <w:color w:val="000000"/>
        </w:rPr>
        <w:t>Gto</w:t>
      </w:r>
      <w:proofErr w:type="spellEnd"/>
      <w:r>
        <w:rPr>
          <w:color w:val="000000"/>
        </w:rPr>
        <w:t xml:space="preserve">. </w:t>
      </w:r>
      <w:proofErr w:type="gramStart"/>
      <w:r>
        <w:rPr>
          <w:color w:val="000000"/>
        </w:rPr>
        <w:t>México.</w:t>
      </w:r>
      <w:proofErr w:type="gramEnd"/>
      <w:r>
        <w:rPr>
          <w:color w:val="000000"/>
        </w:rPr>
        <w:t xml:space="preserve"> </w:t>
      </w:r>
      <w:proofErr w:type="gramStart"/>
      <w:r>
        <w:rPr>
          <w:color w:val="000000"/>
        </w:rPr>
        <w:t>C.P. 36821.</w:t>
      </w:r>
      <w:proofErr w:type="gramEnd"/>
      <w:r>
        <w:rPr>
          <w:color w:val="000000"/>
        </w:rPr>
        <w:cr/>
        <w:t xml:space="preserve">E-mail: </w:t>
      </w:r>
      <w:r>
        <w:t>aestrada@ira.cinvestav.mx</w:t>
      </w:r>
      <w:r>
        <w:rPr>
          <w:color w:val="000000"/>
        </w:rPr>
        <w:cr/>
        <w:t>Tel: +052 462 6239600 ext. 455; Fax: +052 462 6245849</w:t>
      </w:r>
      <w:r>
        <w:rPr>
          <w:color w:val="000000"/>
        </w:rPr>
        <w:cr/>
      </w:r>
    </w:p>
    <w:p w:rsidR="00000000" w:rsidRDefault="009E6419">
      <w:pPr>
        <w:rPr>
          <w:color w:val="000000"/>
        </w:rPr>
      </w:pPr>
    </w:p>
    <w:p w:rsidR="00000000" w:rsidRDefault="009E6419">
      <w:pPr>
        <w:rPr>
          <w:color w:val="000000"/>
        </w:rPr>
      </w:pPr>
    </w:p>
    <w:p w:rsidR="00000000" w:rsidRDefault="009E6419">
      <w:pPr>
        <w:rPr>
          <w:color w:val="000000"/>
        </w:rPr>
      </w:pPr>
    </w:p>
    <w:p w:rsidR="00000000" w:rsidRDefault="009E6419">
      <w:pPr>
        <w:rPr>
          <w:color w:val="000000"/>
        </w:rPr>
      </w:pPr>
    </w:p>
    <w:p w:rsidR="00000000" w:rsidRDefault="009E6419">
      <w:pPr>
        <w:rPr>
          <w:color w:val="000000"/>
        </w:rPr>
      </w:pPr>
    </w:p>
    <w:p w:rsidR="00000000" w:rsidRDefault="009E6419">
      <w:pPr>
        <w:rPr>
          <w:color w:val="000000"/>
        </w:rPr>
      </w:pPr>
    </w:p>
    <w:p w:rsidR="00000000" w:rsidRDefault="009E6419">
      <w:pPr>
        <w:spacing w:line="360" w:lineRule="auto"/>
        <w:rPr>
          <w:color w:val="000000"/>
        </w:rPr>
      </w:pPr>
      <w:r>
        <w:rPr>
          <w:b/>
          <w:color w:val="000000"/>
        </w:rPr>
        <w:lastRenderedPageBreak/>
        <w:t>Abstract</w:t>
      </w:r>
      <w:r>
        <w:rPr>
          <w:color w:val="000000"/>
        </w:rPr>
        <w:cr/>
      </w:r>
      <w:proofErr w:type="spellStart"/>
      <w:r>
        <w:rPr>
          <w:i/>
          <w:color w:val="000000"/>
        </w:rPr>
        <w:t>Ortegocactus</w:t>
      </w:r>
      <w:proofErr w:type="spellEnd"/>
      <w:r>
        <w:rPr>
          <w:i/>
          <w:color w:val="000000"/>
        </w:rPr>
        <w:t xml:space="preserve"> </w:t>
      </w:r>
      <w:proofErr w:type="spellStart"/>
      <w:r>
        <w:rPr>
          <w:i/>
          <w:color w:val="000000"/>
        </w:rPr>
        <w:t>macdougalli</w:t>
      </w:r>
      <w:proofErr w:type="spellEnd"/>
      <w:r>
        <w:rPr>
          <w:color w:val="000000"/>
        </w:rPr>
        <w:t xml:space="preserve"> A</w:t>
      </w:r>
      <w:proofErr w:type="gramStart"/>
      <w:r>
        <w:rPr>
          <w:color w:val="000000"/>
        </w:rPr>
        <w:t>.,</w:t>
      </w:r>
      <w:proofErr w:type="gramEnd"/>
      <w:r>
        <w:rPr>
          <w:color w:val="000000"/>
        </w:rPr>
        <w:t xml:space="preserve"> is an endemic </w:t>
      </w:r>
      <w:r>
        <w:rPr>
          <w:color w:val="000000"/>
        </w:rPr>
        <w:t>Mexican cactus recently classified as a threatened plant species by the Government of Mexico.  In order to rescue this plant from the risk of extinction and because conventional systems produce low rates of propagation, we performed a series of experiments</w:t>
      </w:r>
      <w:r>
        <w:rPr>
          <w:color w:val="000000"/>
        </w:rPr>
        <w:t xml:space="preserve"> to establish the scientific basis for a more reliable and efficient method through </w:t>
      </w:r>
      <w:proofErr w:type="spellStart"/>
      <w:r>
        <w:rPr>
          <w:color w:val="000000"/>
        </w:rPr>
        <w:t>micropropagation</w:t>
      </w:r>
      <w:proofErr w:type="spellEnd"/>
      <w:r>
        <w:rPr>
          <w:color w:val="000000"/>
        </w:rPr>
        <w:t xml:space="preserve">. The response of explants comprising tissues of tubercles and </w:t>
      </w:r>
      <w:proofErr w:type="spellStart"/>
      <w:r>
        <w:rPr>
          <w:color w:val="000000"/>
        </w:rPr>
        <w:t>axillary</w:t>
      </w:r>
      <w:proofErr w:type="spellEnd"/>
      <w:r>
        <w:rPr>
          <w:color w:val="000000"/>
        </w:rPr>
        <w:t xml:space="preserve"> </w:t>
      </w:r>
      <w:proofErr w:type="spellStart"/>
      <w:r>
        <w:rPr>
          <w:color w:val="000000"/>
        </w:rPr>
        <w:t>meristems</w:t>
      </w:r>
      <w:proofErr w:type="spellEnd"/>
      <w:r>
        <w:rPr>
          <w:color w:val="000000"/>
        </w:rPr>
        <w:t xml:space="preserve"> (areoles) to two plant growth regulators were initially studied. Then, the</w:t>
      </w:r>
      <w:r>
        <w:rPr>
          <w:color w:val="000000"/>
        </w:rPr>
        <w:t xml:space="preserve"> conditions for the shoot proliferation stage were optimized by modifying the best treatment obtained from the initial cultures with two new treatments of 6-Benzylaminopurine (BA) and the same concentration of </w:t>
      </w:r>
      <w:r>
        <w:rPr>
          <w:color w:val="000000"/>
        </w:rPr>
        <w:sym w:font="Symbol" w:char="F061"/>
      </w:r>
      <w:r>
        <w:rPr>
          <w:color w:val="000000"/>
        </w:rPr>
        <w:t>-</w:t>
      </w:r>
      <w:proofErr w:type="spellStart"/>
      <w:r>
        <w:rPr>
          <w:color w:val="000000"/>
        </w:rPr>
        <w:t>Naphtalenacetic</w:t>
      </w:r>
      <w:proofErr w:type="spellEnd"/>
      <w:r>
        <w:rPr>
          <w:color w:val="000000"/>
        </w:rPr>
        <w:t xml:space="preserve"> acid (NAA). During the rooti</w:t>
      </w:r>
      <w:r>
        <w:rPr>
          <w:color w:val="000000"/>
        </w:rPr>
        <w:t xml:space="preserve">ng stage, four treatments to induce adventitious root formation were tested. The regenerated plantlets were transplanted, acclimatized, and evaluated for plant performance and survival after six months of greenhouse culture. A successful </w:t>
      </w:r>
      <w:r>
        <w:rPr>
          <w:i/>
          <w:color w:val="000000"/>
        </w:rPr>
        <w:t>in vitro</w:t>
      </w:r>
      <w:r>
        <w:rPr>
          <w:color w:val="000000"/>
        </w:rPr>
        <w:t xml:space="preserve"> propagati</w:t>
      </w:r>
      <w:r>
        <w:rPr>
          <w:color w:val="000000"/>
        </w:rPr>
        <w:t xml:space="preserve">on system in which shoot induction and proliferation are induced by two </w:t>
      </w:r>
      <w:proofErr w:type="spellStart"/>
      <w:r>
        <w:rPr>
          <w:color w:val="000000"/>
        </w:rPr>
        <w:t>organogenic</w:t>
      </w:r>
      <w:proofErr w:type="spellEnd"/>
      <w:r>
        <w:rPr>
          <w:color w:val="000000"/>
        </w:rPr>
        <w:t xml:space="preserve"> phenomena (direct adventitious bud formation and activation of pre-formed </w:t>
      </w:r>
      <w:proofErr w:type="spellStart"/>
      <w:r>
        <w:rPr>
          <w:color w:val="000000"/>
        </w:rPr>
        <w:t>axillary</w:t>
      </w:r>
      <w:proofErr w:type="spellEnd"/>
      <w:r>
        <w:rPr>
          <w:color w:val="000000"/>
        </w:rPr>
        <w:t xml:space="preserve"> </w:t>
      </w:r>
      <w:proofErr w:type="spellStart"/>
      <w:r>
        <w:rPr>
          <w:color w:val="000000"/>
        </w:rPr>
        <w:t>meristems</w:t>
      </w:r>
      <w:proofErr w:type="spellEnd"/>
      <w:r>
        <w:rPr>
          <w:color w:val="000000"/>
        </w:rPr>
        <w:t xml:space="preserve"> of areoles) is published for the first time, in this article. It is estimated t</w:t>
      </w:r>
      <w:r>
        <w:rPr>
          <w:color w:val="000000"/>
        </w:rPr>
        <w:t>hat the use of this system may regenerate about 15,625 plantlets after five rounds of subcultures and about 21 months of culture.</w:t>
      </w:r>
      <w:r>
        <w:rPr>
          <w:color w:val="000000"/>
        </w:rPr>
        <w:cr/>
      </w:r>
      <w:r>
        <w:rPr>
          <w:color w:val="000000"/>
        </w:rPr>
        <w:cr/>
      </w:r>
      <w:r>
        <w:rPr>
          <w:b/>
          <w:color w:val="000000"/>
        </w:rPr>
        <w:t xml:space="preserve">Key Words: </w:t>
      </w:r>
      <w:proofErr w:type="spellStart"/>
      <w:r>
        <w:rPr>
          <w:i/>
          <w:color w:val="000000"/>
        </w:rPr>
        <w:t>Ortegocactus</w:t>
      </w:r>
      <w:proofErr w:type="spellEnd"/>
      <w:r>
        <w:rPr>
          <w:i/>
          <w:color w:val="000000"/>
        </w:rPr>
        <w:t xml:space="preserve"> </w:t>
      </w:r>
      <w:proofErr w:type="spellStart"/>
      <w:r>
        <w:rPr>
          <w:i/>
          <w:color w:val="000000"/>
        </w:rPr>
        <w:t>macdougalli</w:t>
      </w:r>
      <w:proofErr w:type="spellEnd"/>
      <w:r>
        <w:rPr>
          <w:i/>
          <w:color w:val="000000"/>
        </w:rPr>
        <w:t xml:space="preserve"> </w:t>
      </w:r>
      <w:r>
        <w:rPr>
          <w:color w:val="000000"/>
        </w:rPr>
        <w:t xml:space="preserve">Alexander, </w:t>
      </w:r>
      <w:proofErr w:type="spellStart"/>
      <w:r>
        <w:rPr>
          <w:color w:val="000000"/>
        </w:rPr>
        <w:t>Biznaga</w:t>
      </w:r>
      <w:proofErr w:type="spellEnd"/>
      <w:r>
        <w:rPr>
          <w:color w:val="000000"/>
        </w:rPr>
        <w:t xml:space="preserve"> </w:t>
      </w:r>
      <w:proofErr w:type="spellStart"/>
      <w:r>
        <w:rPr>
          <w:color w:val="000000"/>
        </w:rPr>
        <w:t>Pistache</w:t>
      </w:r>
      <w:proofErr w:type="spellEnd"/>
      <w:r>
        <w:rPr>
          <w:color w:val="000000"/>
        </w:rPr>
        <w:t xml:space="preserve"> de Chico Ortega, </w:t>
      </w:r>
      <w:proofErr w:type="spellStart"/>
      <w:r>
        <w:rPr>
          <w:color w:val="000000"/>
        </w:rPr>
        <w:t>micropropagation</w:t>
      </w:r>
      <w:proofErr w:type="spellEnd"/>
      <w:r>
        <w:rPr>
          <w:color w:val="000000"/>
        </w:rPr>
        <w:t xml:space="preserve">, </w:t>
      </w:r>
      <w:r>
        <w:rPr>
          <w:i/>
          <w:color w:val="000000"/>
        </w:rPr>
        <w:t xml:space="preserve">in vitro </w:t>
      </w:r>
      <w:r>
        <w:rPr>
          <w:color w:val="000000"/>
        </w:rPr>
        <w:t>propagation, Cact</w:t>
      </w:r>
      <w:r>
        <w:rPr>
          <w:color w:val="000000"/>
        </w:rPr>
        <w:t xml:space="preserve">i, </w:t>
      </w:r>
      <w:proofErr w:type="spellStart"/>
      <w:r>
        <w:rPr>
          <w:color w:val="000000"/>
        </w:rPr>
        <w:t>Cactaceae</w:t>
      </w:r>
      <w:proofErr w:type="spellEnd"/>
      <w:r>
        <w:rPr>
          <w:color w:val="000000"/>
        </w:rPr>
        <w:t>.</w:t>
      </w:r>
    </w:p>
    <w:p w:rsidR="00000000" w:rsidRDefault="009E6419">
      <w:pPr>
        <w:spacing w:line="360" w:lineRule="auto"/>
        <w:rPr>
          <w:color w:val="000000"/>
        </w:rPr>
      </w:pPr>
    </w:p>
    <w:p w:rsidR="00000000" w:rsidRDefault="009E6419">
      <w:pPr>
        <w:pStyle w:val="BodyText"/>
        <w:spacing w:line="360" w:lineRule="auto"/>
        <w:rPr>
          <w:b w:val="0"/>
          <w:i/>
        </w:rPr>
      </w:pPr>
      <w:r>
        <w:t xml:space="preserve">Running Title: </w:t>
      </w:r>
      <w:proofErr w:type="spellStart"/>
      <w:r>
        <w:rPr>
          <w:b w:val="0"/>
        </w:rPr>
        <w:t>Micropropagation</w:t>
      </w:r>
      <w:proofErr w:type="spellEnd"/>
      <w:r>
        <w:rPr>
          <w:b w:val="0"/>
        </w:rPr>
        <w:t xml:space="preserve"> of </w:t>
      </w:r>
      <w:proofErr w:type="spellStart"/>
      <w:r>
        <w:rPr>
          <w:b w:val="0"/>
          <w:i/>
        </w:rPr>
        <w:t>Ortegocactus</w:t>
      </w:r>
      <w:proofErr w:type="spellEnd"/>
      <w:r>
        <w:rPr>
          <w:b w:val="0"/>
          <w:i/>
        </w:rPr>
        <w:t xml:space="preserve"> </w:t>
      </w:r>
      <w:proofErr w:type="spellStart"/>
      <w:r>
        <w:rPr>
          <w:b w:val="0"/>
          <w:i/>
        </w:rPr>
        <w:t>macdougallii</w:t>
      </w:r>
      <w:proofErr w:type="spellEnd"/>
      <w:r>
        <w:rPr>
          <w:b w:val="0"/>
          <w:i/>
        </w:rPr>
        <w:t xml:space="preserve"> </w:t>
      </w:r>
      <w:r>
        <w:rPr>
          <w:b w:val="0"/>
        </w:rPr>
        <w:t>A</w:t>
      </w:r>
      <w:r>
        <w:rPr>
          <w:b w:val="0"/>
          <w:i/>
        </w:rPr>
        <w:t>.</w:t>
      </w:r>
    </w:p>
    <w:p w:rsidR="00000000" w:rsidRDefault="009E6419">
      <w:pPr>
        <w:pStyle w:val="BodyText"/>
        <w:spacing w:line="360" w:lineRule="auto"/>
        <w:rPr>
          <w:b w:val="0"/>
        </w:rPr>
      </w:pPr>
    </w:p>
    <w:p w:rsidR="00000000" w:rsidRDefault="009E6419">
      <w:pPr>
        <w:pStyle w:val="BodyText"/>
        <w:spacing w:line="360" w:lineRule="auto"/>
      </w:pPr>
      <w:r>
        <w:t xml:space="preserve">Abbreviations: </w:t>
      </w:r>
      <w:r>
        <w:rPr>
          <w:b w:val="0"/>
        </w:rPr>
        <w:t xml:space="preserve">NAA: </w:t>
      </w:r>
      <w:r>
        <w:rPr>
          <w:b w:val="0"/>
        </w:rPr>
        <w:sym w:font="Symbol" w:char="F061"/>
      </w:r>
      <w:r>
        <w:rPr>
          <w:b w:val="0"/>
        </w:rPr>
        <w:t>-</w:t>
      </w:r>
      <w:proofErr w:type="spellStart"/>
      <w:r>
        <w:rPr>
          <w:b w:val="0"/>
        </w:rPr>
        <w:t>Napht</w:t>
      </w:r>
      <w:r w:rsidR="003E3F73">
        <w:rPr>
          <w:b w:val="0"/>
        </w:rPr>
        <w:t>h</w:t>
      </w:r>
      <w:r>
        <w:rPr>
          <w:b w:val="0"/>
        </w:rPr>
        <w:t>alen</w:t>
      </w:r>
      <w:r w:rsidR="003E3F73">
        <w:rPr>
          <w:b w:val="0"/>
        </w:rPr>
        <w:t>e</w:t>
      </w:r>
      <w:r>
        <w:rPr>
          <w:b w:val="0"/>
        </w:rPr>
        <w:t>acetic</w:t>
      </w:r>
      <w:proofErr w:type="spellEnd"/>
      <w:r>
        <w:rPr>
          <w:b w:val="0"/>
        </w:rPr>
        <w:t xml:space="preserve"> acid, BA: 6-Benzylaminopurine, MS: </w:t>
      </w:r>
      <w:proofErr w:type="spellStart"/>
      <w:r>
        <w:rPr>
          <w:b w:val="0"/>
        </w:rPr>
        <w:t>Murashige</w:t>
      </w:r>
      <w:proofErr w:type="spellEnd"/>
      <w:r>
        <w:rPr>
          <w:b w:val="0"/>
        </w:rPr>
        <w:t xml:space="preserve"> and </w:t>
      </w:r>
      <w:proofErr w:type="spellStart"/>
      <w:r>
        <w:rPr>
          <w:b w:val="0"/>
        </w:rPr>
        <w:t>Skoog</w:t>
      </w:r>
      <w:proofErr w:type="spellEnd"/>
      <w:r>
        <w:rPr>
          <w:b w:val="0"/>
        </w:rPr>
        <w:t xml:space="preserve"> (1962) culture medium, PPFD: photosynthetic photon flux density, ANOVA: Analysis of</w:t>
      </w:r>
      <w:r>
        <w:rPr>
          <w:b w:val="0"/>
        </w:rPr>
        <w:t xml:space="preserve"> variance.</w:t>
      </w:r>
    </w:p>
    <w:p w:rsidR="00000000" w:rsidRDefault="009E6419">
      <w:pPr>
        <w:spacing w:line="360" w:lineRule="auto"/>
        <w:rPr>
          <w:color w:val="000000"/>
        </w:rPr>
      </w:pPr>
      <w:r>
        <w:rPr>
          <w:color w:val="000000"/>
        </w:rPr>
        <w:cr/>
      </w:r>
      <w:r>
        <w:rPr>
          <w:b/>
          <w:color w:val="000000"/>
        </w:rPr>
        <w:t>INTRODUCTION</w:t>
      </w:r>
      <w:r>
        <w:rPr>
          <w:b/>
          <w:color w:val="000000"/>
        </w:rPr>
        <w:cr/>
      </w:r>
      <w:r>
        <w:rPr>
          <w:color w:val="000000"/>
        </w:rPr>
        <w:t xml:space="preserve">The </w:t>
      </w:r>
      <w:proofErr w:type="spellStart"/>
      <w:r>
        <w:rPr>
          <w:color w:val="000000"/>
        </w:rPr>
        <w:t>Cactacea</w:t>
      </w:r>
      <w:proofErr w:type="spellEnd"/>
      <w:r>
        <w:rPr>
          <w:color w:val="000000"/>
        </w:rPr>
        <w:t xml:space="preserve"> family includes about 130 genera and 2,000 species. These plants are important from an ecological point of view [Arias 1993, Bravo-Hollis</w:t>
      </w:r>
      <w:r>
        <w:rPr>
          <w:color w:val="000080"/>
        </w:rPr>
        <w:t xml:space="preserve"> </w:t>
      </w:r>
      <w:r>
        <w:rPr>
          <w:color w:val="000000"/>
        </w:rPr>
        <w:t xml:space="preserve">1978, </w:t>
      </w:r>
      <w:proofErr w:type="spellStart"/>
      <w:r>
        <w:rPr>
          <w:color w:val="000000"/>
        </w:rPr>
        <w:t>Comisión</w:t>
      </w:r>
      <w:proofErr w:type="spellEnd"/>
      <w:r>
        <w:rPr>
          <w:color w:val="000000"/>
        </w:rPr>
        <w:t xml:space="preserve"> </w:t>
      </w:r>
      <w:proofErr w:type="spellStart"/>
      <w:r>
        <w:rPr>
          <w:color w:val="000000"/>
        </w:rPr>
        <w:lastRenderedPageBreak/>
        <w:t>Nacional</w:t>
      </w:r>
      <w:proofErr w:type="spellEnd"/>
      <w:r>
        <w:rPr>
          <w:color w:val="000000"/>
        </w:rPr>
        <w:t xml:space="preserve"> </w:t>
      </w:r>
      <w:proofErr w:type="spellStart"/>
      <w:r>
        <w:rPr>
          <w:color w:val="000000"/>
        </w:rPr>
        <w:t>para</w:t>
      </w:r>
      <w:proofErr w:type="spellEnd"/>
      <w:r>
        <w:rPr>
          <w:color w:val="000000"/>
        </w:rPr>
        <w:t xml:space="preserve"> el </w:t>
      </w:r>
      <w:proofErr w:type="spellStart"/>
      <w:r>
        <w:rPr>
          <w:color w:val="000000"/>
        </w:rPr>
        <w:t>Conocimiento</w:t>
      </w:r>
      <w:proofErr w:type="spellEnd"/>
      <w:r>
        <w:rPr>
          <w:color w:val="000000"/>
        </w:rPr>
        <w:t xml:space="preserve"> y </w:t>
      </w:r>
      <w:proofErr w:type="spellStart"/>
      <w:r>
        <w:rPr>
          <w:color w:val="000000"/>
        </w:rPr>
        <w:t>Uso</w:t>
      </w:r>
      <w:proofErr w:type="spellEnd"/>
      <w:r>
        <w:rPr>
          <w:color w:val="000000"/>
        </w:rPr>
        <w:t xml:space="preserve"> de la </w:t>
      </w:r>
      <w:proofErr w:type="spellStart"/>
      <w:r>
        <w:rPr>
          <w:color w:val="000000"/>
        </w:rPr>
        <w:t>Biodiversidad</w:t>
      </w:r>
      <w:proofErr w:type="spellEnd"/>
      <w:r>
        <w:rPr>
          <w:color w:val="000000"/>
        </w:rPr>
        <w:t xml:space="preserve"> (CONABIO)</w:t>
      </w:r>
      <w:r>
        <w:rPr>
          <w:color w:val="000000"/>
        </w:rPr>
        <w:t xml:space="preserve"> 1997]; as ornamentals (Anderson 2001, </w:t>
      </w:r>
      <w:proofErr w:type="spellStart"/>
      <w:r>
        <w:rPr>
          <w:color w:val="000000"/>
        </w:rPr>
        <w:t>Cullmann</w:t>
      </w:r>
      <w:proofErr w:type="spellEnd"/>
      <w:r>
        <w:rPr>
          <w:color w:val="000000"/>
        </w:rPr>
        <w:t xml:space="preserve"> et al. 1986), and for the products they provide —fruits, seeds, stems, roots, flowers—; which</w:t>
      </w:r>
      <w:r>
        <w:rPr>
          <w:color w:val="F5120F"/>
        </w:rPr>
        <w:t xml:space="preserve"> </w:t>
      </w:r>
      <w:r>
        <w:rPr>
          <w:color w:val="000000"/>
        </w:rPr>
        <w:t>are known to contain several useful chemical compounds with desirable nutritional and medicinal properties (Gentil</w:t>
      </w:r>
      <w:r>
        <w:rPr>
          <w:color w:val="000000"/>
        </w:rPr>
        <w:t xml:space="preserve">e et al. 2004, </w:t>
      </w:r>
      <w:proofErr w:type="spellStart"/>
      <w:r>
        <w:rPr>
          <w:color w:val="000000"/>
        </w:rPr>
        <w:t>Karimi-Narges</w:t>
      </w:r>
      <w:proofErr w:type="spellEnd"/>
      <w:r>
        <w:rPr>
          <w:color w:val="000000"/>
        </w:rPr>
        <w:t xml:space="preserve"> and </w:t>
      </w:r>
      <w:proofErr w:type="spellStart"/>
      <w:r>
        <w:rPr>
          <w:color w:val="000000"/>
        </w:rPr>
        <w:t>Ebrahimi-Morteza</w:t>
      </w:r>
      <w:proofErr w:type="spellEnd"/>
      <w:r>
        <w:rPr>
          <w:color w:val="000000"/>
        </w:rPr>
        <w:t xml:space="preserve"> 2010, </w:t>
      </w:r>
      <w:proofErr w:type="spellStart"/>
      <w:r>
        <w:rPr>
          <w:color w:val="000000"/>
        </w:rPr>
        <w:t>Utkarsha</w:t>
      </w:r>
      <w:proofErr w:type="spellEnd"/>
      <w:r>
        <w:rPr>
          <w:color w:val="000000"/>
        </w:rPr>
        <w:t xml:space="preserve"> et al. 2010). </w:t>
      </w:r>
      <w:r>
        <w:rPr>
          <w:color w:val="000000"/>
        </w:rPr>
        <w:cr/>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i/>
          <w:color w:val="000000"/>
        </w:rPr>
        <w:t xml:space="preserve"> </w:t>
      </w:r>
      <w:r>
        <w:rPr>
          <w:color w:val="000000"/>
        </w:rPr>
        <w:t>A., in particular, is a highly appreciated ornamental cactus, commonly referred to, in Spanish, as “</w:t>
      </w:r>
      <w:proofErr w:type="spellStart"/>
      <w:r>
        <w:rPr>
          <w:color w:val="000000"/>
        </w:rPr>
        <w:t>Biznaga</w:t>
      </w:r>
      <w:proofErr w:type="spellEnd"/>
      <w:r>
        <w:rPr>
          <w:color w:val="000000"/>
        </w:rPr>
        <w:t xml:space="preserve"> </w:t>
      </w:r>
      <w:proofErr w:type="spellStart"/>
      <w:r>
        <w:rPr>
          <w:color w:val="000000"/>
        </w:rPr>
        <w:t>Pistache</w:t>
      </w:r>
      <w:proofErr w:type="spellEnd"/>
      <w:r>
        <w:rPr>
          <w:color w:val="000000"/>
        </w:rPr>
        <w:t xml:space="preserve"> de Chico Ortega". This plant is e</w:t>
      </w:r>
      <w:r>
        <w:rPr>
          <w:color w:val="000000"/>
        </w:rPr>
        <w:t xml:space="preserve">ndemic </w:t>
      </w:r>
      <w:r w:rsidR="003E3F73">
        <w:rPr>
          <w:color w:val="000000"/>
        </w:rPr>
        <w:t xml:space="preserve">in </w:t>
      </w:r>
      <w:r>
        <w:rPr>
          <w:color w:val="000000"/>
        </w:rPr>
        <w:t xml:space="preserve">Mexico and is distributed in a small area located in the municipality of San José </w:t>
      </w:r>
      <w:proofErr w:type="spellStart"/>
      <w:r>
        <w:rPr>
          <w:color w:val="000000"/>
        </w:rPr>
        <w:t>Lachiguiri</w:t>
      </w:r>
      <w:proofErr w:type="spellEnd"/>
      <w:r>
        <w:rPr>
          <w:color w:val="000000"/>
        </w:rPr>
        <w:t xml:space="preserve"> of the State of Oaxaca (Alexander 1961, </w:t>
      </w:r>
      <w:proofErr w:type="spellStart"/>
      <w:r>
        <w:rPr>
          <w:color w:val="000000"/>
        </w:rPr>
        <w:t>Weightman</w:t>
      </w:r>
      <w:proofErr w:type="spellEnd"/>
      <w:r>
        <w:rPr>
          <w:color w:val="000000"/>
        </w:rPr>
        <w:t xml:space="preserve"> 2004). It belongs to the monotypic genus </w:t>
      </w:r>
      <w:proofErr w:type="spellStart"/>
      <w:r>
        <w:rPr>
          <w:i/>
          <w:color w:val="000000"/>
        </w:rPr>
        <w:t>Ortegocactus</w:t>
      </w:r>
      <w:proofErr w:type="spellEnd"/>
      <w:r>
        <w:rPr>
          <w:i/>
          <w:color w:val="000000"/>
        </w:rPr>
        <w:t xml:space="preserve">, </w:t>
      </w:r>
      <w:r>
        <w:rPr>
          <w:color w:val="000000"/>
        </w:rPr>
        <w:t xml:space="preserve">which only includes the </w:t>
      </w:r>
      <w:proofErr w:type="spellStart"/>
      <w:r>
        <w:rPr>
          <w:i/>
          <w:color w:val="000000"/>
        </w:rPr>
        <w:t>macdougallii</w:t>
      </w:r>
      <w:proofErr w:type="spellEnd"/>
      <w:r>
        <w:rPr>
          <w:i/>
          <w:color w:val="000000"/>
        </w:rPr>
        <w:t xml:space="preserve"> </w:t>
      </w:r>
      <w:r>
        <w:rPr>
          <w:color w:val="000000"/>
        </w:rPr>
        <w:t>species (</w:t>
      </w:r>
      <w:proofErr w:type="spellStart"/>
      <w:r>
        <w:rPr>
          <w:color w:val="000000"/>
        </w:rPr>
        <w:t>Pi</w:t>
      </w:r>
      <w:r>
        <w:rPr>
          <w:color w:val="000000"/>
        </w:rPr>
        <w:t>lbeam</w:t>
      </w:r>
      <w:proofErr w:type="spellEnd"/>
      <w:r>
        <w:rPr>
          <w:color w:val="000000"/>
        </w:rPr>
        <w:t xml:space="preserve"> and </w:t>
      </w:r>
      <w:proofErr w:type="spellStart"/>
      <w:r>
        <w:rPr>
          <w:color w:val="000000"/>
        </w:rPr>
        <w:t>Weightman</w:t>
      </w:r>
      <w:proofErr w:type="spellEnd"/>
      <w:r>
        <w:rPr>
          <w:color w:val="000000"/>
        </w:rPr>
        <w:t xml:space="preserve"> 2006, </w:t>
      </w:r>
      <w:proofErr w:type="spellStart"/>
      <w:r>
        <w:rPr>
          <w:color w:val="000000"/>
        </w:rPr>
        <w:t>Weightman</w:t>
      </w:r>
      <w:proofErr w:type="spellEnd"/>
      <w:r>
        <w:rPr>
          <w:color w:val="000000"/>
        </w:rPr>
        <w:t xml:space="preserve"> 2004). Unfortunately, native populations of this cactus show a clear tendency to disappear as the result of a combination of different factors, including soil degradation and human over-collection of adult plants, fruits</w:t>
      </w:r>
      <w:r>
        <w:rPr>
          <w:color w:val="000000"/>
        </w:rPr>
        <w:t>, seeds, and seedlings. Adult plants are coveted by collectors because of their unique morphological traits (yellow flowers, tiny size, and the olive-green color of the stems) (</w:t>
      </w:r>
      <w:proofErr w:type="spellStart"/>
      <w:r>
        <w:rPr>
          <w:color w:val="000000"/>
        </w:rPr>
        <w:t>Pilbeam</w:t>
      </w:r>
      <w:proofErr w:type="spellEnd"/>
      <w:r>
        <w:rPr>
          <w:color w:val="000000"/>
        </w:rPr>
        <w:t xml:space="preserve"> and </w:t>
      </w:r>
      <w:proofErr w:type="spellStart"/>
      <w:r>
        <w:rPr>
          <w:color w:val="000000"/>
        </w:rPr>
        <w:t>Weightman</w:t>
      </w:r>
      <w:proofErr w:type="spellEnd"/>
      <w:r>
        <w:rPr>
          <w:color w:val="000000"/>
        </w:rPr>
        <w:t xml:space="preserve"> 2006). Other factors, which</w:t>
      </w:r>
      <w:r>
        <w:rPr>
          <w:color w:val="FF1E15"/>
        </w:rPr>
        <w:t xml:space="preserve"> </w:t>
      </w:r>
      <w:r>
        <w:rPr>
          <w:color w:val="000000"/>
        </w:rPr>
        <w:t>relate to its biology and pro</w:t>
      </w:r>
      <w:r>
        <w:rPr>
          <w:color w:val="000000"/>
        </w:rPr>
        <w:t>pagation, make</w:t>
      </w:r>
      <w:r>
        <w:rPr>
          <w:color w:val="FC1334"/>
        </w:rPr>
        <w:t xml:space="preserve"> </w:t>
      </w:r>
      <w:r>
        <w:rPr>
          <w:color w:val="000000"/>
        </w:rPr>
        <w:t>the future of this plant species a critical issue. Some of these factors are: very slow growth rates, reduced sprout production, low germination, incompatibility that results in a poor fruit and seed set, and low survival of seedlings growin</w:t>
      </w:r>
      <w:r>
        <w:rPr>
          <w:color w:val="000000"/>
        </w:rPr>
        <w:t xml:space="preserve">g under natural habitats.  In response to this situation, the Mexican government recently classified </w:t>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i/>
          <w:color w:val="000000"/>
        </w:rPr>
        <w:t xml:space="preserve"> </w:t>
      </w:r>
      <w:r>
        <w:rPr>
          <w:color w:val="000000"/>
        </w:rPr>
        <w:t>A., as a threatened plant species (NOM-059-SEMARNAT-2010). It has now become urgent to study its biology and physiology to establ</w:t>
      </w:r>
      <w:r>
        <w:rPr>
          <w:color w:val="000000"/>
        </w:rPr>
        <w:t>ish the scientific</w:t>
      </w:r>
      <w:r>
        <w:rPr>
          <w:color w:val="2C32FF"/>
        </w:rPr>
        <w:t xml:space="preserve"> </w:t>
      </w:r>
      <w:r>
        <w:rPr>
          <w:color w:val="000000"/>
        </w:rPr>
        <w:t>basis and the strategies to rescue and protect native populations</w:t>
      </w:r>
      <w:r>
        <w:rPr>
          <w:b/>
          <w:color w:val="000000"/>
        </w:rPr>
        <w:t xml:space="preserve">. </w:t>
      </w:r>
    </w:p>
    <w:p w:rsidR="00000000" w:rsidRDefault="009E6419">
      <w:pPr>
        <w:spacing w:line="360" w:lineRule="auto"/>
        <w:rPr>
          <w:color w:val="000000"/>
        </w:rPr>
      </w:pPr>
      <w:proofErr w:type="spellStart"/>
      <w:r>
        <w:rPr>
          <w:i/>
          <w:color w:val="000000"/>
        </w:rPr>
        <w:t>Ortegocactus</w:t>
      </w:r>
      <w:proofErr w:type="spellEnd"/>
      <w:r>
        <w:rPr>
          <w:i/>
          <w:color w:val="000000"/>
        </w:rPr>
        <w:t xml:space="preserve"> </w:t>
      </w:r>
      <w:proofErr w:type="spellStart"/>
      <w:r>
        <w:rPr>
          <w:i/>
          <w:color w:val="000000"/>
        </w:rPr>
        <w:t>macdougallii</w:t>
      </w:r>
      <w:proofErr w:type="spellEnd"/>
      <w:r>
        <w:rPr>
          <w:i/>
          <w:color w:val="000000"/>
        </w:rPr>
        <w:t xml:space="preserve"> </w:t>
      </w:r>
      <w:r>
        <w:rPr>
          <w:color w:val="000000"/>
        </w:rPr>
        <w:t xml:space="preserve">A. can be propagated by seeds or through cuttings, however, the rates of propagation are very low because the plants produce very few </w:t>
      </w:r>
      <w:proofErr w:type="spellStart"/>
      <w:r>
        <w:rPr>
          <w:color w:val="000000"/>
        </w:rPr>
        <w:t>propagule</w:t>
      </w:r>
      <w:r>
        <w:rPr>
          <w:color w:val="000000"/>
        </w:rPr>
        <w:t>s</w:t>
      </w:r>
      <w:proofErr w:type="spellEnd"/>
      <w:r>
        <w:rPr>
          <w:color w:val="000000"/>
        </w:rPr>
        <w:t xml:space="preserve"> per year. In this sense, the use of tissue</w:t>
      </w:r>
      <w:r>
        <w:rPr>
          <w:color w:val="DD3818"/>
        </w:rPr>
        <w:t xml:space="preserve"> </w:t>
      </w:r>
      <w:r>
        <w:rPr>
          <w:color w:val="000000"/>
        </w:rPr>
        <w:t>culture techniques, which have proven to be an excellent tool for propagating many plant species (Hartmann et al. 2010), could assist not only in the rescue and sustainable conservation of this plant but also in</w:t>
      </w:r>
      <w:r>
        <w:rPr>
          <w:color w:val="000000"/>
        </w:rPr>
        <w:t xml:space="preserve"> the massive propagation to ensure plant availability for reforestation of native communities and, also, to satisfy the commercial demand from the nursery and ornamental industries. </w:t>
      </w:r>
      <w:proofErr w:type="spellStart"/>
      <w:r>
        <w:rPr>
          <w:color w:val="000000"/>
        </w:rPr>
        <w:t>Micropropagation</w:t>
      </w:r>
      <w:proofErr w:type="spellEnd"/>
      <w:r>
        <w:rPr>
          <w:color w:val="000000"/>
        </w:rPr>
        <w:t>, in particular, has been studied extensively to establish</w:t>
      </w:r>
      <w:r>
        <w:rPr>
          <w:color w:val="000000"/>
        </w:rPr>
        <w:t xml:space="preserve"> the scientific </w:t>
      </w:r>
      <w:r>
        <w:rPr>
          <w:color w:val="000000"/>
        </w:rPr>
        <w:lastRenderedPageBreak/>
        <w:t xml:space="preserve">basis for cloning more than 50 different cacti, including at least 35 threatened or endangered species. The success of </w:t>
      </w:r>
      <w:proofErr w:type="spellStart"/>
      <w:r>
        <w:rPr>
          <w:color w:val="000000"/>
        </w:rPr>
        <w:t>micropropagation</w:t>
      </w:r>
      <w:proofErr w:type="spellEnd"/>
      <w:r>
        <w:rPr>
          <w:color w:val="000000"/>
        </w:rPr>
        <w:t xml:space="preserve"> systems, when used for cacti, lies in the fact that they offer additional advantages when compared with </w:t>
      </w:r>
      <w:r>
        <w:rPr>
          <w:color w:val="000000"/>
        </w:rPr>
        <w:t xml:space="preserve">conventional propagation systems: 1) they reduce the time for shoot production (Ault and Blackmon 1987); 2) they produce true-to-type or genetically stable individuals through activation of </w:t>
      </w:r>
      <w:proofErr w:type="spellStart"/>
      <w:r>
        <w:rPr>
          <w:color w:val="000000"/>
        </w:rPr>
        <w:t>axillary</w:t>
      </w:r>
      <w:proofErr w:type="spellEnd"/>
      <w:r>
        <w:rPr>
          <w:color w:val="000000"/>
        </w:rPr>
        <w:t xml:space="preserve"> </w:t>
      </w:r>
      <w:proofErr w:type="spellStart"/>
      <w:r>
        <w:rPr>
          <w:color w:val="000000"/>
        </w:rPr>
        <w:t>meristems</w:t>
      </w:r>
      <w:proofErr w:type="spellEnd"/>
      <w:r>
        <w:rPr>
          <w:color w:val="000000"/>
        </w:rPr>
        <w:t xml:space="preserve"> from areoles (</w:t>
      </w:r>
      <w:proofErr w:type="spellStart"/>
      <w:r>
        <w:rPr>
          <w:color w:val="000000"/>
        </w:rPr>
        <w:t>Pérez</w:t>
      </w:r>
      <w:proofErr w:type="spellEnd"/>
      <w:r>
        <w:rPr>
          <w:color w:val="000000"/>
        </w:rPr>
        <w:t>-</w:t>
      </w:r>
      <w:proofErr w:type="spellStart"/>
      <w:r>
        <w:rPr>
          <w:color w:val="000000"/>
        </w:rPr>
        <w:t>Molphe</w:t>
      </w:r>
      <w:proofErr w:type="spellEnd"/>
      <w:r>
        <w:rPr>
          <w:color w:val="000000"/>
        </w:rPr>
        <w:t xml:space="preserve">-Balch and </w:t>
      </w:r>
      <w:proofErr w:type="spellStart"/>
      <w:r>
        <w:rPr>
          <w:color w:val="000000"/>
        </w:rPr>
        <w:t>Dávila</w:t>
      </w:r>
      <w:proofErr w:type="spellEnd"/>
      <w:r>
        <w:rPr>
          <w:color w:val="000000"/>
        </w:rPr>
        <w:t>-Fig</w:t>
      </w:r>
      <w:r>
        <w:rPr>
          <w:color w:val="000000"/>
        </w:rPr>
        <w:t xml:space="preserve">ueroa 2002, </w:t>
      </w:r>
      <w:proofErr w:type="spellStart"/>
      <w:r>
        <w:rPr>
          <w:color w:val="000000"/>
        </w:rPr>
        <w:t>Wyka</w:t>
      </w:r>
      <w:proofErr w:type="spellEnd"/>
      <w:r>
        <w:rPr>
          <w:color w:val="000000"/>
        </w:rPr>
        <w:t xml:space="preserve"> et al. 2006); 3) they produce healthy shoots that, in addition to regenerating whole plantlets, can be used for micro-grafting different genotypes for ornamental purposes (Estrada-Luna et al. 2002); 4) they are extremely efficient when use</w:t>
      </w:r>
      <w:r>
        <w:rPr>
          <w:color w:val="000000"/>
        </w:rPr>
        <w:t>d for massive propagation (Ali et al. 2001, Escobar et al. 1986, Estrada-Luna et al. 2008, Velázquez-</w:t>
      </w:r>
      <w:proofErr w:type="spellStart"/>
      <w:r>
        <w:rPr>
          <w:color w:val="000000"/>
        </w:rPr>
        <w:t>Enciso</w:t>
      </w:r>
      <w:proofErr w:type="spellEnd"/>
      <w:r>
        <w:rPr>
          <w:color w:val="000000"/>
        </w:rPr>
        <w:t xml:space="preserve"> and </w:t>
      </w:r>
      <w:proofErr w:type="spellStart"/>
      <w:r>
        <w:rPr>
          <w:color w:val="000000"/>
        </w:rPr>
        <w:t>Soltero</w:t>
      </w:r>
      <w:proofErr w:type="spellEnd"/>
      <w:r>
        <w:rPr>
          <w:color w:val="000000"/>
        </w:rPr>
        <w:t xml:space="preserve">-Quintana 2001); 5) the </w:t>
      </w:r>
      <w:r>
        <w:rPr>
          <w:i/>
          <w:color w:val="000000"/>
        </w:rPr>
        <w:t xml:space="preserve">in vitro </w:t>
      </w:r>
      <w:r>
        <w:rPr>
          <w:color w:val="000000"/>
        </w:rPr>
        <w:t>culture has shown great potential as a method for conservation and rescue of endangered species or to es</w:t>
      </w:r>
      <w:r>
        <w:rPr>
          <w:color w:val="000000"/>
        </w:rPr>
        <w:t xml:space="preserve">tablish </w:t>
      </w:r>
      <w:proofErr w:type="spellStart"/>
      <w:r>
        <w:rPr>
          <w:color w:val="000000"/>
        </w:rPr>
        <w:t>germoplasm</w:t>
      </w:r>
      <w:proofErr w:type="spellEnd"/>
      <w:r>
        <w:rPr>
          <w:color w:val="000000"/>
        </w:rPr>
        <w:t xml:space="preserve"> banks (</w:t>
      </w:r>
      <w:proofErr w:type="spellStart"/>
      <w:r>
        <w:rPr>
          <w:color w:val="000000"/>
        </w:rPr>
        <w:t>Cardarelli</w:t>
      </w:r>
      <w:proofErr w:type="spellEnd"/>
      <w:r>
        <w:rPr>
          <w:color w:val="000000"/>
        </w:rPr>
        <w:t xml:space="preserve"> et al. 2010, </w:t>
      </w:r>
      <w:proofErr w:type="spellStart"/>
      <w:r>
        <w:rPr>
          <w:color w:val="000000"/>
        </w:rPr>
        <w:t>Dávila</w:t>
      </w:r>
      <w:proofErr w:type="spellEnd"/>
      <w:r>
        <w:rPr>
          <w:color w:val="000000"/>
        </w:rPr>
        <w:t xml:space="preserve">-Figueroa et al. 2005, </w:t>
      </w:r>
      <w:proofErr w:type="spellStart"/>
      <w:r>
        <w:rPr>
          <w:color w:val="000000"/>
        </w:rPr>
        <w:t>Giusti</w:t>
      </w:r>
      <w:proofErr w:type="spellEnd"/>
      <w:r>
        <w:rPr>
          <w:color w:val="000000"/>
        </w:rPr>
        <w:t xml:space="preserve"> et al. 2002, </w:t>
      </w:r>
      <w:proofErr w:type="spellStart"/>
      <w:r>
        <w:rPr>
          <w:color w:val="000000"/>
        </w:rPr>
        <w:t>Ramírez-Malagón</w:t>
      </w:r>
      <w:proofErr w:type="spellEnd"/>
      <w:r>
        <w:rPr>
          <w:color w:val="000000"/>
        </w:rPr>
        <w:t xml:space="preserve"> et al. 2007). </w:t>
      </w:r>
      <w:r>
        <w:rPr>
          <w:color w:val="000000"/>
        </w:rPr>
        <w:cr/>
        <w:t>Cacti can be tissue-cultured by several means, including areole activation (</w:t>
      </w:r>
      <w:proofErr w:type="spellStart"/>
      <w:r>
        <w:rPr>
          <w:color w:val="000000"/>
        </w:rPr>
        <w:t>axillary</w:t>
      </w:r>
      <w:proofErr w:type="spellEnd"/>
      <w:r>
        <w:rPr>
          <w:color w:val="000000"/>
        </w:rPr>
        <w:t xml:space="preserve"> shoot formation) (Machado and </w:t>
      </w:r>
      <w:proofErr w:type="spellStart"/>
      <w:r>
        <w:rPr>
          <w:color w:val="000000"/>
        </w:rPr>
        <w:t>Prioli</w:t>
      </w:r>
      <w:proofErr w:type="spellEnd"/>
      <w:r>
        <w:rPr>
          <w:color w:val="000000"/>
        </w:rPr>
        <w:t xml:space="preserve"> 1996</w:t>
      </w:r>
      <w:r>
        <w:rPr>
          <w:color w:val="000000"/>
        </w:rPr>
        <w:t xml:space="preserve">, </w:t>
      </w:r>
      <w:proofErr w:type="spellStart"/>
      <w:r>
        <w:rPr>
          <w:color w:val="000000"/>
        </w:rPr>
        <w:t>Mauseth</w:t>
      </w:r>
      <w:proofErr w:type="spellEnd"/>
      <w:r>
        <w:rPr>
          <w:color w:val="000000"/>
        </w:rPr>
        <w:t xml:space="preserve"> 1977, </w:t>
      </w:r>
      <w:proofErr w:type="spellStart"/>
      <w:r>
        <w:rPr>
          <w:color w:val="000000"/>
        </w:rPr>
        <w:t>Wyka</w:t>
      </w:r>
      <w:proofErr w:type="spellEnd"/>
      <w:r>
        <w:rPr>
          <w:color w:val="000000"/>
        </w:rPr>
        <w:t xml:space="preserve"> et al. 2006), adventitious shoot formation, in which shoots usually arise through</w:t>
      </w:r>
      <w:r>
        <w:rPr>
          <w:color w:val="3DCD2A"/>
        </w:rPr>
        <w:t xml:space="preserve"> </w:t>
      </w:r>
      <w:proofErr w:type="spellStart"/>
      <w:r>
        <w:rPr>
          <w:color w:val="000000"/>
        </w:rPr>
        <w:t>calli</w:t>
      </w:r>
      <w:proofErr w:type="spellEnd"/>
      <w:r>
        <w:rPr>
          <w:color w:val="000000"/>
        </w:rPr>
        <w:t xml:space="preserve"> differentiation (indirect organogenesis) (</w:t>
      </w:r>
      <w:proofErr w:type="spellStart"/>
      <w:r>
        <w:rPr>
          <w:color w:val="000000"/>
        </w:rPr>
        <w:t>Minocha</w:t>
      </w:r>
      <w:proofErr w:type="spellEnd"/>
      <w:r>
        <w:rPr>
          <w:color w:val="000000"/>
        </w:rPr>
        <w:t xml:space="preserve"> and </w:t>
      </w:r>
      <w:proofErr w:type="spellStart"/>
      <w:r>
        <w:rPr>
          <w:color w:val="000000"/>
        </w:rPr>
        <w:t>Mehra</w:t>
      </w:r>
      <w:proofErr w:type="spellEnd"/>
      <w:r>
        <w:rPr>
          <w:color w:val="000000"/>
        </w:rPr>
        <w:t xml:space="preserve"> 1974), and somatic embryogenesis produced from </w:t>
      </w:r>
      <w:proofErr w:type="spellStart"/>
      <w:r>
        <w:rPr>
          <w:color w:val="000000"/>
        </w:rPr>
        <w:t>calli</w:t>
      </w:r>
      <w:proofErr w:type="spellEnd"/>
      <w:r>
        <w:rPr>
          <w:color w:val="000000"/>
        </w:rPr>
        <w:t xml:space="preserve"> culture (Ali et al. 2001, </w:t>
      </w:r>
      <w:proofErr w:type="spellStart"/>
      <w:r>
        <w:rPr>
          <w:color w:val="000000"/>
        </w:rPr>
        <w:t>Angulo-B</w:t>
      </w:r>
      <w:r>
        <w:rPr>
          <w:color w:val="000000"/>
        </w:rPr>
        <w:t>ejarano</w:t>
      </w:r>
      <w:proofErr w:type="spellEnd"/>
      <w:r>
        <w:rPr>
          <w:color w:val="000000"/>
        </w:rPr>
        <w:t xml:space="preserve"> and </w:t>
      </w:r>
      <w:proofErr w:type="spellStart"/>
      <w:r>
        <w:rPr>
          <w:color w:val="000000"/>
        </w:rPr>
        <w:t>Paredes-López</w:t>
      </w:r>
      <w:proofErr w:type="spellEnd"/>
      <w:r>
        <w:rPr>
          <w:color w:val="000000"/>
        </w:rPr>
        <w:t xml:space="preserve"> 2011, </w:t>
      </w:r>
      <w:proofErr w:type="spellStart"/>
      <w:r>
        <w:rPr>
          <w:color w:val="000000"/>
        </w:rPr>
        <w:t>Infante</w:t>
      </w:r>
      <w:proofErr w:type="spellEnd"/>
      <w:r>
        <w:rPr>
          <w:color w:val="000000"/>
        </w:rPr>
        <w:t xml:space="preserve"> 1992). </w:t>
      </w:r>
      <w:proofErr w:type="gramStart"/>
      <w:r>
        <w:rPr>
          <w:color w:val="000000"/>
        </w:rPr>
        <w:t>Direct organogenesis—adventitious shoot</w:t>
      </w:r>
      <w:proofErr w:type="gramEnd"/>
      <w:r>
        <w:rPr>
          <w:color w:val="000000"/>
        </w:rPr>
        <w:t xml:space="preserve"> formation—in which shoots are generated from explants without nodes, has not been reported yet. Depending on the availability of biological materials, the cultures for b</w:t>
      </w:r>
      <w:r>
        <w:rPr>
          <w:color w:val="000000"/>
        </w:rPr>
        <w:t>reaking areole dormancy may be started from seedlings (</w:t>
      </w:r>
      <w:proofErr w:type="spellStart"/>
      <w:r>
        <w:rPr>
          <w:color w:val="000000"/>
        </w:rPr>
        <w:t>Choreño</w:t>
      </w:r>
      <w:proofErr w:type="spellEnd"/>
      <w:r>
        <w:rPr>
          <w:color w:val="000000"/>
        </w:rPr>
        <w:t xml:space="preserve">-Tapia et al. 2002, </w:t>
      </w:r>
      <w:proofErr w:type="spellStart"/>
      <w:r>
        <w:rPr>
          <w:color w:val="000000"/>
        </w:rPr>
        <w:t>Gómez-Juárez</w:t>
      </w:r>
      <w:proofErr w:type="spellEnd"/>
      <w:r>
        <w:rPr>
          <w:color w:val="000000"/>
        </w:rPr>
        <w:t xml:space="preserve"> et al. 2006, </w:t>
      </w:r>
      <w:proofErr w:type="spellStart"/>
      <w:r>
        <w:rPr>
          <w:color w:val="000000"/>
        </w:rPr>
        <w:t>Moebius-Goldammer</w:t>
      </w:r>
      <w:proofErr w:type="spellEnd"/>
      <w:r>
        <w:rPr>
          <w:color w:val="000000"/>
        </w:rPr>
        <w:t xml:space="preserve"> et al. 2002) or tissues derived from adult plants such as isolated areoles, mammillae, tubercles or flower sections (Estrada-Luna </w:t>
      </w:r>
      <w:r>
        <w:rPr>
          <w:color w:val="000000"/>
        </w:rPr>
        <w:t xml:space="preserve">et al. 2008, </w:t>
      </w:r>
      <w:proofErr w:type="spellStart"/>
      <w:r>
        <w:rPr>
          <w:color w:val="000000"/>
        </w:rPr>
        <w:t>Rubluo</w:t>
      </w:r>
      <w:proofErr w:type="spellEnd"/>
      <w:r>
        <w:rPr>
          <w:color w:val="000000"/>
        </w:rPr>
        <w:t xml:space="preserve"> et al. 2002, </w:t>
      </w:r>
      <w:proofErr w:type="spellStart"/>
      <w:r>
        <w:rPr>
          <w:color w:val="000000"/>
        </w:rPr>
        <w:t>Wyka</w:t>
      </w:r>
      <w:proofErr w:type="spellEnd"/>
      <w:r>
        <w:rPr>
          <w:color w:val="000000"/>
        </w:rPr>
        <w:t xml:space="preserve"> et al. 2008). </w:t>
      </w:r>
      <w:r>
        <w:rPr>
          <w:color w:val="000000"/>
        </w:rPr>
        <w:cr/>
        <w:t xml:space="preserve">The objectives of this research were to: 1) study the particular conditions required to establish an efficient </w:t>
      </w:r>
      <w:proofErr w:type="spellStart"/>
      <w:r>
        <w:rPr>
          <w:color w:val="000000"/>
        </w:rPr>
        <w:t>micropropagation</w:t>
      </w:r>
      <w:proofErr w:type="spellEnd"/>
      <w:r>
        <w:rPr>
          <w:color w:val="000000"/>
        </w:rPr>
        <w:t xml:space="preserve"> system; 2) determine the requirements of hormone type, concentration, and c</w:t>
      </w:r>
      <w:r>
        <w:rPr>
          <w:color w:val="000000"/>
        </w:rPr>
        <w:t>ombination, for shoot initiation and optimum proliferation; 3) determine the conditions for adventitious root formation in regenerated shoots; and 4) evaluate plantlet survival after transplantation.</w:t>
      </w:r>
      <w:r>
        <w:rPr>
          <w:color w:val="000000"/>
        </w:rPr>
        <w:cr/>
      </w:r>
      <w:r>
        <w:rPr>
          <w:color w:val="000000"/>
        </w:rPr>
        <w:cr/>
      </w:r>
      <w:r>
        <w:rPr>
          <w:b/>
          <w:color w:val="000000"/>
        </w:rPr>
        <w:lastRenderedPageBreak/>
        <w:t>MATERIALS AND METHODS</w:t>
      </w:r>
      <w:r>
        <w:rPr>
          <w:b/>
          <w:color w:val="000000"/>
        </w:rPr>
        <w:cr/>
      </w:r>
      <w:r>
        <w:rPr>
          <w:color w:val="000000"/>
        </w:rPr>
        <w:t>We divided our study into five ex</w:t>
      </w:r>
      <w:r>
        <w:rPr>
          <w:color w:val="000000"/>
        </w:rPr>
        <w:t xml:space="preserve">perimental stages. The first stage consisted in the culture and preparation of mother plants to initiate the </w:t>
      </w:r>
      <w:proofErr w:type="spellStart"/>
      <w:r>
        <w:rPr>
          <w:color w:val="000000"/>
        </w:rPr>
        <w:t>micropropagation</w:t>
      </w:r>
      <w:proofErr w:type="spellEnd"/>
      <w:r>
        <w:rPr>
          <w:color w:val="000000"/>
        </w:rPr>
        <w:t xml:space="preserve">. The other four stages included the typical steps of </w:t>
      </w:r>
      <w:proofErr w:type="spellStart"/>
      <w:r>
        <w:rPr>
          <w:color w:val="000000"/>
        </w:rPr>
        <w:t>micropropagation</w:t>
      </w:r>
      <w:proofErr w:type="spellEnd"/>
      <w:r>
        <w:rPr>
          <w:color w:val="000000"/>
        </w:rPr>
        <w:t xml:space="preserve">: culture initiation, subculture and </w:t>
      </w:r>
      <w:proofErr w:type="spellStart"/>
      <w:r>
        <w:rPr>
          <w:color w:val="000000"/>
        </w:rPr>
        <w:t>propagule</w:t>
      </w:r>
      <w:proofErr w:type="spellEnd"/>
      <w:r>
        <w:rPr>
          <w:color w:val="000000"/>
        </w:rPr>
        <w:t xml:space="preserve"> proliferation,</w:t>
      </w:r>
      <w:r>
        <w:rPr>
          <w:color w:val="000000"/>
        </w:rPr>
        <w:t xml:space="preserve"> adventitious root formation, and plantlet transfer to greenhouse and acclimatization.</w:t>
      </w:r>
      <w:r>
        <w:rPr>
          <w:b/>
          <w:color w:val="000000"/>
        </w:rPr>
        <w:t xml:space="preserve"> </w:t>
      </w:r>
      <w:r>
        <w:rPr>
          <w:b/>
          <w:color w:val="000000"/>
        </w:rPr>
        <w:cr/>
      </w:r>
      <w:r>
        <w:rPr>
          <w:color w:val="000000"/>
        </w:rPr>
        <w:t xml:space="preserve">Healthy adult plants of </w:t>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i/>
          <w:color w:val="000000"/>
        </w:rPr>
        <w:t xml:space="preserve"> </w:t>
      </w:r>
      <w:r>
        <w:rPr>
          <w:color w:val="000000"/>
        </w:rPr>
        <w:t>A</w:t>
      </w:r>
      <w:r>
        <w:rPr>
          <w:i/>
          <w:color w:val="000000"/>
        </w:rPr>
        <w:t>.</w:t>
      </w:r>
      <w:r>
        <w:rPr>
          <w:color w:val="000000"/>
        </w:rPr>
        <w:t>, about six to seven years old and 8 cm high, obtained from a local nursery retailer, were used as experimental mate</w:t>
      </w:r>
      <w:r>
        <w:rPr>
          <w:color w:val="000000"/>
        </w:rPr>
        <w:t xml:space="preserve">rial. For a period of 12 months, they were grown in a greenhouse with a maximum photosynthetic photon flux density (PPFD) of 1,000 </w:t>
      </w:r>
      <w:r>
        <w:rPr>
          <w:rFonts w:ascii="Times New Roman" w:hAnsi="Times New Roman"/>
          <w:color w:val="000000"/>
        </w:rPr>
        <w:t>µ</w:t>
      </w:r>
      <w:r>
        <w:rPr>
          <w:color w:val="000000"/>
        </w:rPr>
        <w:t>mol/m</w:t>
      </w:r>
      <w:r>
        <w:rPr>
          <w:color w:val="000000"/>
          <w:vertAlign w:val="superscript"/>
        </w:rPr>
        <w:t>2</w:t>
      </w:r>
      <w:r>
        <w:rPr>
          <w:color w:val="000000"/>
        </w:rPr>
        <w:t>/s</w:t>
      </w:r>
      <w:r>
        <w:rPr>
          <w:color w:val="000000"/>
          <w:vertAlign w:val="superscript"/>
        </w:rPr>
        <w:t>-1</w:t>
      </w:r>
      <w:r>
        <w:rPr>
          <w:color w:val="000000"/>
        </w:rPr>
        <w:t xml:space="preserve"> at plant level, an average of day/night temperature of 27/20 ± 3° C, irrigation supplied as needed, and fertiliza</w:t>
      </w:r>
      <w:r>
        <w:rPr>
          <w:color w:val="000000"/>
        </w:rPr>
        <w:t xml:space="preserve">tion provided once a month (100 </w:t>
      </w:r>
      <w:proofErr w:type="spellStart"/>
      <w:r>
        <w:rPr>
          <w:color w:val="000000"/>
        </w:rPr>
        <w:t>ppm</w:t>
      </w:r>
      <w:proofErr w:type="spellEnd"/>
      <w:r>
        <w:rPr>
          <w:color w:val="000000"/>
        </w:rPr>
        <w:t xml:space="preserve"> N) with Peters Professional 20-20-20 (Scotts-Sierra Horticultural Products Co., Marysville, OH, USA). During this period, mother plants were also subjected to a regular program of pesticide regime for cleaning and were c</w:t>
      </w:r>
      <w:r>
        <w:rPr>
          <w:color w:val="000000"/>
        </w:rPr>
        <w:t>ultured until they produced new shoots.</w:t>
      </w:r>
      <w:r>
        <w:rPr>
          <w:color w:val="000000"/>
        </w:rPr>
        <w:cr/>
        <w:t xml:space="preserve">To start the process of </w:t>
      </w:r>
      <w:proofErr w:type="spellStart"/>
      <w:r>
        <w:rPr>
          <w:color w:val="000000"/>
        </w:rPr>
        <w:t>micropropagation</w:t>
      </w:r>
      <w:proofErr w:type="spellEnd"/>
      <w:r>
        <w:rPr>
          <w:color w:val="000000"/>
        </w:rPr>
        <w:t>, young shoots (0.5–1.5 cm in length) were carefully excised from donor plants. In a laboratory bench, these shoots were washed with running tap water and cleaned by soaking an</w:t>
      </w:r>
      <w:r>
        <w:rPr>
          <w:color w:val="000000"/>
        </w:rPr>
        <w:t>d mechanic agitation for 15 minutes in a solution containing commercial detergent (</w:t>
      </w:r>
      <w:proofErr w:type="spellStart"/>
      <w:r>
        <w:rPr>
          <w:color w:val="000000"/>
        </w:rPr>
        <w:t>Liqui-Nox</w:t>
      </w:r>
      <w:proofErr w:type="spellEnd"/>
      <w:r>
        <w:rPr>
          <w:color w:val="000000"/>
        </w:rPr>
        <w:t xml:space="preserve">, </w:t>
      </w:r>
      <w:proofErr w:type="spellStart"/>
      <w:r>
        <w:rPr>
          <w:color w:val="000000"/>
        </w:rPr>
        <w:t>Alconox</w:t>
      </w:r>
      <w:proofErr w:type="spellEnd"/>
      <w:r>
        <w:rPr>
          <w:color w:val="000000"/>
        </w:rPr>
        <w:t xml:space="preserve"> Inc., New York). Under sterile conditions provided by a hood, the shoots were initially immersed in ethanol (70%, v/v) for ten minutes and immediately sub</w:t>
      </w:r>
      <w:r>
        <w:rPr>
          <w:color w:val="000000"/>
        </w:rPr>
        <w:t xml:space="preserve">jected to a surface disinfecting treatment with commercial bleach [Clorox (6% </w:t>
      </w:r>
      <w:proofErr w:type="spellStart"/>
      <w:r>
        <w:rPr>
          <w:color w:val="000000"/>
        </w:rPr>
        <w:t>NaOCl</w:t>
      </w:r>
      <w:proofErr w:type="spellEnd"/>
      <w:r>
        <w:rPr>
          <w:color w:val="000000"/>
        </w:rPr>
        <w:t>)] plus Tween-20 (SIGMA-ALDRICH Chemical) (0.1%), for 20 minutes. Finally, they were washed three times with de-ionized sterile water. Single or multiple tubercles, includin</w:t>
      </w:r>
      <w:r>
        <w:rPr>
          <w:color w:val="000000"/>
        </w:rPr>
        <w:t>g one to three areoles, were dissected with a sterile scalpel and used as initial explants.</w:t>
      </w:r>
      <w:r>
        <w:rPr>
          <w:b/>
          <w:color w:val="000000"/>
        </w:rPr>
        <w:t xml:space="preserve"> </w:t>
      </w:r>
      <w:r>
        <w:rPr>
          <w:b/>
          <w:color w:val="000000"/>
        </w:rPr>
        <w:cr/>
      </w:r>
      <w:r>
        <w:rPr>
          <w:color w:val="000000"/>
        </w:rPr>
        <w:t xml:space="preserve">For the first step of </w:t>
      </w:r>
      <w:proofErr w:type="spellStart"/>
      <w:r>
        <w:rPr>
          <w:color w:val="000000"/>
        </w:rPr>
        <w:t>micropropagation</w:t>
      </w:r>
      <w:proofErr w:type="spellEnd"/>
      <w:r>
        <w:rPr>
          <w:color w:val="000000"/>
        </w:rPr>
        <w:t>, a simple experiment to study the response of explants to two different plant growth regulators was conducted. The regulator</w:t>
      </w:r>
      <w:r>
        <w:rPr>
          <w:color w:val="000000"/>
        </w:rPr>
        <w:t xml:space="preserve">s used were </w:t>
      </w:r>
      <w:r>
        <w:rPr>
          <w:color w:val="000000"/>
        </w:rPr>
        <w:sym w:font="Symbol" w:char="F061"/>
      </w:r>
      <w:r>
        <w:rPr>
          <w:color w:val="000000"/>
        </w:rPr>
        <w:t>-</w:t>
      </w:r>
      <w:proofErr w:type="spellStart"/>
      <w:r>
        <w:rPr>
          <w:color w:val="000000"/>
        </w:rPr>
        <w:t>Napht</w:t>
      </w:r>
      <w:r w:rsidR="003E3F73">
        <w:rPr>
          <w:color w:val="000000"/>
        </w:rPr>
        <w:t>h</w:t>
      </w:r>
      <w:r>
        <w:rPr>
          <w:color w:val="000000"/>
        </w:rPr>
        <w:t>alen</w:t>
      </w:r>
      <w:r w:rsidR="003E3F73">
        <w:rPr>
          <w:color w:val="000000"/>
        </w:rPr>
        <w:t>e</w:t>
      </w:r>
      <w:r>
        <w:rPr>
          <w:color w:val="000000"/>
        </w:rPr>
        <w:t>acetic</w:t>
      </w:r>
      <w:proofErr w:type="spellEnd"/>
      <w:r>
        <w:rPr>
          <w:color w:val="000000"/>
        </w:rPr>
        <w:t xml:space="preserve"> acid (NAA), (SIGMA-ALDRICH Chemical, Cat. Num. N1145) and 6-Benzy</w:t>
      </w:r>
      <w:r w:rsidR="003E3F73">
        <w:rPr>
          <w:color w:val="000000"/>
        </w:rPr>
        <w:t>l</w:t>
      </w:r>
      <w:r>
        <w:rPr>
          <w:color w:val="000000"/>
        </w:rPr>
        <w:t xml:space="preserve">aminopurine (BA), (SIGMA-ALDRICH Chemical), Cat. </w:t>
      </w:r>
      <w:proofErr w:type="gramStart"/>
      <w:r>
        <w:rPr>
          <w:color w:val="000000"/>
        </w:rPr>
        <w:t xml:space="preserve">Num. B3408), which were added alone or in combinations at different concentrations (0, 1.3, 4.4, and 13.3 </w:t>
      </w:r>
      <w:r>
        <w:rPr>
          <w:rFonts w:ascii="Times New Roman" w:hAnsi="Times New Roman"/>
          <w:color w:val="000000"/>
        </w:rPr>
        <w:t>µM</w:t>
      </w:r>
      <w:r>
        <w:rPr>
          <w:color w:val="000000"/>
        </w:rPr>
        <w:t>) (t</w:t>
      </w:r>
      <w:r>
        <w:rPr>
          <w:color w:val="000000"/>
        </w:rPr>
        <w:t>otal of 12 experimental treatments) to the MS (</w:t>
      </w:r>
      <w:proofErr w:type="spellStart"/>
      <w:r>
        <w:rPr>
          <w:color w:val="000000"/>
        </w:rPr>
        <w:t>Murashige</w:t>
      </w:r>
      <w:proofErr w:type="spellEnd"/>
      <w:r>
        <w:rPr>
          <w:color w:val="000000"/>
        </w:rPr>
        <w:t xml:space="preserve"> and </w:t>
      </w:r>
      <w:proofErr w:type="spellStart"/>
      <w:r>
        <w:rPr>
          <w:color w:val="000000"/>
        </w:rPr>
        <w:t>Skoog</w:t>
      </w:r>
      <w:proofErr w:type="spellEnd"/>
      <w:r>
        <w:rPr>
          <w:color w:val="000000"/>
        </w:rPr>
        <w:t xml:space="preserve">, 1962) medium [pH </w:t>
      </w:r>
      <w:r>
        <w:rPr>
          <w:color w:val="000000"/>
        </w:rPr>
        <w:lastRenderedPageBreak/>
        <w:t xml:space="preserve">5.7, supplemented with 5% sucrose (SIGMA–ALDRICH Chemical), and 0.7% </w:t>
      </w:r>
      <w:proofErr w:type="spellStart"/>
      <w:r>
        <w:rPr>
          <w:color w:val="000000"/>
        </w:rPr>
        <w:t>bacto</w:t>
      </w:r>
      <w:proofErr w:type="spellEnd"/>
      <w:r>
        <w:rPr>
          <w:color w:val="000000"/>
        </w:rPr>
        <w:t>-agar (</w:t>
      </w:r>
      <w:proofErr w:type="spellStart"/>
      <w:r>
        <w:rPr>
          <w:color w:val="000000"/>
        </w:rPr>
        <w:t>Difco</w:t>
      </w:r>
      <w:proofErr w:type="spellEnd"/>
      <w:r>
        <w:rPr>
          <w:color w:val="000000"/>
        </w:rPr>
        <w:t xml:space="preserve"> Laboratories, Detroit, MI) and autoclaved at 121° C for 20 min].</w:t>
      </w:r>
      <w:proofErr w:type="gramEnd"/>
      <w:r>
        <w:rPr>
          <w:color w:val="000000"/>
        </w:rPr>
        <w:t xml:space="preserve"> Each treatment was </w:t>
      </w:r>
      <w:r>
        <w:rPr>
          <w:color w:val="000000"/>
        </w:rPr>
        <w:t xml:space="preserve">represented by six explants (n = 6). After 116 days of culture, shoot number per </w:t>
      </w:r>
      <w:proofErr w:type="spellStart"/>
      <w:r>
        <w:rPr>
          <w:color w:val="000000"/>
        </w:rPr>
        <w:t>explant</w:t>
      </w:r>
      <w:proofErr w:type="spellEnd"/>
      <w:r>
        <w:rPr>
          <w:color w:val="000000"/>
        </w:rPr>
        <w:t xml:space="preserve">, percent of explants producing </w:t>
      </w:r>
      <w:proofErr w:type="spellStart"/>
      <w:r>
        <w:rPr>
          <w:color w:val="000000"/>
        </w:rPr>
        <w:t>calli</w:t>
      </w:r>
      <w:proofErr w:type="spellEnd"/>
      <w:r>
        <w:rPr>
          <w:color w:val="000000"/>
        </w:rPr>
        <w:t xml:space="preserve">, root number, and root length (mm) were determined. Data of the percentage of explants producing </w:t>
      </w:r>
      <w:proofErr w:type="spellStart"/>
      <w:r>
        <w:rPr>
          <w:color w:val="000000"/>
        </w:rPr>
        <w:t>calli</w:t>
      </w:r>
      <w:proofErr w:type="spellEnd"/>
      <w:r>
        <w:rPr>
          <w:color w:val="000000"/>
        </w:rPr>
        <w:t xml:space="preserve"> were transformed by </w:t>
      </w:r>
      <w:proofErr w:type="spellStart"/>
      <w:r>
        <w:rPr>
          <w:color w:val="000000"/>
        </w:rPr>
        <w:t>arcsin</w:t>
      </w:r>
      <w:proofErr w:type="spellEnd"/>
      <w:r>
        <w:rPr>
          <w:color w:val="000000"/>
        </w:rPr>
        <w:t xml:space="preserve"> </w:t>
      </w:r>
      <w:r>
        <w:rPr>
          <w:color w:val="000000"/>
        </w:rPr>
        <w:t xml:space="preserve">before performing the statistical analysis. The conditions of the culture room for this and the rest of the </w:t>
      </w:r>
      <w:proofErr w:type="spellStart"/>
      <w:r>
        <w:rPr>
          <w:color w:val="000000"/>
        </w:rPr>
        <w:t>micropropagation</w:t>
      </w:r>
      <w:proofErr w:type="spellEnd"/>
      <w:r>
        <w:rPr>
          <w:color w:val="000000"/>
        </w:rPr>
        <w:t xml:space="preserve"> experiments were adjusted to 27 ± 3 ºC of temperature and a photoperiod of 16 h light (250 </w:t>
      </w:r>
      <w:r>
        <w:rPr>
          <w:rFonts w:ascii="Times New Roman" w:hAnsi="Times New Roman"/>
          <w:color w:val="000000"/>
        </w:rPr>
        <w:t>µ</w:t>
      </w:r>
      <w:r>
        <w:rPr>
          <w:color w:val="000000"/>
        </w:rPr>
        <w:t>mol/m</w:t>
      </w:r>
      <w:r>
        <w:rPr>
          <w:color w:val="000000"/>
          <w:vertAlign w:val="superscript"/>
        </w:rPr>
        <w:t>2</w:t>
      </w:r>
      <w:r>
        <w:rPr>
          <w:color w:val="000000"/>
        </w:rPr>
        <w:t>/s</w:t>
      </w:r>
      <w:r>
        <w:rPr>
          <w:color w:val="000000"/>
          <w:vertAlign w:val="superscript"/>
        </w:rPr>
        <w:t>-1</w:t>
      </w:r>
      <w:r>
        <w:rPr>
          <w:color w:val="000000"/>
        </w:rPr>
        <w:t xml:space="preserve"> of maximum PPFD) at flask le</w:t>
      </w:r>
      <w:r>
        <w:rPr>
          <w:color w:val="000000"/>
        </w:rPr>
        <w:t>vel.</w:t>
      </w:r>
      <w:r>
        <w:rPr>
          <w:b/>
          <w:color w:val="000000"/>
        </w:rPr>
        <w:t xml:space="preserve"> </w:t>
      </w:r>
      <w:r>
        <w:rPr>
          <w:b/>
          <w:color w:val="000000"/>
        </w:rPr>
        <w:cr/>
      </w:r>
      <w:r>
        <w:rPr>
          <w:color w:val="000000"/>
        </w:rPr>
        <w:t xml:space="preserve">For the proliferation stage, a simple experiment was set up to compare the best treatment obtained from the induction cultures (NAA 4.4 </w:t>
      </w:r>
      <w:r>
        <w:rPr>
          <w:rFonts w:ascii="Times New Roman" w:hAnsi="Times New Roman"/>
          <w:color w:val="000000"/>
        </w:rPr>
        <w:t>µ</w:t>
      </w:r>
      <w:r>
        <w:rPr>
          <w:color w:val="000000"/>
        </w:rPr>
        <w:t>M</w:t>
      </w:r>
      <w:proofErr w:type="gramStart"/>
      <w:r>
        <w:rPr>
          <w:color w:val="000000"/>
        </w:rPr>
        <w:t>:BA</w:t>
      </w:r>
      <w:proofErr w:type="gramEnd"/>
      <w:r>
        <w:rPr>
          <w:color w:val="000000"/>
        </w:rPr>
        <w:t xml:space="preserve"> 13.3 </w:t>
      </w:r>
      <w:r>
        <w:rPr>
          <w:rFonts w:ascii="Times New Roman" w:hAnsi="Times New Roman"/>
          <w:color w:val="000000"/>
        </w:rPr>
        <w:t>µ</w:t>
      </w:r>
      <w:r>
        <w:rPr>
          <w:color w:val="000000"/>
        </w:rPr>
        <w:t xml:space="preserve">M) against two new BA concentrations (19.9 </w:t>
      </w:r>
      <w:r>
        <w:rPr>
          <w:rFonts w:ascii="Times New Roman" w:hAnsi="Times New Roman"/>
          <w:color w:val="000000"/>
        </w:rPr>
        <w:t>µ</w:t>
      </w:r>
      <w:r>
        <w:rPr>
          <w:color w:val="000000"/>
        </w:rPr>
        <w:t xml:space="preserve">M and 26.6 </w:t>
      </w:r>
      <w:r>
        <w:rPr>
          <w:rFonts w:ascii="Times New Roman" w:hAnsi="Times New Roman"/>
          <w:color w:val="000000"/>
        </w:rPr>
        <w:t>µ</w:t>
      </w:r>
      <w:r>
        <w:rPr>
          <w:color w:val="000000"/>
        </w:rPr>
        <w:t xml:space="preserve">M) combined with the original NAA (4.4 </w:t>
      </w:r>
      <w:r>
        <w:rPr>
          <w:rFonts w:ascii="Times New Roman" w:hAnsi="Times New Roman"/>
          <w:color w:val="000000"/>
        </w:rPr>
        <w:t>µ</w:t>
      </w:r>
      <w:r>
        <w:rPr>
          <w:color w:val="000000"/>
        </w:rPr>
        <w:t>M) con</w:t>
      </w:r>
      <w:r>
        <w:rPr>
          <w:color w:val="000000"/>
        </w:rPr>
        <w:t xml:space="preserve">centration, giving a total of three experimental treatments. Each combination was added to a MS medium [pH 5.7, supplemented with 5% sucrose and 0.7% </w:t>
      </w:r>
      <w:proofErr w:type="spellStart"/>
      <w:r>
        <w:rPr>
          <w:color w:val="000000"/>
        </w:rPr>
        <w:t>bacto</w:t>
      </w:r>
      <w:proofErr w:type="spellEnd"/>
      <w:r>
        <w:rPr>
          <w:color w:val="000000"/>
        </w:rPr>
        <w:t xml:space="preserve">-agar, and autoclaved at 121º C for 20 min]. All treatments were represented by eight culture flasks </w:t>
      </w:r>
      <w:r>
        <w:rPr>
          <w:color w:val="000000"/>
        </w:rPr>
        <w:t xml:space="preserve">(n = 8) containing six explants each, which were used to calculate the </w:t>
      </w:r>
      <w:proofErr w:type="spellStart"/>
      <w:r>
        <w:rPr>
          <w:color w:val="000000"/>
        </w:rPr>
        <w:t>explant</w:t>
      </w:r>
      <w:proofErr w:type="spellEnd"/>
      <w:r>
        <w:rPr>
          <w:color w:val="000000"/>
        </w:rPr>
        <w:t xml:space="preserve"> average per replication. After 110 days of culture, shoot number per </w:t>
      </w:r>
      <w:proofErr w:type="spellStart"/>
      <w:r>
        <w:rPr>
          <w:color w:val="000000"/>
        </w:rPr>
        <w:t>explant</w:t>
      </w:r>
      <w:proofErr w:type="spellEnd"/>
      <w:r>
        <w:rPr>
          <w:color w:val="000000"/>
        </w:rPr>
        <w:t>, total shoot length (mm), total shoot fresh weight (mg), root number, and root length (mm) were dete</w:t>
      </w:r>
      <w:r>
        <w:rPr>
          <w:color w:val="000000"/>
        </w:rPr>
        <w:t>rmined. The experiment was repeated at least two times to confirm the data obtained and to calculate mean values used for the statistical analysis.</w:t>
      </w:r>
      <w:r>
        <w:rPr>
          <w:b/>
          <w:color w:val="000000"/>
        </w:rPr>
        <w:t xml:space="preserve"> </w:t>
      </w:r>
      <w:r>
        <w:rPr>
          <w:b/>
          <w:color w:val="000000"/>
        </w:rPr>
        <w:cr/>
      </w:r>
      <w:r>
        <w:rPr>
          <w:color w:val="000000"/>
        </w:rPr>
        <w:t>For the rooting stage, four treatments were tested in a simple experiment to determine adventitious root fo</w:t>
      </w:r>
      <w:r>
        <w:rPr>
          <w:color w:val="000000"/>
        </w:rPr>
        <w:t xml:space="preserve">rmation in the proliferated shoots. The treatments resulted from the reduction of the original component formulation of the MS medium (25 and 50%) plus the addition of Indole-3-butyric acid (IBA), (SIGMA-ALDRICH Chemical, Cat. Num. I7512) (1.6 and 4.9 </w:t>
      </w:r>
      <w:r>
        <w:rPr>
          <w:rFonts w:ascii="Times New Roman" w:hAnsi="Times New Roman"/>
          <w:color w:val="000000"/>
        </w:rPr>
        <w:t>µ</w:t>
      </w:r>
      <w:r>
        <w:rPr>
          <w:color w:val="000000"/>
        </w:rPr>
        <w:t xml:space="preserve">M) </w:t>
      </w:r>
      <w:r>
        <w:rPr>
          <w:color w:val="000000"/>
        </w:rPr>
        <w:t xml:space="preserve">(Total of four experimental treatments: MS25, MS50, MS50+IBA 1.6 </w:t>
      </w:r>
      <w:r>
        <w:rPr>
          <w:rFonts w:ascii="Times New Roman" w:hAnsi="Times New Roman"/>
          <w:color w:val="000000"/>
        </w:rPr>
        <w:t>µ</w:t>
      </w:r>
      <w:r>
        <w:rPr>
          <w:color w:val="000000"/>
        </w:rPr>
        <w:t xml:space="preserve">M, MS50 + IBA 4.9 </w:t>
      </w:r>
      <w:r>
        <w:rPr>
          <w:rFonts w:ascii="Times New Roman" w:hAnsi="Times New Roman"/>
          <w:color w:val="000000"/>
        </w:rPr>
        <w:t>µ</w:t>
      </w:r>
      <w:r>
        <w:rPr>
          <w:color w:val="000000"/>
        </w:rPr>
        <w:t xml:space="preserve">M). The MS medium was prepared by using standard protocols with a pH adjusted to 5.7, supplemented with 5% sucrose, 0.7% </w:t>
      </w:r>
      <w:proofErr w:type="spellStart"/>
      <w:r>
        <w:rPr>
          <w:color w:val="000000"/>
        </w:rPr>
        <w:t>bacto</w:t>
      </w:r>
      <w:proofErr w:type="spellEnd"/>
      <w:r>
        <w:rPr>
          <w:color w:val="000000"/>
        </w:rPr>
        <w:t>-agar, and autoclaved at 121º C for 20 minute</w:t>
      </w:r>
      <w:r>
        <w:rPr>
          <w:color w:val="000000"/>
        </w:rPr>
        <w:t>s. Each treatment was represented by eight flasks or replications</w:t>
      </w:r>
      <w:r>
        <w:rPr>
          <w:color w:val="FF0000"/>
        </w:rPr>
        <w:t xml:space="preserve"> </w:t>
      </w:r>
      <w:r>
        <w:rPr>
          <w:color w:val="000000"/>
        </w:rPr>
        <w:t xml:space="preserve">(n = 8) containing three explants each, which were used to calculate the </w:t>
      </w:r>
      <w:proofErr w:type="spellStart"/>
      <w:r>
        <w:rPr>
          <w:color w:val="000000"/>
        </w:rPr>
        <w:t>explant</w:t>
      </w:r>
      <w:proofErr w:type="spellEnd"/>
      <w:r>
        <w:rPr>
          <w:color w:val="000000"/>
        </w:rPr>
        <w:t xml:space="preserve"> average for data analysis. After 50 days of culture, the percent of explants producing roots, root number per</w:t>
      </w:r>
      <w:r>
        <w:rPr>
          <w:color w:val="000000"/>
        </w:rPr>
        <w:t xml:space="preserve"> </w:t>
      </w:r>
      <w:proofErr w:type="spellStart"/>
      <w:r>
        <w:rPr>
          <w:color w:val="000000"/>
        </w:rPr>
        <w:t>explant</w:t>
      </w:r>
      <w:proofErr w:type="spellEnd"/>
      <w:r>
        <w:rPr>
          <w:color w:val="000000"/>
        </w:rPr>
        <w:t xml:space="preserve">, and total root length (mm) were determined. The data of the percent of explants producing roots were transformed by </w:t>
      </w:r>
      <w:proofErr w:type="spellStart"/>
      <w:r>
        <w:rPr>
          <w:color w:val="000000"/>
        </w:rPr>
        <w:t>arcsin</w:t>
      </w:r>
      <w:proofErr w:type="spellEnd"/>
      <w:r>
        <w:rPr>
          <w:color w:val="000000"/>
        </w:rPr>
        <w:t xml:space="preserve"> before performing the statistical </w:t>
      </w:r>
      <w:r>
        <w:rPr>
          <w:color w:val="000000"/>
        </w:rPr>
        <w:lastRenderedPageBreak/>
        <w:t xml:space="preserve">analysis. Fifty regenerated plantlets of </w:t>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i/>
          <w:color w:val="000000"/>
        </w:rPr>
        <w:t xml:space="preserve"> </w:t>
      </w:r>
      <w:r>
        <w:rPr>
          <w:color w:val="000000"/>
        </w:rPr>
        <w:t xml:space="preserve">A., were transplanted </w:t>
      </w:r>
      <w:r>
        <w:rPr>
          <w:color w:val="000000"/>
        </w:rPr>
        <w:t xml:space="preserve">to 125 ml  </w:t>
      </w:r>
      <w:r w:rsidR="003E3F73">
        <w:rPr>
          <w:color w:val="000000"/>
        </w:rPr>
        <w:t>capacity plastic pots (6.5 cm h</w:t>
      </w:r>
      <w:r>
        <w:rPr>
          <w:color w:val="000000"/>
        </w:rPr>
        <w:t>igh by 5.8 cm wide), previously filled with an artificial substratum [42.63% Peat Moss (PREMIER®), 42.63% sand, 13.95% organic fertilizer supplemented with plant growth promoter bacteria (</w:t>
      </w:r>
      <w:proofErr w:type="spellStart"/>
      <w:r>
        <w:rPr>
          <w:color w:val="000000"/>
        </w:rPr>
        <w:t>OrganoDel</w:t>
      </w:r>
      <w:proofErr w:type="spellEnd"/>
      <w:r>
        <w:rPr>
          <w:color w:val="000000"/>
        </w:rPr>
        <w:t>®), and 0.77% of</w:t>
      </w:r>
      <w:r>
        <w:rPr>
          <w:color w:val="000000"/>
        </w:rPr>
        <w:t xml:space="preserve"> lime to adjust the pH to 6.8-7.2)], and acclimatized for six days in a bench with low light conditions (400 </w:t>
      </w:r>
      <w:r>
        <w:rPr>
          <w:rFonts w:ascii="Times New Roman" w:hAnsi="Times New Roman"/>
        </w:rPr>
        <w:t>µ</w:t>
      </w:r>
      <w:r>
        <w:rPr>
          <w:color w:val="000000"/>
        </w:rPr>
        <w:t>mol/m</w:t>
      </w:r>
      <w:r>
        <w:rPr>
          <w:color w:val="000000"/>
          <w:vertAlign w:val="superscript"/>
        </w:rPr>
        <w:t>-2</w:t>
      </w:r>
      <w:r>
        <w:rPr>
          <w:color w:val="000000"/>
        </w:rPr>
        <w:t>/s</w:t>
      </w:r>
      <w:r>
        <w:rPr>
          <w:color w:val="000000"/>
          <w:vertAlign w:val="superscript"/>
        </w:rPr>
        <w:t>-1</w:t>
      </w:r>
      <w:r>
        <w:rPr>
          <w:color w:val="000000"/>
        </w:rPr>
        <w:t xml:space="preserve"> PPFD) prior the transfer to a different greenhouse with 30% UV filtration and 800 </w:t>
      </w:r>
      <w:r>
        <w:rPr>
          <w:rFonts w:ascii="Times New Roman" w:hAnsi="Times New Roman"/>
        </w:rPr>
        <w:t>µ</w:t>
      </w:r>
      <w:r>
        <w:rPr>
          <w:color w:val="000000"/>
        </w:rPr>
        <w:t>mol/m</w:t>
      </w:r>
      <w:r>
        <w:rPr>
          <w:color w:val="000000"/>
          <w:vertAlign w:val="superscript"/>
        </w:rPr>
        <w:t>-2</w:t>
      </w:r>
      <w:r>
        <w:rPr>
          <w:color w:val="000000"/>
        </w:rPr>
        <w:t>/s</w:t>
      </w:r>
      <w:r>
        <w:rPr>
          <w:color w:val="000000"/>
          <w:vertAlign w:val="superscript"/>
        </w:rPr>
        <w:t>-1</w:t>
      </w:r>
      <w:r>
        <w:rPr>
          <w:color w:val="000000"/>
        </w:rPr>
        <w:t xml:space="preserve"> PPFD. In this place they were grown for</w:t>
      </w:r>
      <w:r>
        <w:rPr>
          <w:color w:val="000000"/>
        </w:rPr>
        <w:t xml:space="preserve"> 180 days, after plant performance and survival were evaluated. All data obtained from each experiment were subjected to an analysis of variance and a mean separation test (</w:t>
      </w:r>
      <w:proofErr w:type="spellStart"/>
      <w:r>
        <w:rPr>
          <w:color w:val="000000"/>
        </w:rPr>
        <w:t>Tukey</w:t>
      </w:r>
      <w:proofErr w:type="spellEnd"/>
      <w:r>
        <w:rPr>
          <w:color w:val="000000"/>
        </w:rPr>
        <w:t xml:space="preserve">, </w:t>
      </w:r>
      <w:r>
        <w:rPr>
          <w:color w:val="000000"/>
        </w:rPr>
        <w:sym w:font="Symbol" w:char="F061"/>
      </w:r>
      <w:r>
        <w:rPr>
          <w:color w:val="000000"/>
        </w:rPr>
        <w:t xml:space="preserve"> = 0.05).</w:t>
      </w:r>
      <w:r>
        <w:rPr>
          <w:color w:val="000000"/>
        </w:rPr>
        <w:cr/>
      </w:r>
      <w:r>
        <w:rPr>
          <w:color w:val="000000"/>
        </w:rPr>
        <w:cr/>
      </w:r>
      <w:r>
        <w:rPr>
          <w:b/>
          <w:color w:val="000000"/>
        </w:rPr>
        <w:t>RESULTS</w:t>
      </w:r>
      <w:r>
        <w:rPr>
          <w:b/>
          <w:color w:val="000000"/>
        </w:rPr>
        <w:cr/>
      </w:r>
      <w:r>
        <w:rPr>
          <w:color w:val="000000"/>
        </w:rPr>
        <w:t xml:space="preserve">The data obtained during stage 0 of </w:t>
      </w:r>
      <w:proofErr w:type="spellStart"/>
      <w:r>
        <w:rPr>
          <w:color w:val="000000"/>
        </w:rPr>
        <w:t>micropropagation</w:t>
      </w:r>
      <w:proofErr w:type="spellEnd"/>
      <w:r>
        <w:rPr>
          <w:color w:val="000000"/>
        </w:rPr>
        <w:t xml:space="preserve"> rev</w:t>
      </w:r>
      <w:r>
        <w:rPr>
          <w:color w:val="000000"/>
        </w:rPr>
        <w:t xml:space="preserve">ealed very low rates of contamination (4%) and minimum tissue oxidation (0%). After 116 days of culture initiation, we observed two </w:t>
      </w:r>
      <w:proofErr w:type="spellStart"/>
      <w:r>
        <w:rPr>
          <w:color w:val="000000"/>
        </w:rPr>
        <w:t>morphogenic</w:t>
      </w:r>
      <w:proofErr w:type="spellEnd"/>
      <w:r>
        <w:rPr>
          <w:color w:val="000000"/>
        </w:rPr>
        <w:t xml:space="preserve"> responses in the explants: differentiation of disorganized tissues (</w:t>
      </w:r>
      <w:proofErr w:type="spellStart"/>
      <w:r>
        <w:rPr>
          <w:color w:val="000000"/>
        </w:rPr>
        <w:t>caulogenesis</w:t>
      </w:r>
      <w:proofErr w:type="spellEnd"/>
      <w:r>
        <w:rPr>
          <w:color w:val="000000"/>
        </w:rPr>
        <w:t xml:space="preserve">) and differentiation of organs </w:t>
      </w:r>
      <w:r>
        <w:rPr>
          <w:color w:val="000000"/>
        </w:rPr>
        <w:t xml:space="preserve">(organogenesis), which produced both roots and shoots. </w:t>
      </w:r>
      <w:proofErr w:type="spellStart"/>
      <w:r>
        <w:rPr>
          <w:color w:val="000000"/>
        </w:rPr>
        <w:t>Calli</w:t>
      </w:r>
      <w:proofErr w:type="spellEnd"/>
      <w:r>
        <w:rPr>
          <w:color w:val="000000"/>
        </w:rPr>
        <w:t xml:space="preserve"> were differentiated in all treatments including </w:t>
      </w:r>
      <w:proofErr w:type="spellStart"/>
      <w:r>
        <w:rPr>
          <w:color w:val="000000"/>
        </w:rPr>
        <w:t>auxins</w:t>
      </w:r>
      <w:proofErr w:type="spellEnd"/>
      <w:r>
        <w:rPr>
          <w:color w:val="000000"/>
        </w:rPr>
        <w:t xml:space="preserve"> (NAA), independently of the concentration and the presence of </w:t>
      </w:r>
      <w:proofErr w:type="spellStart"/>
      <w:r>
        <w:rPr>
          <w:color w:val="000000"/>
        </w:rPr>
        <w:t>cytokinin</w:t>
      </w:r>
      <w:proofErr w:type="spellEnd"/>
      <w:r>
        <w:rPr>
          <w:color w:val="000000"/>
        </w:rPr>
        <w:t>. These structures were originated from cells of both epidermis and p</w:t>
      </w:r>
      <w:r>
        <w:rPr>
          <w:color w:val="000000"/>
        </w:rPr>
        <w:t>arenchyma tissues located at the edge of the cut area (</w:t>
      </w:r>
      <w:r>
        <w:rPr>
          <w:color w:val="FF0000"/>
        </w:rPr>
        <w:t>Fig. 1b, c</w:t>
      </w:r>
      <w:r>
        <w:rPr>
          <w:color w:val="000000"/>
        </w:rPr>
        <w:t xml:space="preserve">). During the first stages of differentiation and growth, </w:t>
      </w:r>
      <w:proofErr w:type="spellStart"/>
      <w:r>
        <w:rPr>
          <w:color w:val="000000"/>
        </w:rPr>
        <w:t>calli</w:t>
      </w:r>
      <w:proofErr w:type="spellEnd"/>
      <w:r>
        <w:rPr>
          <w:color w:val="000000"/>
        </w:rPr>
        <w:t xml:space="preserve"> were soft and friable with crystalline appearance and </w:t>
      </w:r>
      <w:proofErr w:type="spellStart"/>
      <w:r>
        <w:rPr>
          <w:color w:val="000000"/>
        </w:rPr>
        <w:t>anthocyanin</w:t>
      </w:r>
      <w:proofErr w:type="spellEnd"/>
      <w:r>
        <w:rPr>
          <w:color w:val="000000"/>
        </w:rPr>
        <w:t xml:space="preserve"> accumulation (</w:t>
      </w:r>
      <w:r>
        <w:rPr>
          <w:color w:val="FF0000"/>
        </w:rPr>
        <w:t>Fig. 1a, 1c</w:t>
      </w:r>
      <w:r>
        <w:rPr>
          <w:color w:val="000000"/>
        </w:rPr>
        <w:t>). Over time, they became hard and c</w:t>
      </w:r>
      <w:r>
        <w:rPr>
          <w:color w:val="000000"/>
        </w:rPr>
        <w:t>ompact, showing very slow growth rates. The ANOVA</w:t>
      </w:r>
      <w:r>
        <w:rPr>
          <w:color w:val="1D300D"/>
        </w:rPr>
        <w:t xml:space="preserve"> </w:t>
      </w:r>
      <w:r>
        <w:rPr>
          <w:color w:val="000000"/>
        </w:rPr>
        <w:t xml:space="preserve">detected statistical significance among treatments, with a clear tendency of higher percentage of explants producing </w:t>
      </w:r>
      <w:proofErr w:type="spellStart"/>
      <w:r>
        <w:rPr>
          <w:color w:val="000000"/>
        </w:rPr>
        <w:t>calli</w:t>
      </w:r>
      <w:proofErr w:type="spellEnd"/>
      <w:r>
        <w:rPr>
          <w:color w:val="000000"/>
        </w:rPr>
        <w:t xml:space="preserve"> with increased </w:t>
      </w:r>
      <w:proofErr w:type="spellStart"/>
      <w:r>
        <w:rPr>
          <w:color w:val="000000"/>
        </w:rPr>
        <w:t>auxin</w:t>
      </w:r>
      <w:proofErr w:type="spellEnd"/>
      <w:r>
        <w:rPr>
          <w:color w:val="000000"/>
        </w:rPr>
        <w:t xml:space="preserve"> concentrations (</w:t>
      </w:r>
      <w:r>
        <w:rPr>
          <w:color w:val="FF0000"/>
        </w:rPr>
        <w:t>Table 1</w:t>
      </w:r>
      <w:r>
        <w:rPr>
          <w:color w:val="000000"/>
        </w:rPr>
        <w:t>). We also observed that treatments wit</w:t>
      </w:r>
      <w:r>
        <w:rPr>
          <w:color w:val="000000"/>
        </w:rPr>
        <w:t xml:space="preserve">h low to medium </w:t>
      </w:r>
      <w:proofErr w:type="spellStart"/>
      <w:r>
        <w:rPr>
          <w:color w:val="000000"/>
        </w:rPr>
        <w:t>auxin</w:t>
      </w:r>
      <w:proofErr w:type="spellEnd"/>
      <w:r>
        <w:rPr>
          <w:color w:val="000000"/>
        </w:rPr>
        <w:t xml:space="preserve"> concentrations (4.4 and 13.3 </w:t>
      </w:r>
      <w:r>
        <w:rPr>
          <w:rFonts w:ascii="Times New Roman" w:hAnsi="Times New Roman"/>
          <w:color w:val="000000"/>
        </w:rPr>
        <w:t>µ</w:t>
      </w:r>
      <w:r>
        <w:rPr>
          <w:color w:val="000000"/>
        </w:rPr>
        <w:t xml:space="preserve">M) produced adventitious roots, in addition to the </w:t>
      </w:r>
      <w:proofErr w:type="spellStart"/>
      <w:r>
        <w:rPr>
          <w:color w:val="000000"/>
        </w:rPr>
        <w:t>caulogenic</w:t>
      </w:r>
      <w:proofErr w:type="spellEnd"/>
      <w:r>
        <w:rPr>
          <w:color w:val="000000"/>
        </w:rPr>
        <w:t xml:space="preserve"> structures.</w:t>
      </w:r>
      <w:r>
        <w:rPr>
          <w:color w:val="000000"/>
        </w:rPr>
        <w:cr/>
        <w:t xml:space="preserve">The </w:t>
      </w:r>
      <w:proofErr w:type="spellStart"/>
      <w:r>
        <w:rPr>
          <w:color w:val="000000"/>
        </w:rPr>
        <w:t>organogenic</w:t>
      </w:r>
      <w:proofErr w:type="spellEnd"/>
      <w:r>
        <w:rPr>
          <w:color w:val="000000"/>
        </w:rPr>
        <w:t xml:space="preserve"> responses of explants showed that the interaction between BA and NAA in an adequate balance (NAA 1.3 </w:t>
      </w:r>
      <w:r>
        <w:rPr>
          <w:rFonts w:ascii="Times New Roman" w:hAnsi="Times New Roman"/>
          <w:color w:val="000000"/>
        </w:rPr>
        <w:t>µ</w:t>
      </w:r>
      <w:r>
        <w:rPr>
          <w:color w:val="000000"/>
        </w:rPr>
        <w:t>M</w:t>
      </w:r>
      <w:proofErr w:type="gramStart"/>
      <w:r>
        <w:rPr>
          <w:color w:val="000000"/>
        </w:rPr>
        <w:t>:BA</w:t>
      </w:r>
      <w:proofErr w:type="gramEnd"/>
      <w:r>
        <w:rPr>
          <w:color w:val="000000"/>
        </w:rPr>
        <w:t xml:space="preserve"> 4.4 </w:t>
      </w:r>
      <w:r>
        <w:rPr>
          <w:rFonts w:ascii="Times New Roman" w:hAnsi="Times New Roman"/>
          <w:color w:val="000000"/>
        </w:rPr>
        <w:t>µ</w:t>
      </w:r>
      <w:r>
        <w:rPr>
          <w:color w:val="000000"/>
        </w:rPr>
        <w:t xml:space="preserve">M </w:t>
      </w:r>
      <w:r>
        <w:rPr>
          <w:color w:val="000000"/>
        </w:rPr>
        <w:t xml:space="preserve">and NAA 4.4 </w:t>
      </w:r>
      <w:r>
        <w:rPr>
          <w:rFonts w:ascii="Times New Roman" w:hAnsi="Times New Roman"/>
          <w:color w:val="000000"/>
        </w:rPr>
        <w:t>µ</w:t>
      </w:r>
      <w:r>
        <w:rPr>
          <w:color w:val="000000"/>
        </w:rPr>
        <w:t xml:space="preserve">M: BA 13.3 </w:t>
      </w:r>
      <w:r>
        <w:rPr>
          <w:rFonts w:ascii="Times New Roman" w:hAnsi="Times New Roman"/>
          <w:color w:val="000000"/>
        </w:rPr>
        <w:t>µ</w:t>
      </w:r>
      <w:r>
        <w:rPr>
          <w:color w:val="000000"/>
        </w:rPr>
        <w:t xml:space="preserve">M) produced both </w:t>
      </w:r>
      <w:proofErr w:type="spellStart"/>
      <w:r>
        <w:rPr>
          <w:color w:val="000000"/>
        </w:rPr>
        <w:t>calli</w:t>
      </w:r>
      <w:proofErr w:type="spellEnd"/>
      <w:r>
        <w:rPr>
          <w:color w:val="000000"/>
        </w:rPr>
        <w:t xml:space="preserve"> and shoot </w:t>
      </w:r>
      <w:proofErr w:type="spellStart"/>
      <w:r>
        <w:rPr>
          <w:color w:val="000000"/>
        </w:rPr>
        <w:t>primordia</w:t>
      </w:r>
      <w:proofErr w:type="spellEnd"/>
      <w:r>
        <w:rPr>
          <w:color w:val="000000"/>
        </w:rPr>
        <w:t>, which were visible after 56 days of culture. Fortunately, detailed stereoscopic observations of the cultures gave us the opportunity to detect that the origin of the regenerated shoots wa</w:t>
      </w:r>
      <w:r>
        <w:rPr>
          <w:color w:val="000000"/>
        </w:rPr>
        <w:t xml:space="preserve">s the result of two </w:t>
      </w:r>
      <w:proofErr w:type="spellStart"/>
      <w:r>
        <w:rPr>
          <w:color w:val="000000"/>
        </w:rPr>
        <w:t>morphogenic</w:t>
      </w:r>
      <w:proofErr w:type="spellEnd"/>
      <w:r>
        <w:rPr>
          <w:color w:val="000000"/>
        </w:rPr>
        <w:t xml:space="preserve"> events: direct </w:t>
      </w:r>
      <w:r>
        <w:rPr>
          <w:i/>
          <w:color w:val="000000"/>
        </w:rPr>
        <w:t>de novo</w:t>
      </w:r>
      <w:r>
        <w:rPr>
          <w:color w:val="000000"/>
        </w:rPr>
        <w:t xml:space="preserve"> differentiation (adventitious bud formation) and </w:t>
      </w:r>
      <w:proofErr w:type="spellStart"/>
      <w:r>
        <w:rPr>
          <w:color w:val="000000"/>
        </w:rPr>
        <w:t>axillary</w:t>
      </w:r>
      <w:proofErr w:type="spellEnd"/>
      <w:r>
        <w:rPr>
          <w:color w:val="000000"/>
        </w:rPr>
        <w:t xml:space="preserve"> </w:t>
      </w:r>
      <w:proofErr w:type="spellStart"/>
      <w:r>
        <w:rPr>
          <w:color w:val="000000"/>
        </w:rPr>
        <w:t>meristem</w:t>
      </w:r>
      <w:proofErr w:type="spellEnd"/>
      <w:r>
        <w:rPr>
          <w:color w:val="000000"/>
        </w:rPr>
        <w:t xml:space="preserve"> activation </w:t>
      </w:r>
      <w:r>
        <w:rPr>
          <w:color w:val="000000"/>
        </w:rPr>
        <w:lastRenderedPageBreak/>
        <w:t>of the areoles (breaking areole dormancy) located on each tubercle. Based on these observations, we identified the tiny adv</w:t>
      </w:r>
      <w:r>
        <w:rPr>
          <w:color w:val="000000"/>
        </w:rPr>
        <w:t xml:space="preserve">entitious shoot </w:t>
      </w:r>
      <w:proofErr w:type="spellStart"/>
      <w:r>
        <w:rPr>
          <w:color w:val="000000"/>
        </w:rPr>
        <w:t>primordia</w:t>
      </w:r>
      <w:proofErr w:type="spellEnd"/>
      <w:r>
        <w:rPr>
          <w:color w:val="000000"/>
        </w:rPr>
        <w:t>, which were apparently differentiated from cells of the epidermis in areas delimiting tubercles or at the basal zone of explants, where no areoles were present (</w:t>
      </w:r>
      <w:r>
        <w:rPr>
          <w:color w:val="FF0000"/>
        </w:rPr>
        <w:t>Fig. 1d-f</w:t>
      </w:r>
      <w:r>
        <w:rPr>
          <w:color w:val="000000"/>
        </w:rPr>
        <w:t>). We were not able to perform an anatomical study to confir</w:t>
      </w:r>
      <w:r>
        <w:rPr>
          <w:color w:val="000000"/>
        </w:rPr>
        <w:t xml:space="preserve">m these observations. </w:t>
      </w:r>
      <w:r>
        <w:rPr>
          <w:color w:val="000000"/>
        </w:rPr>
        <w:cr/>
        <w:t xml:space="preserve">After induction and early stages of cell differentiation, the </w:t>
      </w:r>
      <w:proofErr w:type="spellStart"/>
      <w:r>
        <w:rPr>
          <w:color w:val="000000"/>
        </w:rPr>
        <w:t>primordia</w:t>
      </w:r>
      <w:proofErr w:type="spellEnd"/>
      <w:r>
        <w:rPr>
          <w:color w:val="000000"/>
        </w:rPr>
        <w:t xml:space="preserve"> looked like a disorganized group of round-shaped cells with opaque white color (</w:t>
      </w:r>
      <w:r>
        <w:rPr>
          <w:color w:val="FF0000"/>
        </w:rPr>
        <w:t>Fig. 2a</w:t>
      </w:r>
      <w:r>
        <w:rPr>
          <w:color w:val="000000"/>
        </w:rPr>
        <w:t>). However, several weeks later, these groups of cells grew-up to became o</w:t>
      </w:r>
      <w:r>
        <w:rPr>
          <w:color w:val="000000"/>
        </w:rPr>
        <w:t>rganized structures with tiny tubercles colored with the typical olive green observed in young and adult plants (</w:t>
      </w:r>
      <w:r>
        <w:rPr>
          <w:color w:val="FF0000"/>
        </w:rPr>
        <w:t>Figs. 1d, e, f, g, h</w:t>
      </w:r>
      <w:r>
        <w:rPr>
          <w:color w:val="000000"/>
        </w:rPr>
        <w:t xml:space="preserve">). The shoots that regenerated from </w:t>
      </w:r>
      <w:proofErr w:type="spellStart"/>
      <w:r>
        <w:rPr>
          <w:color w:val="000000"/>
        </w:rPr>
        <w:t>axillary</w:t>
      </w:r>
      <w:proofErr w:type="spellEnd"/>
      <w:r>
        <w:rPr>
          <w:color w:val="000000"/>
        </w:rPr>
        <w:t xml:space="preserve"> </w:t>
      </w:r>
      <w:proofErr w:type="spellStart"/>
      <w:r>
        <w:rPr>
          <w:color w:val="000000"/>
        </w:rPr>
        <w:t>meristem</w:t>
      </w:r>
      <w:proofErr w:type="spellEnd"/>
      <w:r>
        <w:rPr>
          <w:color w:val="000000"/>
        </w:rPr>
        <w:t xml:space="preserve"> activation of areoles were also evident after 56 days of the </w:t>
      </w:r>
      <w:r>
        <w:rPr>
          <w:i/>
          <w:color w:val="000000"/>
        </w:rPr>
        <w:t>in vitro</w:t>
      </w:r>
      <w:r>
        <w:rPr>
          <w:color w:val="000000"/>
        </w:rPr>
        <w:t xml:space="preserve"> culture. The sequence of events producing both types of shoots is shown in </w:t>
      </w:r>
      <w:r>
        <w:rPr>
          <w:color w:val="FF0000"/>
        </w:rPr>
        <w:t>Fig. 1g and h</w:t>
      </w:r>
      <w:r>
        <w:rPr>
          <w:color w:val="000000"/>
        </w:rPr>
        <w:t xml:space="preserve"> (adventitious buds) and </w:t>
      </w:r>
      <w:r>
        <w:rPr>
          <w:color w:val="FF0000"/>
        </w:rPr>
        <w:t>Figs. 1i and j</w:t>
      </w:r>
      <w:r>
        <w:rPr>
          <w:color w:val="000000"/>
        </w:rPr>
        <w:t xml:space="preserve"> (areole activation). In this stage, the </w:t>
      </w:r>
      <w:proofErr w:type="spellStart"/>
      <w:r>
        <w:rPr>
          <w:color w:val="000000"/>
        </w:rPr>
        <w:t>explant</w:t>
      </w:r>
      <w:proofErr w:type="spellEnd"/>
      <w:r>
        <w:rPr>
          <w:color w:val="000000"/>
        </w:rPr>
        <w:t xml:space="preserve"> response for shoot production was considered to be very poor, because only two </w:t>
      </w:r>
      <w:r>
        <w:rPr>
          <w:color w:val="000000"/>
        </w:rPr>
        <w:t xml:space="preserve">of the twelve treatments evaluated induced shoot differentiation and, from these treatments, four explants produced a total of 17 shoots (treatment NAA 4.4 </w:t>
      </w:r>
      <w:r>
        <w:rPr>
          <w:rFonts w:ascii="Times New Roman" w:hAnsi="Times New Roman"/>
          <w:color w:val="000000"/>
        </w:rPr>
        <w:t>µ</w:t>
      </w:r>
      <w:r>
        <w:rPr>
          <w:color w:val="000000"/>
        </w:rPr>
        <w:t xml:space="preserve">M:BA 13.3 </w:t>
      </w:r>
      <w:r>
        <w:rPr>
          <w:rFonts w:ascii="Times New Roman" w:hAnsi="Times New Roman"/>
        </w:rPr>
        <w:t>µ</w:t>
      </w:r>
      <w:r>
        <w:rPr>
          <w:color w:val="000000"/>
        </w:rPr>
        <w:t xml:space="preserve">M produced 15 shoots). The treatments supplemented only with BA (1.3, 4.4, 13.3 </w:t>
      </w:r>
      <w:r>
        <w:rPr>
          <w:rFonts w:ascii="Times New Roman" w:hAnsi="Times New Roman"/>
          <w:color w:val="000000"/>
        </w:rPr>
        <w:t>µ</w:t>
      </w:r>
      <w:r>
        <w:rPr>
          <w:color w:val="000000"/>
        </w:rPr>
        <w:t>M) were</w:t>
      </w:r>
      <w:r>
        <w:rPr>
          <w:color w:val="000000"/>
        </w:rPr>
        <w:t xml:space="preserve"> not able to break the dormancy of </w:t>
      </w:r>
      <w:proofErr w:type="spellStart"/>
      <w:r>
        <w:rPr>
          <w:color w:val="000000"/>
        </w:rPr>
        <w:t>axillary</w:t>
      </w:r>
      <w:proofErr w:type="spellEnd"/>
      <w:r>
        <w:rPr>
          <w:color w:val="000000"/>
        </w:rPr>
        <w:t xml:space="preserve"> buds, as we expected. </w:t>
      </w:r>
      <w:r>
        <w:rPr>
          <w:color w:val="000000"/>
        </w:rPr>
        <w:cr/>
        <w:t xml:space="preserve">In the second </w:t>
      </w:r>
      <w:proofErr w:type="spellStart"/>
      <w:r>
        <w:rPr>
          <w:color w:val="000000"/>
        </w:rPr>
        <w:t>organogenic</w:t>
      </w:r>
      <w:proofErr w:type="spellEnd"/>
      <w:r>
        <w:rPr>
          <w:color w:val="000000"/>
        </w:rPr>
        <w:t xml:space="preserve"> response (root production), we observed that three treatments (NAA 0 </w:t>
      </w:r>
      <w:r>
        <w:rPr>
          <w:rFonts w:ascii="Times New Roman" w:hAnsi="Times New Roman"/>
          <w:color w:val="000000"/>
        </w:rPr>
        <w:t>µ</w:t>
      </w:r>
      <w:r>
        <w:rPr>
          <w:color w:val="000000"/>
        </w:rPr>
        <w:t>M</w:t>
      </w:r>
      <w:proofErr w:type="gramStart"/>
      <w:r>
        <w:rPr>
          <w:color w:val="000000"/>
        </w:rPr>
        <w:t>:BA</w:t>
      </w:r>
      <w:proofErr w:type="gramEnd"/>
      <w:r>
        <w:rPr>
          <w:color w:val="000000"/>
        </w:rPr>
        <w:t xml:space="preserve"> 1.3 </w:t>
      </w:r>
      <w:r>
        <w:rPr>
          <w:rFonts w:ascii="Times New Roman" w:hAnsi="Times New Roman"/>
          <w:color w:val="000000"/>
        </w:rPr>
        <w:t>µ</w:t>
      </w:r>
      <w:r>
        <w:rPr>
          <w:color w:val="000000"/>
        </w:rPr>
        <w:t xml:space="preserve">M,  NAA 0 </w:t>
      </w:r>
      <w:r>
        <w:rPr>
          <w:rFonts w:ascii="Times New Roman" w:hAnsi="Times New Roman"/>
          <w:color w:val="000000"/>
        </w:rPr>
        <w:t>µ</w:t>
      </w:r>
      <w:r>
        <w:rPr>
          <w:color w:val="000000"/>
        </w:rPr>
        <w:t xml:space="preserve">M:BA 4.4 </w:t>
      </w:r>
      <w:r>
        <w:rPr>
          <w:rFonts w:ascii="Times New Roman" w:hAnsi="Times New Roman"/>
          <w:color w:val="000000"/>
        </w:rPr>
        <w:t>µ</w:t>
      </w:r>
      <w:r>
        <w:rPr>
          <w:color w:val="000000"/>
        </w:rPr>
        <w:t xml:space="preserve">M, and NAA 0 </w:t>
      </w:r>
      <w:r>
        <w:rPr>
          <w:rFonts w:ascii="Times New Roman" w:hAnsi="Times New Roman"/>
          <w:color w:val="000000"/>
        </w:rPr>
        <w:t>µ</w:t>
      </w:r>
      <w:r>
        <w:rPr>
          <w:color w:val="000000"/>
        </w:rPr>
        <w:t xml:space="preserve">M:BA 13.3 </w:t>
      </w:r>
      <w:r>
        <w:rPr>
          <w:rFonts w:ascii="Times New Roman" w:hAnsi="Times New Roman"/>
          <w:color w:val="000000"/>
        </w:rPr>
        <w:t>µ</w:t>
      </w:r>
      <w:r>
        <w:rPr>
          <w:color w:val="000000"/>
        </w:rPr>
        <w:t>M), were able to differentiate advent</w:t>
      </w:r>
      <w:r>
        <w:rPr>
          <w:color w:val="000000"/>
        </w:rPr>
        <w:t xml:space="preserve">itious roots and that treatments with NAA 1.3 </w:t>
      </w:r>
      <w:r>
        <w:rPr>
          <w:rFonts w:ascii="Times New Roman" w:hAnsi="Times New Roman"/>
          <w:color w:val="000000"/>
        </w:rPr>
        <w:t>µ</w:t>
      </w:r>
      <w:r>
        <w:rPr>
          <w:color w:val="000000"/>
        </w:rPr>
        <w:t xml:space="preserve">M:BA 4.4 </w:t>
      </w:r>
      <w:r>
        <w:rPr>
          <w:rFonts w:ascii="Times New Roman" w:hAnsi="Times New Roman"/>
          <w:color w:val="000000"/>
        </w:rPr>
        <w:t>µ</w:t>
      </w:r>
      <w:r>
        <w:rPr>
          <w:color w:val="000000"/>
        </w:rPr>
        <w:t xml:space="preserve">M, NAA 4.4 </w:t>
      </w:r>
      <w:r>
        <w:rPr>
          <w:rFonts w:ascii="Times New Roman" w:hAnsi="Times New Roman"/>
          <w:color w:val="000000"/>
        </w:rPr>
        <w:t>µ</w:t>
      </w:r>
      <w:r>
        <w:rPr>
          <w:color w:val="000000"/>
        </w:rPr>
        <w:t xml:space="preserve">M:BA 1.3 </w:t>
      </w:r>
      <w:r>
        <w:rPr>
          <w:rFonts w:ascii="Times New Roman" w:hAnsi="Times New Roman"/>
          <w:color w:val="000000"/>
        </w:rPr>
        <w:t>µ</w:t>
      </w:r>
      <w:r>
        <w:rPr>
          <w:color w:val="000000"/>
        </w:rPr>
        <w:t xml:space="preserve">M, and NAA 13.3 </w:t>
      </w:r>
      <w:r>
        <w:rPr>
          <w:rFonts w:ascii="Times New Roman" w:hAnsi="Times New Roman"/>
          <w:color w:val="000000"/>
        </w:rPr>
        <w:t>µ</w:t>
      </w:r>
      <w:r>
        <w:rPr>
          <w:color w:val="000000"/>
        </w:rPr>
        <w:t xml:space="preserve">M: BA 1.3 </w:t>
      </w:r>
      <w:r>
        <w:rPr>
          <w:rFonts w:ascii="Times New Roman" w:hAnsi="Times New Roman"/>
          <w:color w:val="000000"/>
        </w:rPr>
        <w:t>µ</w:t>
      </w:r>
      <w:r>
        <w:rPr>
          <w:color w:val="000000"/>
        </w:rPr>
        <w:t xml:space="preserve">M also induced </w:t>
      </w:r>
      <w:proofErr w:type="spellStart"/>
      <w:r>
        <w:rPr>
          <w:color w:val="000000"/>
        </w:rPr>
        <w:t>calli</w:t>
      </w:r>
      <w:proofErr w:type="spellEnd"/>
      <w:r>
        <w:rPr>
          <w:color w:val="000000"/>
        </w:rPr>
        <w:t xml:space="preserve"> formation in addition to root formation. It became clear then that in this stage we were able to regenerate whole plants with si</w:t>
      </w:r>
      <w:r>
        <w:rPr>
          <w:color w:val="000000"/>
        </w:rPr>
        <w:t xml:space="preserve">x treatments. </w:t>
      </w:r>
      <w:r>
        <w:rPr>
          <w:color w:val="000000"/>
        </w:rPr>
        <w:cr/>
        <w:t xml:space="preserve">The ANOVA obtained for root number and root length showed significant differences among treatments. The superior treatments for root number were NAA 0 </w:t>
      </w:r>
      <w:r>
        <w:rPr>
          <w:rFonts w:ascii="Times New Roman" w:hAnsi="Times New Roman"/>
          <w:color w:val="000000"/>
        </w:rPr>
        <w:t>µ</w:t>
      </w:r>
      <w:r>
        <w:rPr>
          <w:color w:val="000000"/>
        </w:rPr>
        <w:t>M</w:t>
      </w:r>
      <w:proofErr w:type="gramStart"/>
      <w:r>
        <w:rPr>
          <w:color w:val="000000"/>
        </w:rPr>
        <w:t>:BA</w:t>
      </w:r>
      <w:proofErr w:type="gramEnd"/>
      <w:r>
        <w:rPr>
          <w:color w:val="000000"/>
        </w:rPr>
        <w:t xml:space="preserve"> 4.4 </w:t>
      </w:r>
      <w:r>
        <w:rPr>
          <w:rFonts w:ascii="Times New Roman" w:hAnsi="Times New Roman"/>
          <w:color w:val="000000"/>
        </w:rPr>
        <w:t>µ</w:t>
      </w:r>
      <w:r>
        <w:rPr>
          <w:color w:val="000000"/>
        </w:rPr>
        <w:t xml:space="preserve">M (9), NAA 13.3 </w:t>
      </w:r>
      <w:r>
        <w:rPr>
          <w:rFonts w:ascii="Times New Roman" w:hAnsi="Times New Roman"/>
          <w:color w:val="000000"/>
        </w:rPr>
        <w:t>µ</w:t>
      </w:r>
      <w:r>
        <w:rPr>
          <w:color w:val="000000"/>
        </w:rPr>
        <w:t xml:space="preserve">M:BA 1.3 </w:t>
      </w:r>
      <w:r>
        <w:rPr>
          <w:rFonts w:ascii="Times New Roman" w:hAnsi="Times New Roman"/>
          <w:color w:val="000000"/>
        </w:rPr>
        <w:t>µ</w:t>
      </w:r>
      <w:r>
        <w:rPr>
          <w:color w:val="000000"/>
        </w:rPr>
        <w:t xml:space="preserve">M (8.5), and NAA 4.4 </w:t>
      </w:r>
      <w:r>
        <w:rPr>
          <w:rFonts w:ascii="Times New Roman" w:hAnsi="Times New Roman"/>
          <w:color w:val="000000"/>
        </w:rPr>
        <w:t>µ</w:t>
      </w:r>
      <w:r>
        <w:rPr>
          <w:color w:val="000000"/>
        </w:rPr>
        <w:t xml:space="preserve">M:BA 1.3 </w:t>
      </w:r>
      <w:r>
        <w:rPr>
          <w:rFonts w:ascii="Times New Roman" w:hAnsi="Times New Roman"/>
          <w:color w:val="000000"/>
        </w:rPr>
        <w:t>µ</w:t>
      </w:r>
      <w:r>
        <w:rPr>
          <w:color w:val="000000"/>
        </w:rPr>
        <w:t>M (8.25). It was cle</w:t>
      </w:r>
      <w:r>
        <w:rPr>
          <w:color w:val="000000"/>
        </w:rPr>
        <w:t xml:space="preserve">ar that the treatment including NAA 0 </w:t>
      </w:r>
      <w:r>
        <w:rPr>
          <w:rFonts w:ascii="Times New Roman" w:hAnsi="Times New Roman"/>
          <w:color w:val="000000"/>
        </w:rPr>
        <w:t>µ</w:t>
      </w:r>
      <w:r>
        <w:rPr>
          <w:color w:val="000000"/>
        </w:rPr>
        <w:t>M</w:t>
      </w:r>
      <w:proofErr w:type="gramStart"/>
      <w:r>
        <w:rPr>
          <w:color w:val="000000"/>
        </w:rPr>
        <w:t>:BA</w:t>
      </w:r>
      <w:proofErr w:type="gramEnd"/>
      <w:r>
        <w:rPr>
          <w:color w:val="000000"/>
        </w:rPr>
        <w:t xml:space="preserve"> 4.4 </w:t>
      </w:r>
      <w:r>
        <w:rPr>
          <w:rFonts w:ascii="Times New Roman" w:hAnsi="Times New Roman"/>
          <w:color w:val="000000"/>
        </w:rPr>
        <w:t>µ</w:t>
      </w:r>
      <w:r>
        <w:rPr>
          <w:color w:val="000000"/>
        </w:rPr>
        <w:t>M could be considered the best, since it produced more roots. For the root length variable, the mean separation test (</w:t>
      </w:r>
      <w:proofErr w:type="spellStart"/>
      <w:r>
        <w:rPr>
          <w:color w:val="000000"/>
        </w:rPr>
        <w:t>Tukey</w:t>
      </w:r>
      <w:proofErr w:type="spellEnd"/>
      <w:r>
        <w:rPr>
          <w:color w:val="000000"/>
        </w:rPr>
        <w:t xml:space="preserve"> </w:t>
      </w:r>
      <w:r>
        <w:rPr>
          <w:color w:val="000000"/>
        </w:rPr>
        <w:sym w:font="Symbol" w:char="F061"/>
      </w:r>
      <w:r>
        <w:rPr>
          <w:color w:val="000000"/>
        </w:rPr>
        <w:t xml:space="preserve"> = 0.05) revealed four statistically different groups in which the treatments with</w:t>
      </w:r>
      <w:r>
        <w:rPr>
          <w:color w:val="000000"/>
        </w:rPr>
        <w:t xml:space="preserve"> NAA 0 </w:t>
      </w:r>
      <w:r>
        <w:rPr>
          <w:rFonts w:ascii="Times New Roman" w:hAnsi="Times New Roman"/>
          <w:color w:val="000000"/>
        </w:rPr>
        <w:t>µ</w:t>
      </w:r>
      <w:r>
        <w:rPr>
          <w:color w:val="000000"/>
        </w:rPr>
        <w:t>M</w:t>
      </w:r>
      <w:proofErr w:type="gramStart"/>
      <w:r>
        <w:rPr>
          <w:color w:val="000000"/>
        </w:rPr>
        <w:t>:BA</w:t>
      </w:r>
      <w:proofErr w:type="gramEnd"/>
      <w:r>
        <w:rPr>
          <w:color w:val="000000"/>
        </w:rPr>
        <w:t xml:space="preserve"> 1.3 </w:t>
      </w:r>
      <w:r>
        <w:rPr>
          <w:rFonts w:ascii="Times New Roman" w:hAnsi="Times New Roman"/>
          <w:color w:val="000000"/>
        </w:rPr>
        <w:t>µ</w:t>
      </w:r>
      <w:r>
        <w:rPr>
          <w:color w:val="000000"/>
        </w:rPr>
        <w:t xml:space="preserve">M and NAA 0 </w:t>
      </w:r>
      <w:r>
        <w:rPr>
          <w:rFonts w:ascii="Times New Roman" w:hAnsi="Times New Roman"/>
          <w:color w:val="000000"/>
        </w:rPr>
        <w:t>µ</w:t>
      </w:r>
      <w:r>
        <w:rPr>
          <w:color w:val="000000"/>
        </w:rPr>
        <w:t xml:space="preserve">M:BA 4.4 </w:t>
      </w:r>
      <w:r>
        <w:rPr>
          <w:rFonts w:ascii="Times New Roman" w:hAnsi="Times New Roman"/>
          <w:color w:val="000000"/>
        </w:rPr>
        <w:t>µ</w:t>
      </w:r>
      <w:r>
        <w:rPr>
          <w:color w:val="000000"/>
        </w:rPr>
        <w:t xml:space="preserve">M resulted in higher averages (11.33 and 10.28 </w:t>
      </w:r>
      <w:r>
        <w:rPr>
          <w:color w:val="000000"/>
        </w:rPr>
        <w:lastRenderedPageBreak/>
        <w:t>mm in length, respectively), as compared to the other treatments (</w:t>
      </w:r>
      <w:r>
        <w:rPr>
          <w:color w:val="FF0000"/>
        </w:rPr>
        <w:t>Table 1</w:t>
      </w:r>
      <w:r>
        <w:rPr>
          <w:color w:val="000000"/>
        </w:rPr>
        <w:t xml:space="preserve">). </w:t>
      </w:r>
      <w:r>
        <w:rPr>
          <w:color w:val="000000"/>
        </w:rPr>
        <w:cr/>
        <w:t xml:space="preserve">During Stage II of </w:t>
      </w:r>
      <w:proofErr w:type="spellStart"/>
      <w:r>
        <w:rPr>
          <w:color w:val="000000"/>
        </w:rPr>
        <w:t>micropropagation</w:t>
      </w:r>
      <w:proofErr w:type="spellEnd"/>
      <w:r>
        <w:rPr>
          <w:color w:val="000000"/>
        </w:rPr>
        <w:t xml:space="preserve">, we studied and established the optimum conditions for </w:t>
      </w:r>
      <w:proofErr w:type="spellStart"/>
      <w:r>
        <w:rPr>
          <w:color w:val="000000"/>
        </w:rPr>
        <w:t>propagules</w:t>
      </w:r>
      <w:proofErr w:type="spellEnd"/>
      <w:r>
        <w:rPr>
          <w:color w:val="000000"/>
        </w:rPr>
        <w:t xml:space="preserve"> proliferation in order to increase the propagation potential of our protocol. After performing two rounds of subcultures, we calculated the shoot proliferation rates for each of the three treatments tested. Our data showed that shoot proliferati</w:t>
      </w:r>
      <w:r>
        <w:rPr>
          <w:color w:val="000000"/>
        </w:rPr>
        <w:t xml:space="preserve">on seems to be controlled by an adequate balance of </w:t>
      </w:r>
      <w:proofErr w:type="spellStart"/>
      <w:r>
        <w:rPr>
          <w:color w:val="000000"/>
        </w:rPr>
        <w:t>auxins</w:t>
      </w:r>
      <w:proofErr w:type="gramStart"/>
      <w:r>
        <w:rPr>
          <w:color w:val="000000"/>
        </w:rPr>
        <w:t>:cytokinins</w:t>
      </w:r>
      <w:proofErr w:type="spellEnd"/>
      <w:proofErr w:type="gramEnd"/>
      <w:r>
        <w:rPr>
          <w:color w:val="000000"/>
        </w:rPr>
        <w:t xml:space="preserve"> and that the optimum concentration of NAA is 4.4 </w:t>
      </w:r>
      <w:r>
        <w:rPr>
          <w:rFonts w:ascii="Times New Roman" w:hAnsi="Times New Roman"/>
          <w:color w:val="000000"/>
        </w:rPr>
        <w:t>µ</w:t>
      </w:r>
      <w:r>
        <w:rPr>
          <w:color w:val="000000"/>
        </w:rPr>
        <w:t xml:space="preserve">M. In combination with BA in concentrations of 13.3, 19.9 and 26.6 </w:t>
      </w:r>
      <w:r>
        <w:rPr>
          <w:rFonts w:ascii="Times New Roman" w:hAnsi="Times New Roman"/>
          <w:color w:val="000000"/>
        </w:rPr>
        <w:t>µ</w:t>
      </w:r>
      <w:r>
        <w:rPr>
          <w:color w:val="000000"/>
        </w:rPr>
        <w:t>M, the optimum concentration of NAA produced between five to six sho</w:t>
      </w:r>
      <w:r>
        <w:rPr>
          <w:color w:val="000000"/>
        </w:rPr>
        <w:t xml:space="preserve">ots on average. </w:t>
      </w:r>
      <w:r>
        <w:rPr>
          <w:color w:val="000000"/>
        </w:rPr>
        <w:cr/>
        <w:t>From the ANOVAs and the mean separation tests applied to the data obtained (</w:t>
      </w:r>
      <w:proofErr w:type="spellStart"/>
      <w:r>
        <w:rPr>
          <w:color w:val="000000"/>
        </w:rPr>
        <w:t>Tukey</w:t>
      </w:r>
      <w:proofErr w:type="spellEnd"/>
      <w:r>
        <w:rPr>
          <w:color w:val="000000"/>
        </w:rPr>
        <w:t xml:space="preserve"> </w:t>
      </w:r>
      <w:r>
        <w:rPr>
          <w:color w:val="000000"/>
        </w:rPr>
        <w:sym w:font="Symbol" w:char="F061"/>
      </w:r>
      <w:r>
        <w:rPr>
          <w:color w:val="000000"/>
        </w:rPr>
        <w:t xml:space="preserve"> = 0.05), we were able to see that the shoot number and shoot fresh weight variables did not show significance among treatments. For the shoot length, the t</w:t>
      </w:r>
      <w:r>
        <w:rPr>
          <w:color w:val="000000"/>
        </w:rPr>
        <w:t xml:space="preserve">reatment NAA 4.4 </w:t>
      </w:r>
      <w:r>
        <w:rPr>
          <w:rFonts w:ascii="Times New Roman" w:hAnsi="Times New Roman"/>
          <w:color w:val="000000"/>
        </w:rPr>
        <w:t>µ</w:t>
      </w:r>
      <w:r>
        <w:rPr>
          <w:color w:val="000000"/>
        </w:rPr>
        <w:t>M</w:t>
      </w:r>
      <w:proofErr w:type="gramStart"/>
      <w:r>
        <w:rPr>
          <w:color w:val="000000"/>
        </w:rPr>
        <w:t>:BA</w:t>
      </w:r>
      <w:proofErr w:type="gramEnd"/>
      <w:r>
        <w:rPr>
          <w:color w:val="000000"/>
        </w:rPr>
        <w:t xml:space="preserve"> 13.3 </w:t>
      </w:r>
      <w:r>
        <w:rPr>
          <w:rFonts w:ascii="Times New Roman" w:hAnsi="Times New Roman"/>
          <w:color w:val="000000"/>
        </w:rPr>
        <w:t>µ</w:t>
      </w:r>
      <w:r>
        <w:rPr>
          <w:color w:val="000000"/>
        </w:rPr>
        <w:t xml:space="preserve">M produced significantly higher shoots (4.78 mm) than the other two treatments: NAA 4.4 </w:t>
      </w:r>
      <w:r>
        <w:rPr>
          <w:rFonts w:ascii="Times New Roman" w:hAnsi="Times New Roman"/>
          <w:color w:val="000000"/>
        </w:rPr>
        <w:t>µ</w:t>
      </w:r>
      <w:r>
        <w:rPr>
          <w:color w:val="000000"/>
        </w:rPr>
        <w:t xml:space="preserve">M:BA 19.9 </w:t>
      </w:r>
      <w:r>
        <w:rPr>
          <w:rFonts w:ascii="Times New Roman" w:hAnsi="Times New Roman"/>
          <w:color w:val="000000"/>
        </w:rPr>
        <w:t>µ</w:t>
      </w:r>
      <w:r>
        <w:rPr>
          <w:color w:val="000000"/>
        </w:rPr>
        <w:t xml:space="preserve">M and NAA 4.4 </w:t>
      </w:r>
      <w:r>
        <w:rPr>
          <w:rFonts w:ascii="Times New Roman" w:hAnsi="Times New Roman"/>
          <w:color w:val="000000"/>
        </w:rPr>
        <w:t>µ</w:t>
      </w:r>
      <w:r>
        <w:rPr>
          <w:color w:val="000000"/>
        </w:rPr>
        <w:t xml:space="preserve">M:BA 26.6 </w:t>
      </w:r>
      <w:r>
        <w:rPr>
          <w:rFonts w:ascii="Times New Roman" w:hAnsi="Times New Roman"/>
          <w:color w:val="000000"/>
        </w:rPr>
        <w:t>µ</w:t>
      </w:r>
      <w:r>
        <w:rPr>
          <w:color w:val="000000"/>
        </w:rPr>
        <w:t>M, which produced shoots of 3.93 and 3.67 mm in length, respectively (</w:t>
      </w:r>
      <w:r>
        <w:rPr>
          <w:color w:val="FF0000"/>
        </w:rPr>
        <w:t>Table 2</w:t>
      </w:r>
      <w:r>
        <w:rPr>
          <w:color w:val="000000"/>
        </w:rPr>
        <w:t>). It was interesting to</w:t>
      </w:r>
      <w:r>
        <w:rPr>
          <w:color w:val="000000"/>
        </w:rPr>
        <w:t xml:space="preserve"> notice that increased concentrations of BA (19.9 </w:t>
      </w:r>
      <w:r>
        <w:rPr>
          <w:rFonts w:ascii="Times New Roman" w:hAnsi="Times New Roman"/>
          <w:color w:val="000000"/>
        </w:rPr>
        <w:t>µ</w:t>
      </w:r>
      <w:r>
        <w:rPr>
          <w:color w:val="000000"/>
        </w:rPr>
        <w:t xml:space="preserve">M and 26.6 </w:t>
      </w:r>
      <w:r>
        <w:rPr>
          <w:rFonts w:ascii="Times New Roman" w:hAnsi="Times New Roman"/>
          <w:color w:val="000000"/>
        </w:rPr>
        <w:t>µ</w:t>
      </w:r>
      <w:r>
        <w:rPr>
          <w:color w:val="000000"/>
        </w:rPr>
        <w:t xml:space="preserve">M) produced crested or monstrous shoots. Given that </w:t>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color w:val="000000"/>
        </w:rPr>
        <w:t xml:space="preserve"> A</w:t>
      </w:r>
      <w:proofErr w:type="gramStart"/>
      <w:r>
        <w:rPr>
          <w:color w:val="000000"/>
        </w:rPr>
        <w:t>.,</w:t>
      </w:r>
      <w:proofErr w:type="gramEnd"/>
      <w:r>
        <w:rPr>
          <w:color w:val="000000"/>
        </w:rPr>
        <w:t xml:space="preserve"> is a slow growing plant species, the adequate time between subcultures was considered to be 110 days. </w:t>
      </w:r>
      <w:r>
        <w:rPr>
          <w:color w:val="000000"/>
        </w:rPr>
        <w:cr/>
        <w:t>As obser</w:t>
      </w:r>
      <w:r>
        <w:rPr>
          <w:color w:val="000000"/>
        </w:rPr>
        <w:t xml:space="preserve">ved with the induction cultures, the origin of shoots during subcultures occurred through areole activation and direct </w:t>
      </w:r>
      <w:r>
        <w:rPr>
          <w:i/>
          <w:color w:val="000000"/>
        </w:rPr>
        <w:t>de novo</w:t>
      </w:r>
      <w:r>
        <w:rPr>
          <w:color w:val="000000"/>
        </w:rPr>
        <w:t xml:space="preserve"> differentiation (</w:t>
      </w:r>
      <w:r>
        <w:rPr>
          <w:color w:val="FF0000"/>
        </w:rPr>
        <w:t>Fig. 1d-j</w:t>
      </w:r>
      <w:r>
        <w:rPr>
          <w:color w:val="000000"/>
        </w:rPr>
        <w:t>). In addition to shoot proliferation, these treatments also induced adventitious root formation in som</w:t>
      </w:r>
      <w:r>
        <w:rPr>
          <w:color w:val="000000"/>
        </w:rPr>
        <w:t xml:space="preserve">e explants. The statistical analysis of data obtained for root number and root length showed high significance among treatments in which treatment NAA 4.4 </w:t>
      </w:r>
      <w:r>
        <w:rPr>
          <w:rFonts w:ascii="Times New Roman" w:hAnsi="Times New Roman"/>
          <w:color w:val="000000"/>
        </w:rPr>
        <w:t>µ</w:t>
      </w:r>
      <w:r>
        <w:rPr>
          <w:color w:val="000000"/>
        </w:rPr>
        <w:t xml:space="preserve">M:BA 13.3 </w:t>
      </w:r>
      <w:r>
        <w:rPr>
          <w:rFonts w:ascii="Times New Roman" w:hAnsi="Times New Roman"/>
          <w:color w:val="000000"/>
        </w:rPr>
        <w:t>µ</w:t>
      </w:r>
      <w:r>
        <w:rPr>
          <w:color w:val="000000"/>
        </w:rPr>
        <w:t xml:space="preserve">M resulted </w:t>
      </w:r>
      <w:r w:rsidR="00411B8B">
        <w:rPr>
          <w:color w:val="000000"/>
        </w:rPr>
        <w:t xml:space="preserve">in </w:t>
      </w:r>
      <w:r>
        <w:rPr>
          <w:color w:val="000000"/>
        </w:rPr>
        <w:t>better</w:t>
      </w:r>
      <w:r w:rsidR="00411B8B">
        <w:rPr>
          <w:color w:val="000000"/>
        </w:rPr>
        <w:t xml:space="preserve"> outcomes</w:t>
      </w:r>
      <w:r>
        <w:rPr>
          <w:color w:val="000000"/>
        </w:rPr>
        <w:t xml:space="preserve"> than NAA 4.4:BA 19.9 </w:t>
      </w:r>
      <w:r>
        <w:rPr>
          <w:rFonts w:ascii="Times New Roman" w:hAnsi="Times New Roman"/>
          <w:color w:val="000000"/>
        </w:rPr>
        <w:t>µ</w:t>
      </w:r>
      <w:r>
        <w:rPr>
          <w:color w:val="000000"/>
        </w:rPr>
        <w:t xml:space="preserve">M and NAA 4.4:BA 26.6 </w:t>
      </w:r>
      <w:r>
        <w:rPr>
          <w:rFonts w:ascii="Times New Roman" w:hAnsi="Times New Roman"/>
          <w:color w:val="000000"/>
        </w:rPr>
        <w:t>µ</w:t>
      </w:r>
      <w:r>
        <w:rPr>
          <w:color w:val="000000"/>
        </w:rPr>
        <w:t xml:space="preserve">M in both variables. This </w:t>
      </w:r>
      <w:r>
        <w:rPr>
          <w:color w:val="000000"/>
        </w:rPr>
        <w:t>treatment was the only one that regenerated roots (</w:t>
      </w:r>
      <w:r>
        <w:rPr>
          <w:color w:val="FF0000"/>
        </w:rPr>
        <w:t>Table 3</w:t>
      </w:r>
      <w:r>
        <w:rPr>
          <w:color w:val="000000"/>
        </w:rPr>
        <w:t xml:space="preserve">); however, the number of roots produced can be considered to be a poor response: </w:t>
      </w:r>
      <w:proofErr w:type="gramStart"/>
      <w:r>
        <w:rPr>
          <w:color w:val="000000"/>
        </w:rPr>
        <w:t xml:space="preserve">an average of 1.25 roots per </w:t>
      </w:r>
      <w:proofErr w:type="spellStart"/>
      <w:r>
        <w:rPr>
          <w:color w:val="000000"/>
        </w:rPr>
        <w:t>explant</w:t>
      </w:r>
      <w:proofErr w:type="spellEnd"/>
      <w:r>
        <w:rPr>
          <w:color w:val="000000"/>
        </w:rPr>
        <w:t xml:space="preserve"> were</w:t>
      </w:r>
      <w:proofErr w:type="gramEnd"/>
      <w:r>
        <w:rPr>
          <w:color w:val="000000"/>
        </w:rPr>
        <w:t xml:space="preserve"> recorded.</w:t>
      </w:r>
      <w:r>
        <w:rPr>
          <w:color w:val="000000"/>
        </w:rPr>
        <w:cr/>
        <w:t>For the rooting stage, we recorded the number of roots produced,</w:t>
      </w:r>
      <w:r>
        <w:rPr>
          <w:color w:val="000000"/>
        </w:rPr>
        <w:t xml:space="preserve"> root length, and percentage of explants with adventitious roots formation. After 50 days of culture, we observed that the four treatments evaluated induced adventitious roots in the explants. The ANOVA showed differences among treatments in the root numbe</w:t>
      </w:r>
      <w:r>
        <w:rPr>
          <w:color w:val="000000"/>
        </w:rPr>
        <w:t xml:space="preserve">r and percentage of explants with adventitious roots formation. As a general trend, we could see that the </w:t>
      </w:r>
      <w:r>
        <w:rPr>
          <w:color w:val="000000"/>
        </w:rPr>
        <w:lastRenderedPageBreak/>
        <w:t xml:space="preserve">presence of </w:t>
      </w:r>
      <w:proofErr w:type="spellStart"/>
      <w:r>
        <w:rPr>
          <w:color w:val="000000"/>
        </w:rPr>
        <w:t>auxins</w:t>
      </w:r>
      <w:proofErr w:type="spellEnd"/>
      <w:r>
        <w:rPr>
          <w:color w:val="000000"/>
        </w:rPr>
        <w:t xml:space="preserve"> in the MS medium, in particular IBA when supplied in low (1.6 </w:t>
      </w:r>
      <w:r>
        <w:rPr>
          <w:rFonts w:ascii="Times New Roman" w:hAnsi="Times New Roman"/>
          <w:color w:val="000000"/>
        </w:rPr>
        <w:t>µ</w:t>
      </w:r>
      <w:r>
        <w:rPr>
          <w:color w:val="000000"/>
        </w:rPr>
        <w:t xml:space="preserve">M) and medium (4.9 </w:t>
      </w:r>
      <w:r>
        <w:rPr>
          <w:rFonts w:ascii="Times New Roman" w:hAnsi="Times New Roman"/>
          <w:color w:val="000000"/>
        </w:rPr>
        <w:t>µ</w:t>
      </w:r>
      <w:r>
        <w:rPr>
          <w:color w:val="000000"/>
        </w:rPr>
        <w:t xml:space="preserve">M) concentrations, significantly improved the </w:t>
      </w:r>
      <w:proofErr w:type="spellStart"/>
      <w:r>
        <w:rPr>
          <w:color w:val="000000"/>
        </w:rPr>
        <w:t>ex</w:t>
      </w:r>
      <w:r>
        <w:rPr>
          <w:color w:val="000000"/>
        </w:rPr>
        <w:t>plant</w:t>
      </w:r>
      <w:proofErr w:type="spellEnd"/>
      <w:r>
        <w:rPr>
          <w:color w:val="000000"/>
        </w:rPr>
        <w:t xml:space="preserve"> responses for both root number and percentage of explants with roots; which resulted statistically similar. The highest concentration of IBA (4.9 </w:t>
      </w:r>
      <w:r>
        <w:rPr>
          <w:rFonts w:ascii="Times New Roman" w:hAnsi="Times New Roman"/>
          <w:color w:val="000000"/>
        </w:rPr>
        <w:t>µ</w:t>
      </w:r>
      <w:r>
        <w:rPr>
          <w:color w:val="000000"/>
        </w:rPr>
        <w:t>M) produced better results, enhanced the root number (9.9 in average) and resulted in a higher percenta</w:t>
      </w:r>
      <w:r>
        <w:rPr>
          <w:color w:val="000000"/>
        </w:rPr>
        <w:t>ge of rooted shoots (75%), compared with the other treatments (</w:t>
      </w:r>
      <w:r>
        <w:rPr>
          <w:color w:val="FF0000"/>
        </w:rPr>
        <w:t>Table 4</w:t>
      </w:r>
      <w:r>
        <w:rPr>
          <w:color w:val="000000"/>
        </w:rPr>
        <w:t xml:space="preserve">). Contrary to what was observed in the other experiments, in which adventitious roots were also produced in long periods of cultures, in this case the root initials and </w:t>
      </w:r>
      <w:proofErr w:type="spellStart"/>
      <w:r>
        <w:rPr>
          <w:color w:val="000000"/>
        </w:rPr>
        <w:t>primordia</w:t>
      </w:r>
      <w:proofErr w:type="spellEnd"/>
      <w:r>
        <w:rPr>
          <w:color w:val="000000"/>
        </w:rPr>
        <w:t xml:space="preserve"> were v</w:t>
      </w:r>
      <w:r>
        <w:rPr>
          <w:color w:val="000000"/>
        </w:rPr>
        <w:t>isible on explants only 30 days after the subculture was initiated (</w:t>
      </w:r>
      <w:r>
        <w:rPr>
          <w:color w:val="FF0000"/>
        </w:rPr>
        <w:t>Fig. 2a</w:t>
      </w:r>
      <w:r>
        <w:rPr>
          <w:color w:val="000000"/>
        </w:rPr>
        <w:t>) and 20 days later (50 days in total) highly differentiated and elongated roots were observed (</w:t>
      </w:r>
      <w:r>
        <w:rPr>
          <w:color w:val="FF0000"/>
        </w:rPr>
        <w:t>Fig. 2b, c</w:t>
      </w:r>
      <w:r>
        <w:rPr>
          <w:color w:val="000000"/>
        </w:rPr>
        <w:t>). Detailed observations of the origin of adventitious roots suggest that t</w:t>
      </w:r>
      <w:r>
        <w:rPr>
          <w:color w:val="000000"/>
        </w:rPr>
        <w:t xml:space="preserve">hey possibly differentiated from </w:t>
      </w:r>
      <w:proofErr w:type="spellStart"/>
      <w:r>
        <w:rPr>
          <w:color w:val="000000"/>
        </w:rPr>
        <w:t>parenchymatic</w:t>
      </w:r>
      <w:proofErr w:type="spellEnd"/>
      <w:r>
        <w:rPr>
          <w:color w:val="000000"/>
        </w:rPr>
        <w:t xml:space="preserve"> cells and pith ground tissues in the neighborhood of vascular tissues (</w:t>
      </w:r>
      <w:r>
        <w:rPr>
          <w:color w:val="FF0000"/>
        </w:rPr>
        <w:t>Fig. 2d</w:t>
      </w:r>
      <w:r>
        <w:rPr>
          <w:color w:val="000000"/>
        </w:rPr>
        <w:t xml:space="preserve">); however, an anatomical analysis to corroborate this observation was not performed. </w:t>
      </w:r>
      <w:r>
        <w:rPr>
          <w:color w:val="000000"/>
        </w:rPr>
        <w:cr/>
        <w:t>Fifty</w:t>
      </w:r>
      <w:r>
        <w:rPr>
          <w:i/>
          <w:color w:val="000000"/>
        </w:rPr>
        <w:t xml:space="preserve"> </w:t>
      </w:r>
      <w:proofErr w:type="spellStart"/>
      <w:r>
        <w:rPr>
          <w:i/>
          <w:color w:val="000000"/>
        </w:rPr>
        <w:t>Ortegocactus</w:t>
      </w:r>
      <w:proofErr w:type="spellEnd"/>
      <w:r>
        <w:rPr>
          <w:i/>
          <w:color w:val="000000"/>
        </w:rPr>
        <w:t xml:space="preserve"> </w:t>
      </w:r>
      <w:proofErr w:type="spellStart"/>
      <w:r>
        <w:rPr>
          <w:i/>
          <w:color w:val="000000"/>
        </w:rPr>
        <w:t>macdogallii</w:t>
      </w:r>
      <w:proofErr w:type="spellEnd"/>
      <w:r>
        <w:rPr>
          <w:color w:val="000000"/>
        </w:rPr>
        <w:t xml:space="preserve"> A., plantlets</w:t>
      </w:r>
      <w:r>
        <w:rPr>
          <w:color w:val="000000"/>
        </w:rPr>
        <w:t xml:space="preserve"> regenerated through this </w:t>
      </w:r>
      <w:proofErr w:type="spellStart"/>
      <w:r>
        <w:rPr>
          <w:color w:val="000000"/>
        </w:rPr>
        <w:t>micropropagation</w:t>
      </w:r>
      <w:proofErr w:type="spellEnd"/>
      <w:r>
        <w:rPr>
          <w:color w:val="000000"/>
        </w:rPr>
        <w:t xml:space="preserve"> scheme were carefully transferred from the laboratory to </w:t>
      </w:r>
      <w:r>
        <w:rPr>
          <w:i/>
          <w:color w:val="000000"/>
        </w:rPr>
        <w:t>in vivo</w:t>
      </w:r>
      <w:r>
        <w:rPr>
          <w:color w:val="000000"/>
        </w:rPr>
        <w:t xml:space="preserve"> conditions. After 180 days of transplantation we observed an active plantlet growth and</w:t>
      </w:r>
      <w:r>
        <w:rPr>
          <w:color w:val="FF0000"/>
        </w:rPr>
        <w:t xml:space="preserve"> </w:t>
      </w:r>
      <w:r>
        <w:rPr>
          <w:color w:val="000000"/>
        </w:rPr>
        <w:t>recorded 98% of survival under the culture conditions impose</w:t>
      </w:r>
      <w:r>
        <w:rPr>
          <w:color w:val="000000"/>
        </w:rPr>
        <w:t>d (</w:t>
      </w:r>
      <w:r>
        <w:rPr>
          <w:color w:val="FF0000"/>
        </w:rPr>
        <w:t>Fig. 2f</w:t>
      </w:r>
      <w:r>
        <w:rPr>
          <w:color w:val="000000"/>
        </w:rPr>
        <w:t>).</w:t>
      </w:r>
      <w:r>
        <w:rPr>
          <w:color w:val="000000"/>
        </w:rPr>
        <w:cr/>
      </w:r>
      <w:r>
        <w:rPr>
          <w:color w:val="000000"/>
        </w:rPr>
        <w:cr/>
      </w:r>
      <w:r>
        <w:rPr>
          <w:b/>
          <w:color w:val="000000"/>
        </w:rPr>
        <w:t>DISCUSSION</w:t>
      </w:r>
      <w:r>
        <w:rPr>
          <w:b/>
          <w:color w:val="000000"/>
        </w:rPr>
        <w:cr/>
      </w:r>
      <w:r>
        <w:rPr>
          <w:color w:val="000000"/>
        </w:rPr>
        <w:t xml:space="preserve">The methods for propagation of cacti include seed germination, </w:t>
      </w:r>
      <w:proofErr w:type="spellStart"/>
      <w:r>
        <w:rPr>
          <w:color w:val="000000"/>
        </w:rPr>
        <w:t>apomixis</w:t>
      </w:r>
      <w:proofErr w:type="spellEnd"/>
      <w:r>
        <w:rPr>
          <w:color w:val="000000"/>
        </w:rPr>
        <w:t xml:space="preserve">, and the rooting of sprouts, cuttings, and suckers. Grafts, </w:t>
      </w:r>
      <w:proofErr w:type="spellStart"/>
      <w:r>
        <w:rPr>
          <w:color w:val="000000"/>
        </w:rPr>
        <w:t>micrografts</w:t>
      </w:r>
      <w:proofErr w:type="spellEnd"/>
      <w:r>
        <w:rPr>
          <w:color w:val="000000"/>
        </w:rPr>
        <w:t xml:space="preserve">, and </w:t>
      </w:r>
      <w:proofErr w:type="spellStart"/>
      <w:r>
        <w:rPr>
          <w:color w:val="000000"/>
        </w:rPr>
        <w:t>micropropagation</w:t>
      </w:r>
      <w:proofErr w:type="spellEnd"/>
      <w:r>
        <w:rPr>
          <w:color w:val="000000"/>
        </w:rPr>
        <w:t xml:space="preserve"> are also common (Anderson 2001, </w:t>
      </w:r>
      <w:proofErr w:type="spellStart"/>
      <w:r>
        <w:rPr>
          <w:color w:val="000000"/>
        </w:rPr>
        <w:t>Cullmann</w:t>
      </w:r>
      <w:proofErr w:type="spellEnd"/>
      <w:r>
        <w:rPr>
          <w:color w:val="000000"/>
        </w:rPr>
        <w:t xml:space="preserve"> et al. 1986, Estrada-Lun</w:t>
      </w:r>
      <w:r>
        <w:rPr>
          <w:color w:val="000000"/>
        </w:rPr>
        <w:t xml:space="preserve">a et al. 2002). We report here a new way to propagate </w:t>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color w:val="000000"/>
        </w:rPr>
        <w:t xml:space="preserve"> A., through tissue culture. Our system is reliable and very efficient and </w:t>
      </w:r>
      <w:r>
        <w:t xml:space="preserve">the complete cycle of </w:t>
      </w:r>
      <w:proofErr w:type="spellStart"/>
      <w:r>
        <w:t>micropropagation</w:t>
      </w:r>
      <w:proofErr w:type="spellEnd"/>
      <w:r>
        <w:t xml:space="preserve"> requires about 13 months of culture to produce 625 plantlets, a</w:t>
      </w:r>
      <w:r>
        <w:t xml:space="preserve">fter three rounds of subcultures. The proliferation rate might be significantly increased with five rounds of subcultures and a culture period extended to 21 months, yielding 15,625 plantlets on average. </w:t>
      </w:r>
      <w:r>
        <w:rPr>
          <w:color w:val="000000"/>
        </w:rPr>
        <w:t xml:space="preserve">The protocol is based on the induction of two </w:t>
      </w:r>
      <w:proofErr w:type="spellStart"/>
      <w:r>
        <w:rPr>
          <w:color w:val="000000"/>
        </w:rPr>
        <w:t>morpho</w:t>
      </w:r>
      <w:r>
        <w:rPr>
          <w:color w:val="000000"/>
        </w:rPr>
        <w:t>genic</w:t>
      </w:r>
      <w:proofErr w:type="spellEnd"/>
      <w:r>
        <w:rPr>
          <w:color w:val="000000"/>
        </w:rPr>
        <w:t xml:space="preserve"> responses: differentiation of shoots and adventitious roots; however, </w:t>
      </w:r>
      <w:proofErr w:type="spellStart"/>
      <w:r>
        <w:rPr>
          <w:color w:val="000000"/>
        </w:rPr>
        <w:t>calli</w:t>
      </w:r>
      <w:proofErr w:type="spellEnd"/>
      <w:r>
        <w:rPr>
          <w:color w:val="000000"/>
        </w:rPr>
        <w:t xml:space="preserve"> may also be produced. During the initial cultures, fungi and bacteria contamination and tissue oxidation are common constrains and adversely affect the physiology of the expl</w:t>
      </w:r>
      <w:r>
        <w:rPr>
          <w:color w:val="000000"/>
        </w:rPr>
        <w:t xml:space="preserve">ants, limit morphogenetic responses, and reduce the </w:t>
      </w:r>
      <w:r>
        <w:rPr>
          <w:color w:val="000000"/>
        </w:rPr>
        <w:lastRenderedPageBreak/>
        <w:t>potential rate of propagation (</w:t>
      </w:r>
      <w:proofErr w:type="spellStart"/>
      <w:r>
        <w:rPr>
          <w:color w:val="000000"/>
        </w:rPr>
        <w:t>Kyte</w:t>
      </w:r>
      <w:proofErr w:type="spellEnd"/>
      <w:r>
        <w:rPr>
          <w:color w:val="000000"/>
        </w:rPr>
        <w:t xml:space="preserve"> and Klein 1999, Villalobos and Thorpe 1985). However, we were successful in obtaining low rates of contamination (4%) and minimum tissue oxidation (0%), as the result o</w:t>
      </w:r>
      <w:r>
        <w:rPr>
          <w:color w:val="000000"/>
        </w:rPr>
        <w:t xml:space="preserve">f adequate plant management and culture conditions imposed in the greenhouse and of the cleaning and disinfection treatment prior </w:t>
      </w:r>
      <w:proofErr w:type="spellStart"/>
      <w:r>
        <w:rPr>
          <w:color w:val="000000"/>
        </w:rPr>
        <w:t>explant</w:t>
      </w:r>
      <w:proofErr w:type="spellEnd"/>
      <w:r>
        <w:rPr>
          <w:color w:val="000000"/>
        </w:rPr>
        <w:t xml:space="preserve"> dissection.</w:t>
      </w:r>
      <w:r>
        <w:rPr>
          <w:color w:val="000000"/>
        </w:rPr>
        <w:cr/>
        <w:t xml:space="preserve">In this study we demonstrated the role and importance of </w:t>
      </w:r>
      <w:proofErr w:type="spellStart"/>
      <w:r>
        <w:rPr>
          <w:color w:val="000000"/>
        </w:rPr>
        <w:t>cytokinins</w:t>
      </w:r>
      <w:proofErr w:type="spellEnd"/>
      <w:r>
        <w:rPr>
          <w:color w:val="000000"/>
        </w:rPr>
        <w:t xml:space="preserve"> and </w:t>
      </w:r>
      <w:proofErr w:type="spellStart"/>
      <w:r>
        <w:rPr>
          <w:color w:val="000000"/>
        </w:rPr>
        <w:t>auxins</w:t>
      </w:r>
      <w:proofErr w:type="spellEnd"/>
      <w:r>
        <w:rPr>
          <w:color w:val="000000"/>
        </w:rPr>
        <w:t xml:space="preserve"> during the </w:t>
      </w:r>
      <w:proofErr w:type="spellStart"/>
      <w:r>
        <w:rPr>
          <w:color w:val="000000"/>
        </w:rPr>
        <w:t>micropropagation</w:t>
      </w:r>
      <w:proofErr w:type="spellEnd"/>
      <w:r>
        <w:rPr>
          <w:color w:val="000000"/>
        </w:rPr>
        <w:t xml:space="preserve"> of </w:t>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i/>
          <w:color w:val="000000"/>
        </w:rPr>
        <w:t xml:space="preserve"> </w:t>
      </w:r>
      <w:r>
        <w:rPr>
          <w:color w:val="000000"/>
        </w:rPr>
        <w:t>A</w:t>
      </w:r>
      <w:r>
        <w:rPr>
          <w:i/>
          <w:color w:val="000000"/>
        </w:rPr>
        <w:t>.</w:t>
      </w:r>
      <w:r>
        <w:rPr>
          <w:color w:val="000000"/>
        </w:rPr>
        <w:t xml:space="preserve"> In general, we observed that BA, in combination with NAA in an adequate balance, was able to control and promote three </w:t>
      </w:r>
      <w:proofErr w:type="spellStart"/>
      <w:r>
        <w:rPr>
          <w:color w:val="000000"/>
        </w:rPr>
        <w:t>morphogenic</w:t>
      </w:r>
      <w:proofErr w:type="spellEnd"/>
      <w:r>
        <w:rPr>
          <w:color w:val="000000"/>
        </w:rPr>
        <w:t xml:space="preserve"> responses: </w:t>
      </w:r>
      <w:proofErr w:type="spellStart"/>
      <w:r>
        <w:rPr>
          <w:color w:val="000000"/>
        </w:rPr>
        <w:t>caulogenesis</w:t>
      </w:r>
      <w:proofErr w:type="spellEnd"/>
      <w:r>
        <w:rPr>
          <w:color w:val="000000"/>
        </w:rPr>
        <w:t>, adventitious root formation, and bud production. These responses we</w:t>
      </w:r>
      <w:r>
        <w:rPr>
          <w:color w:val="000000"/>
        </w:rPr>
        <w:t xml:space="preserve">re produced during initial cultures and subsequent proliferation sub-cultures. When </w:t>
      </w:r>
      <w:proofErr w:type="spellStart"/>
      <w:r>
        <w:rPr>
          <w:color w:val="000000"/>
        </w:rPr>
        <w:t>caulogenesis</w:t>
      </w:r>
      <w:proofErr w:type="spellEnd"/>
      <w:r>
        <w:rPr>
          <w:color w:val="000000"/>
        </w:rPr>
        <w:t xml:space="preserve"> was produced, all </w:t>
      </w:r>
      <w:proofErr w:type="spellStart"/>
      <w:r>
        <w:rPr>
          <w:color w:val="000000"/>
        </w:rPr>
        <w:t>calli</w:t>
      </w:r>
      <w:proofErr w:type="spellEnd"/>
      <w:r>
        <w:rPr>
          <w:color w:val="000000"/>
        </w:rPr>
        <w:t xml:space="preserve"> were originated from cells of both epidermis and parenchyma tissues located at the edge of the cut area (</w:t>
      </w:r>
      <w:r>
        <w:rPr>
          <w:color w:val="FF0000"/>
        </w:rPr>
        <w:t>Fig. 1a, b</w:t>
      </w:r>
      <w:r>
        <w:rPr>
          <w:color w:val="000000"/>
        </w:rPr>
        <w:t>). This response was</w:t>
      </w:r>
      <w:r>
        <w:rPr>
          <w:color w:val="000000"/>
        </w:rPr>
        <w:t xml:space="preserve"> induced by </w:t>
      </w:r>
      <w:proofErr w:type="spellStart"/>
      <w:r>
        <w:rPr>
          <w:color w:val="000000"/>
        </w:rPr>
        <w:t>auxins</w:t>
      </w:r>
      <w:proofErr w:type="spellEnd"/>
      <w:r>
        <w:rPr>
          <w:color w:val="000000"/>
        </w:rPr>
        <w:t xml:space="preserve">, independently of the concentration and the presence of </w:t>
      </w:r>
      <w:proofErr w:type="spellStart"/>
      <w:r>
        <w:rPr>
          <w:color w:val="000000"/>
        </w:rPr>
        <w:t>cytokinin</w:t>
      </w:r>
      <w:proofErr w:type="spellEnd"/>
      <w:r>
        <w:rPr>
          <w:color w:val="000000"/>
        </w:rPr>
        <w:t xml:space="preserve">. Particularly, the </w:t>
      </w:r>
      <w:proofErr w:type="spellStart"/>
      <w:r>
        <w:rPr>
          <w:color w:val="000000"/>
        </w:rPr>
        <w:t>auxin</w:t>
      </w:r>
      <w:proofErr w:type="spellEnd"/>
      <w:r>
        <w:rPr>
          <w:color w:val="000000"/>
        </w:rPr>
        <w:t xml:space="preserve"> concentration requirements for </w:t>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i/>
          <w:color w:val="000000"/>
        </w:rPr>
        <w:t xml:space="preserve"> </w:t>
      </w:r>
      <w:r>
        <w:rPr>
          <w:color w:val="000000"/>
        </w:rPr>
        <w:t xml:space="preserve">A., were relatively low and the optimum responses were in agreement and within the range </w:t>
      </w:r>
      <w:r>
        <w:rPr>
          <w:color w:val="000000"/>
        </w:rPr>
        <w:t>reported for most cacti (</w:t>
      </w:r>
      <w:proofErr w:type="spellStart"/>
      <w:r>
        <w:rPr>
          <w:color w:val="000000"/>
        </w:rPr>
        <w:t>Choreño</w:t>
      </w:r>
      <w:proofErr w:type="spellEnd"/>
      <w:r>
        <w:rPr>
          <w:color w:val="000000"/>
        </w:rPr>
        <w:t xml:space="preserve">-Tapia et al. 2003, </w:t>
      </w:r>
      <w:proofErr w:type="spellStart"/>
      <w:r>
        <w:rPr>
          <w:color w:val="000000"/>
        </w:rPr>
        <w:t>Karimi</w:t>
      </w:r>
      <w:proofErr w:type="spellEnd"/>
      <w:r>
        <w:rPr>
          <w:color w:val="000000"/>
        </w:rPr>
        <w:t xml:space="preserve"> et al. 2010, </w:t>
      </w:r>
      <w:proofErr w:type="spellStart"/>
      <w:r>
        <w:rPr>
          <w:color w:val="000000"/>
        </w:rPr>
        <w:t>Ruvalcaba</w:t>
      </w:r>
      <w:proofErr w:type="spellEnd"/>
      <w:r>
        <w:rPr>
          <w:color w:val="000000"/>
        </w:rPr>
        <w:t xml:space="preserve">-Ruiz et al. 2010, </w:t>
      </w:r>
      <w:proofErr w:type="spellStart"/>
      <w:r>
        <w:rPr>
          <w:color w:val="000000"/>
        </w:rPr>
        <w:t>Vyskot</w:t>
      </w:r>
      <w:proofErr w:type="spellEnd"/>
      <w:r>
        <w:rPr>
          <w:color w:val="000000"/>
        </w:rPr>
        <w:t xml:space="preserve"> 1984, </w:t>
      </w:r>
      <w:proofErr w:type="spellStart"/>
      <w:r>
        <w:rPr>
          <w:color w:val="000000"/>
        </w:rPr>
        <w:t>Wyka</w:t>
      </w:r>
      <w:proofErr w:type="spellEnd"/>
      <w:r>
        <w:rPr>
          <w:color w:val="000000"/>
        </w:rPr>
        <w:t xml:space="preserve"> 2006), which lies between 2.23 and 22.29 </w:t>
      </w:r>
      <w:r>
        <w:rPr>
          <w:color w:val="000000"/>
        </w:rPr>
        <w:sym w:font="Symbol" w:char="F06D"/>
      </w:r>
      <w:r>
        <w:rPr>
          <w:color w:val="000000"/>
        </w:rPr>
        <w:t xml:space="preserve">M NAA. Other species such as </w:t>
      </w:r>
      <w:proofErr w:type="spellStart"/>
      <w:r>
        <w:rPr>
          <w:i/>
          <w:color w:val="000000"/>
        </w:rPr>
        <w:t>Cephalocereus</w:t>
      </w:r>
      <w:proofErr w:type="spellEnd"/>
      <w:r>
        <w:rPr>
          <w:i/>
          <w:color w:val="000000"/>
        </w:rPr>
        <w:t xml:space="preserve"> </w:t>
      </w:r>
      <w:proofErr w:type="spellStart"/>
      <w:r>
        <w:rPr>
          <w:i/>
          <w:color w:val="000000"/>
        </w:rPr>
        <w:t>senilis</w:t>
      </w:r>
      <w:proofErr w:type="spellEnd"/>
      <w:r>
        <w:rPr>
          <w:i/>
          <w:color w:val="000000"/>
        </w:rPr>
        <w:t xml:space="preserve"> </w:t>
      </w:r>
      <w:r>
        <w:rPr>
          <w:color w:val="000000"/>
        </w:rPr>
        <w:t>respond better with higher concentrations (Na</w:t>
      </w:r>
      <w:r>
        <w:rPr>
          <w:color w:val="000000"/>
        </w:rPr>
        <w:t xml:space="preserve">va-Esparza and </w:t>
      </w:r>
      <w:proofErr w:type="spellStart"/>
      <w:r>
        <w:rPr>
          <w:color w:val="000000"/>
        </w:rPr>
        <w:t>Yañez</w:t>
      </w:r>
      <w:proofErr w:type="spellEnd"/>
      <w:r>
        <w:rPr>
          <w:color w:val="000000"/>
        </w:rPr>
        <w:t xml:space="preserve"> 1984). Natural </w:t>
      </w:r>
      <w:proofErr w:type="spellStart"/>
      <w:r>
        <w:rPr>
          <w:color w:val="000000"/>
        </w:rPr>
        <w:t>auxins</w:t>
      </w:r>
      <w:proofErr w:type="spellEnd"/>
      <w:r>
        <w:rPr>
          <w:color w:val="000000"/>
        </w:rPr>
        <w:t xml:space="preserve"> are produced in the </w:t>
      </w:r>
      <w:proofErr w:type="spellStart"/>
      <w:r>
        <w:rPr>
          <w:color w:val="000000"/>
        </w:rPr>
        <w:t>meristems</w:t>
      </w:r>
      <w:proofErr w:type="spellEnd"/>
      <w:r>
        <w:rPr>
          <w:color w:val="000000"/>
        </w:rPr>
        <w:t xml:space="preserve"> of higher plants and are involved in many functions such as the control of cell elongation, tissue expansion, and cell division (callus formation) (Davies 1995, Fay and </w:t>
      </w:r>
      <w:proofErr w:type="spellStart"/>
      <w:r>
        <w:rPr>
          <w:color w:val="000000"/>
        </w:rPr>
        <w:t>Gratton</w:t>
      </w:r>
      <w:proofErr w:type="spellEnd"/>
      <w:r>
        <w:rPr>
          <w:color w:val="000000"/>
        </w:rPr>
        <w:t xml:space="preserve"> 1992, </w:t>
      </w:r>
      <w:proofErr w:type="spellStart"/>
      <w:r>
        <w:rPr>
          <w:color w:val="000000"/>
        </w:rPr>
        <w:t>Taiz</w:t>
      </w:r>
      <w:proofErr w:type="spellEnd"/>
      <w:r>
        <w:rPr>
          <w:color w:val="000000"/>
        </w:rPr>
        <w:t xml:space="preserve"> and </w:t>
      </w:r>
      <w:proofErr w:type="spellStart"/>
      <w:r>
        <w:rPr>
          <w:color w:val="000000"/>
        </w:rPr>
        <w:t>Zeiger</w:t>
      </w:r>
      <w:proofErr w:type="spellEnd"/>
      <w:r>
        <w:rPr>
          <w:color w:val="000000"/>
        </w:rPr>
        <w:t xml:space="preserve"> 2010); however, its commercial use and application in plant tissue culture and conventional propagation systems is related to the control of adventitious root formation, inhibition of </w:t>
      </w:r>
      <w:proofErr w:type="spellStart"/>
      <w:r>
        <w:rPr>
          <w:color w:val="000000"/>
        </w:rPr>
        <w:t>axillary</w:t>
      </w:r>
      <w:proofErr w:type="spellEnd"/>
      <w:r>
        <w:rPr>
          <w:color w:val="000000"/>
        </w:rPr>
        <w:t xml:space="preserve"> and adventitious shoot formation, somatic embry</w:t>
      </w:r>
      <w:r>
        <w:rPr>
          <w:color w:val="000000"/>
        </w:rPr>
        <w:t xml:space="preserve">ogenesis, establishing cell suspension cultures, and as herbicides (Hartman et al. 2010, </w:t>
      </w:r>
      <w:proofErr w:type="spellStart"/>
      <w:r>
        <w:rPr>
          <w:color w:val="000000"/>
        </w:rPr>
        <w:t>Pierik</w:t>
      </w:r>
      <w:proofErr w:type="spellEnd"/>
      <w:r>
        <w:rPr>
          <w:color w:val="000000"/>
        </w:rPr>
        <w:t xml:space="preserve"> 1990, Salisbury and Ross 1994, </w:t>
      </w:r>
      <w:proofErr w:type="spellStart"/>
      <w:r>
        <w:rPr>
          <w:color w:val="000000"/>
        </w:rPr>
        <w:t>Taiz</w:t>
      </w:r>
      <w:proofErr w:type="spellEnd"/>
      <w:r>
        <w:rPr>
          <w:color w:val="000000"/>
        </w:rPr>
        <w:t xml:space="preserve"> and </w:t>
      </w:r>
      <w:proofErr w:type="spellStart"/>
      <w:r>
        <w:rPr>
          <w:color w:val="000000"/>
        </w:rPr>
        <w:t>Zeiger</w:t>
      </w:r>
      <w:proofErr w:type="spellEnd"/>
      <w:r>
        <w:rPr>
          <w:color w:val="000000"/>
        </w:rPr>
        <w:t xml:space="preserve"> 2010).</w:t>
      </w:r>
      <w:r>
        <w:rPr>
          <w:color w:val="000000"/>
        </w:rPr>
        <w:cr/>
        <w:t xml:space="preserve">Shoot development in </w:t>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color w:val="000000"/>
        </w:rPr>
        <w:t xml:space="preserve"> A., was produced only by the </w:t>
      </w:r>
      <w:proofErr w:type="spellStart"/>
      <w:r>
        <w:rPr>
          <w:color w:val="000000"/>
        </w:rPr>
        <w:t>auxin-cytokinin</w:t>
      </w:r>
      <w:proofErr w:type="spellEnd"/>
      <w:r>
        <w:rPr>
          <w:color w:val="000000"/>
        </w:rPr>
        <w:t xml:space="preserve"> interaction. H</w:t>
      </w:r>
      <w:r>
        <w:rPr>
          <w:color w:val="000000"/>
        </w:rPr>
        <w:t xml:space="preserve">owever, the regenerated shoots were differentiated through two processes: direct </w:t>
      </w:r>
      <w:r>
        <w:rPr>
          <w:i/>
          <w:color w:val="000000"/>
        </w:rPr>
        <w:t xml:space="preserve">de novo </w:t>
      </w:r>
      <w:r>
        <w:rPr>
          <w:color w:val="000000"/>
        </w:rPr>
        <w:t xml:space="preserve">adventitious differentiation (adventitious shoots) and activation of </w:t>
      </w:r>
      <w:proofErr w:type="spellStart"/>
      <w:r>
        <w:rPr>
          <w:color w:val="000000"/>
        </w:rPr>
        <w:t>axillary</w:t>
      </w:r>
      <w:proofErr w:type="spellEnd"/>
      <w:r>
        <w:rPr>
          <w:color w:val="000000"/>
        </w:rPr>
        <w:t xml:space="preserve"> pre-formed </w:t>
      </w:r>
      <w:proofErr w:type="spellStart"/>
      <w:r>
        <w:rPr>
          <w:color w:val="000000"/>
        </w:rPr>
        <w:t>meristems</w:t>
      </w:r>
      <w:proofErr w:type="spellEnd"/>
      <w:r>
        <w:rPr>
          <w:color w:val="000000"/>
        </w:rPr>
        <w:t xml:space="preserve"> present in dormant areoles (</w:t>
      </w:r>
      <w:proofErr w:type="spellStart"/>
      <w:r>
        <w:rPr>
          <w:color w:val="000000"/>
        </w:rPr>
        <w:t>axillary</w:t>
      </w:r>
      <w:proofErr w:type="spellEnd"/>
      <w:r>
        <w:rPr>
          <w:color w:val="000000"/>
        </w:rPr>
        <w:t xml:space="preserve"> shoots). According to Hartmann </w:t>
      </w:r>
      <w:r>
        <w:rPr>
          <w:color w:val="000000"/>
        </w:rPr>
        <w:t xml:space="preserve">et al. (2010) adventitious bud formation is produced through a dedifferentiation process in which a single parenchyma cell located either in the epidermis or just below the </w:t>
      </w:r>
      <w:r>
        <w:rPr>
          <w:color w:val="000000"/>
        </w:rPr>
        <w:lastRenderedPageBreak/>
        <w:t xml:space="preserve">surface of the stem develops into a shoot system with no </w:t>
      </w:r>
      <w:proofErr w:type="spellStart"/>
      <w:r>
        <w:rPr>
          <w:color w:val="000000"/>
        </w:rPr>
        <w:t>calli</w:t>
      </w:r>
      <w:proofErr w:type="spellEnd"/>
      <w:r>
        <w:rPr>
          <w:color w:val="000000"/>
        </w:rPr>
        <w:t xml:space="preserve"> production. The proc</w:t>
      </w:r>
      <w:r>
        <w:rPr>
          <w:color w:val="000000"/>
        </w:rPr>
        <w:t xml:space="preserve">ess involves the capability of previously developed and highly differentiated cells to initiate cell divisions and form a new </w:t>
      </w:r>
      <w:proofErr w:type="spellStart"/>
      <w:r>
        <w:rPr>
          <w:color w:val="000000"/>
        </w:rPr>
        <w:t>meristematic</w:t>
      </w:r>
      <w:proofErr w:type="spellEnd"/>
      <w:r>
        <w:rPr>
          <w:color w:val="000000"/>
        </w:rPr>
        <w:t xml:space="preserve"> growing point. In our study, adventitious shoot </w:t>
      </w:r>
      <w:proofErr w:type="spellStart"/>
      <w:r>
        <w:rPr>
          <w:color w:val="000000"/>
        </w:rPr>
        <w:t>primordia</w:t>
      </w:r>
      <w:proofErr w:type="spellEnd"/>
      <w:r>
        <w:rPr>
          <w:color w:val="000000"/>
        </w:rPr>
        <w:t xml:space="preserve"> emerged from </w:t>
      </w:r>
      <w:proofErr w:type="spellStart"/>
      <w:r>
        <w:rPr>
          <w:color w:val="000000"/>
        </w:rPr>
        <w:t>epidermic</w:t>
      </w:r>
      <w:proofErr w:type="spellEnd"/>
      <w:r>
        <w:rPr>
          <w:color w:val="000000"/>
        </w:rPr>
        <w:t xml:space="preserve"> cells, which after differentiation a</w:t>
      </w:r>
      <w:r>
        <w:rPr>
          <w:color w:val="000000"/>
        </w:rPr>
        <w:t>nd initial growth, looked like a group of poorly organized structures that later became organized to produce single or multiple young shoots located in different regions of explants: between two tubercles, in areas where no areoles (</w:t>
      </w:r>
      <w:proofErr w:type="spellStart"/>
      <w:r>
        <w:rPr>
          <w:color w:val="000000"/>
        </w:rPr>
        <w:t>axillary</w:t>
      </w:r>
      <w:proofErr w:type="spellEnd"/>
      <w:r>
        <w:rPr>
          <w:color w:val="000000"/>
        </w:rPr>
        <w:t xml:space="preserve"> buds </w:t>
      </w:r>
      <w:proofErr w:type="spellStart"/>
      <w:r>
        <w:rPr>
          <w:color w:val="000000"/>
        </w:rPr>
        <w:t>meristems</w:t>
      </w:r>
      <w:proofErr w:type="spellEnd"/>
      <w:r>
        <w:rPr>
          <w:color w:val="000000"/>
        </w:rPr>
        <w:t>) were present, or at the base of the explants (</w:t>
      </w:r>
      <w:r>
        <w:rPr>
          <w:color w:val="FF0000"/>
        </w:rPr>
        <w:t>Fig. 1d-h</w:t>
      </w:r>
      <w:r>
        <w:rPr>
          <w:color w:val="000000"/>
        </w:rPr>
        <w:t xml:space="preserve">). We took these observations as evidence that they did not originate from pre-existing </w:t>
      </w:r>
      <w:proofErr w:type="spellStart"/>
      <w:r>
        <w:rPr>
          <w:color w:val="000000"/>
        </w:rPr>
        <w:t>meristems</w:t>
      </w:r>
      <w:proofErr w:type="spellEnd"/>
      <w:r>
        <w:rPr>
          <w:color w:val="000000"/>
        </w:rPr>
        <w:t xml:space="preserve">. The </w:t>
      </w:r>
      <w:proofErr w:type="spellStart"/>
      <w:r>
        <w:rPr>
          <w:color w:val="000000"/>
        </w:rPr>
        <w:t>axillary</w:t>
      </w:r>
      <w:proofErr w:type="spellEnd"/>
      <w:r>
        <w:rPr>
          <w:color w:val="000000"/>
        </w:rPr>
        <w:t xml:space="preserve"> shoots came from the activation of </w:t>
      </w:r>
      <w:proofErr w:type="spellStart"/>
      <w:r>
        <w:rPr>
          <w:color w:val="000000"/>
        </w:rPr>
        <w:t>axillary</w:t>
      </w:r>
      <w:proofErr w:type="spellEnd"/>
      <w:r>
        <w:rPr>
          <w:color w:val="000000"/>
        </w:rPr>
        <w:t xml:space="preserve"> </w:t>
      </w:r>
      <w:proofErr w:type="spellStart"/>
      <w:r>
        <w:rPr>
          <w:color w:val="000000"/>
        </w:rPr>
        <w:t>meristems</w:t>
      </w:r>
      <w:proofErr w:type="spellEnd"/>
      <w:r>
        <w:rPr>
          <w:color w:val="000000"/>
        </w:rPr>
        <w:t xml:space="preserve"> by breaking the dormancy of pre-e</w:t>
      </w:r>
      <w:r>
        <w:rPr>
          <w:color w:val="000000"/>
        </w:rPr>
        <w:t xml:space="preserve">xisting </w:t>
      </w:r>
      <w:proofErr w:type="spellStart"/>
      <w:r>
        <w:rPr>
          <w:color w:val="000000"/>
        </w:rPr>
        <w:t>meristems</w:t>
      </w:r>
      <w:proofErr w:type="spellEnd"/>
      <w:r>
        <w:rPr>
          <w:color w:val="000000"/>
        </w:rPr>
        <w:t xml:space="preserve"> in the areoles. In terms of </w:t>
      </w:r>
      <w:proofErr w:type="spellStart"/>
      <w:r>
        <w:rPr>
          <w:color w:val="000000"/>
        </w:rPr>
        <w:t>clonal</w:t>
      </w:r>
      <w:proofErr w:type="spellEnd"/>
      <w:r>
        <w:rPr>
          <w:color w:val="000000"/>
        </w:rPr>
        <w:t xml:space="preserve"> propagation, this way of producing shoots is preferred because it maintains genetic stability. In contrast, </w:t>
      </w:r>
      <w:r>
        <w:rPr>
          <w:i/>
          <w:color w:val="000000"/>
        </w:rPr>
        <w:t xml:space="preserve">de novo </w:t>
      </w:r>
      <w:r>
        <w:rPr>
          <w:color w:val="000000"/>
        </w:rPr>
        <w:t>differentiation sometimes promotes off-type aberrant shoots and genetic variation (Hart</w:t>
      </w:r>
      <w:r>
        <w:rPr>
          <w:color w:val="000000"/>
        </w:rPr>
        <w:t xml:space="preserve">mann et al. 2010, Machado and </w:t>
      </w:r>
      <w:proofErr w:type="spellStart"/>
      <w:r>
        <w:rPr>
          <w:color w:val="000000"/>
        </w:rPr>
        <w:t>Prioli</w:t>
      </w:r>
      <w:proofErr w:type="spellEnd"/>
      <w:r>
        <w:rPr>
          <w:color w:val="000000"/>
        </w:rPr>
        <w:t xml:space="preserve"> 1996). Interestingly, during the shoot proliferation we observed subcultures in which the two treatments evaluated with higher concentrations of BA (19.9 and 26.6 </w:t>
      </w:r>
      <w:r>
        <w:rPr>
          <w:color w:val="000000"/>
        </w:rPr>
        <w:sym w:font="Symbol" w:char="F06D"/>
      </w:r>
      <w:r>
        <w:rPr>
          <w:color w:val="000000"/>
        </w:rPr>
        <w:t>M) induced the production of crested forms with more ro</w:t>
      </w:r>
      <w:r>
        <w:rPr>
          <w:color w:val="000000"/>
        </w:rPr>
        <w:t>bust constitution. This result is possibly related to the adventitious origin of some buds.</w:t>
      </w:r>
      <w:r>
        <w:rPr>
          <w:color w:val="000000"/>
        </w:rPr>
        <w:cr/>
        <w:t xml:space="preserve">In all plant species, including cacti cultured under propagation </w:t>
      </w:r>
      <w:r>
        <w:rPr>
          <w:i/>
          <w:color w:val="000000"/>
        </w:rPr>
        <w:t>in vitro</w:t>
      </w:r>
      <w:r>
        <w:rPr>
          <w:color w:val="000000"/>
        </w:rPr>
        <w:t xml:space="preserve">, the balance of </w:t>
      </w:r>
      <w:proofErr w:type="spellStart"/>
      <w:r>
        <w:rPr>
          <w:color w:val="000000"/>
        </w:rPr>
        <w:t>auxins</w:t>
      </w:r>
      <w:proofErr w:type="spellEnd"/>
      <w:r>
        <w:rPr>
          <w:color w:val="000000"/>
        </w:rPr>
        <w:t xml:space="preserve"> and </w:t>
      </w:r>
      <w:proofErr w:type="spellStart"/>
      <w:r>
        <w:rPr>
          <w:color w:val="000000"/>
        </w:rPr>
        <w:t>cytokinins</w:t>
      </w:r>
      <w:proofErr w:type="spellEnd"/>
      <w:r>
        <w:rPr>
          <w:color w:val="000000"/>
        </w:rPr>
        <w:t xml:space="preserve"> in the medium is of great importance to induce the p</w:t>
      </w:r>
      <w:r>
        <w:rPr>
          <w:color w:val="000000"/>
        </w:rPr>
        <w:t xml:space="preserve">rocess of shoot regeneration. This was described on the first reports on cacti </w:t>
      </w:r>
      <w:r>
        <w:rPr>
          <w:i/>
          <w:color w:val="000000"/>
        </w:rPr>
        <w:t xml:space="preserve">in vitro </w:t>
      </w:r>
      <w:r>
        <w:rPr>
          <w:color w:val="000000"/>
        </w:rPr>
        <w:t xml:space="preserve">culture (King 1957, </w:t>
      </w:r>
      <w:proofErr w:type="spellStart"/>
      <w:r>
        <w:rPr>
          <w:color w:val="000000"/>
        </w:rPr>
        <w:t>Sachar</w:t>
      </w:r>
      <w:proofErr w:type="spellEnd"/>
      <w:r>
        <w:rPr>
          <w:color w:val="000000"/>
        </w:rPr>
        <w:t xml:space="preserve"> and </w:t>
      </w:r>
      <w:proofErr w:type="spellStart"/>
      <w:r>
        <w:rPr>
          <w:color w:val="000000"/>
        </w:rPr>
        <w:t>Iyer</w:t>
      </w:r>
      <w:proofErr w:type="spellEnd"/>
      <w:r>
        <w:rPr>
          <w:color w:val="000000"/>
        </w:rPr>
        <w:t xml:space="preserve"> 1959) and later confirmed by Johnson and </w:t>
      </w:r>
      <w:proofErr w:type="spellStart"/>
      <w:r>
        <w:rPr>
          <w:color w:val="000000"/>
        </w:rPr>
        <w:t>Emino</w:t>
      </w:r>
      <w:proofErr w:type="spellEnd"/>
      <w:r>
        <w:rPr>
          <w:color w:val="000000"/>
        </w:rPr>
        <w:t xml:space="preserve"> (1979) and </w:t>
      </w:r>
      <w:proofErr w:type="spellStart"/>
      <w:r>
        <w:rPr>
          <w:color w:val="000000"/>
        </w:rPr>
        <w:t>Mauseth</w:t>
      </w:r>
      <w:proofErr w:type="spellEnd"/>
      <w:r>
        <w:rPr>
          <w:color w:val="000000"/>
        </w:rPr>
        <w:t xml:space="preserve"> (1979); however, this observation does not constitute a rule, sinc</w:t>
      </w:r>
      <w:r>
        <w:rPr>
          <w:color w:val="000000"/>
        </w:rPr>
        <w:t xml:space="preserve">e the activation and subsequent </w:t>
      </w:r>
      <w:proofErr w:type="spellStart"/>
      <w:r>
        <w:rPr>
          <w:color w:val="000000"/>
        </w:rPr>
        <w:t>areolar</w:t>
      </w:r>
      <w:proofErr w:type="spellEnd"/>
      <w:r>
        <w:rPr>
          <w:color w:val="000000"/>
        </w:rPr>
        <w:t xml:space="preserve"> direct sprouting has also been observed in some species with the mere presence of </w:t>
      </w:r>
      <w:proofErr w:type="spellStart"/>
      <w:r>
        <w:rPr>
          <w:color w:val="000000"/>
        </w:rPr>
        <w:t>cytokinins</w:t>
      </w:r>
      <w:proofErr w:type="spellEnd"/>
      <w:r>
        <w:rPr>
          <w:color w:val="000000"/>
        </w:rPr>
        <w:t xml:space="preserve"> (Estrada-Luna 1988, Estrada-Luna et al. 2002, 2008, </w:t>
      </w:r>
      <w:proofErr w:type="spellStart"/>
      <w:r>
        <w:rPr>
          <w:color w:val="000000"/>
        </w:rPr>
        <w:t>Dabekaussen</w:t>
      </w:r>
      <w:proofErr w:type="spellEnd"/>
      <w:r>
        <w:rPr>
          <w:color w:val="000000"/>
        </w:rPr>
        <w:t xml:space="preserve"> et al. 1991, Perez et al. 1999, </w:t>
      </w:r>
      <w:proofErr w:type="spellStart"/>
      <w:r>
        <w:rPr>
          <w:color w:val="000000"/>
        </w:rPr>
        <w:t>Ruvalcava</w:t>
      </w:r>
      <w:proofErr w:type="spellEnd"/>
      <w:r>
        <w:rPr>
          <w:color w:val="000000"/>
        </w:rPr>
        <w:t>-Ruiz et al. 2010)</w:t>
      </w:r>
      <w:r>
        <w:rPr>
          <w:color w:val="000000"/>
        </w:rPr>
        <w:t>.</w:t>
      </w:r>
      <w:r>
        <w:rPr>
          <w:color w:val="000000"/>
        </w:rPr>
        <w:cr/>
      </w:r>
      <w:proofErr w:type="spellStart"/>
      <w:r>
        <w:rPr>
          <w:color w:val="000000"/>
        </w:rPr>
        <w:t>Cytokinins</w:t>
      </w:r>
      <w:proofErr w:type="spellEnd"/>
      <w:r>
        <w:rPr>
          <w:color w:val="000000"/>
        </w:rPr>
        <w:t xml:space="preserve"> are growth regulators that participate in several developmental and physiological activities at cellular and whole plant level; including the cell cycle, cell differentiation (shoot formation and apical </w:t>
      </w:r>
      <w:proofErr w:type="spellStart"/>
      <w:r>
        <w:rPr>
          <w:color w:val="000000"/>
        </w:rPr>
        <w:t>meristem</w:t>
      </w:r>
      <w:proofErr w:type="spellEnd"/>
      <w:r>
        <w:rPr>
          <w:color w:val="000000"/>
        </w:rPr>
        <w:t xml:space="preserve"> identity), control of chloropla</w:t>
      </w:r>
      <w:r>
        <w:rPr>
          <w:color w:val="000000"/>
        </w:rPr>
        <w:t xml:space="preserve">st development, control of apical dominance, retarding leaf senescence, etc. (Salisbury and Ross 1994, Davies 1995, </w:t>
      </w:r>
      <w:proofErr w:type="spellStart"/>
      <w:r>
        <w:rPr>
          <w:color w:val="000000"/>
        </w:rPr>
        <w:t>Taiz</w:t>
      </w:r>
      <w:proofErr w:type="spellEnd"/>
      <w:r>
        <w:rPr>
          <w:color w:val="000000"/>
        </w:rPr>
        <w:t xml:space="preserve"> and </w:t>
      </w:r>
      <w:proofErr w:type="spellStart"/>
      <w:r>
        <w:rPr>
          <w:color w:val="000000"/>
        </w:rPr>
        <w:t>Zeiger</w:t>
      </w:r>
      <w:proofErr w:type="spellEnd"/>
      <w:r>
        <w:rPr>
          <w:color w:val="000000"/>
        </w:rPr>
        <w:t xml:space="preserve"> 2010). In tissue culture, </w:t>
      </w:r>
      <w:proofErr w:type="spellStart"/>
      <w:r>
        <w:rPr>
          <w:color w:val="000000"/>
        </w:rPr>
        <w:t>cytokinins</w:t>
      </w:r>
      <w:proofErr w:type="spellEnd"/>
      <w:r>
        <w:rPr>
          <w:color w:val="000000"/>
        </w:rPr>
        <w:t xml:space="preserve"> promote the formation of shoots in different types of explants such as </w:t>
      </w:r>
      <w:proofErr w:type="spellStart"/>
      <w:r>
        <w:rPr>
          <w:color w:val="000000"/>
        </w:rPr>
        <w:t>calli</w:t>
      </w:r>
      <w:proofErr w:type="spellEnd"/>
      <w:r>
        <w:rPr>
          <w:color w:val="000000"/>
        </w:rPr>
        <w:t>, leaf, cot</w:t>
      </w:r>
      <w:r>
        <w:rPr>
          <w:color w:val="000000"/>
        </w:rPr>
        <w:t xml:space="preserve">yledons, and stem </w:t>
      </w:r>
      <w:r>
        <w:rPr>
          <w:color w:val="000000"/>
        </w:rPr>
        <w:lastRenderedPageBreak/>
        <w:t xml:space="preserve">sections (Hartmann et al. 2010, </w:t>
      </w:r>
      <w:proofErr w:type="spellStart"/>
      <w:r>
        <w:rPr>
          <w:color w:val="000000"/>
        </w:rPr>
        <w:t>Taiz</w:t>
      </w:r>
      <w:proofErr w:type="spellEnd"/>
      <w:r>
        <w:rPr>
          <w:color w:val="000000"/>
        </w:rPr>
        <w:t xml:space="preserve"> and </w:t>
      </w:r>
      <w:proofErr w:type="spellStart"/>
      <w:r>
        <w:rPr>
          <w:color w:val="000000"/>
        </w:rPr>
        <w:t>Zeiger</w:t>
      </w:r>
      <w:proofErr w:type="spellEnd"/>
      <w:r>
        <w:rPr>
          <w:color w:val="000000"/>
        </w:rPr>
        <w:t xml:space="preserve"> 2010). In particular, BA is able to induce both </w:t>
      </w:r>
      <w:proofErr w:type="spellStart"/>
      <w:r>
        <w:rPr>
          <w:color w:val="000000"/>
        </w:rPr>
        <w:t>axillary</w:t>
      </w:r>
      <w:proofErr w:type="spellEnd"/>
      <w:r>
        <w:rPr>
          <w:color w:val="000000"/>
        </w:rPr>
        <w:t xml:space="preserve"> and </w:t>
      </w:r>
      <w:r>
        <w:rPr>
          <w:i/>
          <w:color w:val="000000"/>
        </w:rPr>
        <w:t xml:space="preserve">de novo </w:t>
      </w:r>
      <w:r>
        <w:rPr>
          <w:color w:val="000000"/>
        </w:rPr>
        <w:t xml:space="preserve">bud differentiation in many species subjected to </w:t>
      </w:r>
      <w:r>
        <w:rPr>
          <w:i/>
          <w:color w:val="000000"/>
        </w:rPr>
        <w:t xml:space="preserve">in vitro </w:t>
      </w:r>
      <w:r>
        <w:rPr>
          <w:color w:val="000000"/>
        </w:rPr>
        <w:t>propagation and it can be used alone or in combination with oth</w:t>
      </w:r>
      <w:r>
        <w:rPr>
          <w:color w:val="000000"/>
        </w:rPr>
        <w:t>er growth regulators (</w:t>
      </w:r>
      <w:proofErr w:type="spellStart"/>
      <w:r>
        <w:rPr>
          <w:color w:val="000000"/>
        </w:rPr>
        <w:t>Dávila</w:t>
      </w:r>
      <w:proofErr w:type="spellEnd"/>
      <w:r>
        <w:rPr>
          <w:color w:val="000000"/>
        </w:rPr>
        <w:t xml:space="preserve">-Figueroa et al. 2005, </w:t>
      </w:r>
      <w:proofErr w:type="spellStart"/>
      <w:r>
        <w:rPr>
          <w:color w:val="000000"/>
        </w:rPr>
        <w:t>Giusti</w:t>
      </w:r>
      <w:proofErr w:type="spellEnd"/>
      <w:r>
        <w:rPr>
          <w:color w:val="000000"/>
        </w:rPr>
        <w:t xml:space="preserve"> et al. 2002, Mata-Rosas et al. 2001, </w:t>
      </w:r>
      <w:proofErr w:type="spellStart"/>
      <w:r>
        <w:rPr>
          <w:color w:val="000000"/>
        </w:rPr>
        <w:t>Moebius-Goldammer</w:t>
      </w:r>
      <w:proofErr w:type="spellEnd"/>
      <w:r>
        <w:rPr>
          <w:color w:val="000000"/>
        </w:rPr>
        <w:t xml:space="preserve"> et al. 2003). </w:t>
      </w:r>
      <w:r>
        <w:rPr>
          <w:color w:val="000000"/>
        </w:rPr>
        <w:cr/>
        <w:t xml:space="preserve">During </w:t>
      </w:r>
      <w:proofErr w:type="spellStart"/>
      <w:r>
        <w:rPr>
          <w:color w:val="000000"/>
        </w:rPr>
        <w:t>micropropagation</w:t>
      </w:r>
      <w:proofErr w:type="spellEnd"/>
      <w:r>
        <w:rPr>
          <w:color w:val="000000"/>
        </w:rPr>
        <w:t xml:space="preserve">, the cacti responses are genotype dependent on different types and different concentrations of </w:t>
      </w:r>
      <w:proofErr w:type="spellStart"/>
      <w:r>
        <w:rPr>
          <w:color w:val="000000"/>
        </w:rPr>
        <w:t>cytokinin</w:t>
      </w:r>
      <w:proofErr w:type="spellEnd"/>
      <w:r>
        <w:rPr>
          <w:color w:val="000000"/>
        </w:rPr>
        <w:t xml:space="preserve">. Some species have relatively high requirements, such as </w:t>
      </w:r>
      <w:proofErr w:type="spellStart"/>
      <w:r>
        <w:rPr>
          <w:i/>
          <w:color w:val="000000"/>
        </w:rPr>
        <w:t>Hylocereus</w:t>
      </w:r>
      <w:proofErr w:type="spellEnd"/>
      <w:r>
        <w:rPr>
          <w:i/>
          <w:color w:val="000000"/>
        </w:rPr>
        <w:t xml:space="preserve"> </w:t>
      </w:r>
      <w:proofErr w:type="spellStart"/>
      <w:r>
        <w:rPr>
          <w:i/>
          <w:color w:val="000000"/>
        </w:rPr>
        <w:t>undatus</w:t>
      </w:r>
      <w:proofErr w:type="spellEnd"/>
      <w:r>
        <w:rPr>
          <w:i/>
          <w:color w:val="000000"/>
        </w:rPr>
        <w:t xml:space="preserve"> </w:t>
      </w:r>
      <w:r>
        <w:rPr>
          <w:color w:val="000000"/>
        </w:rPr>
        <w:t xml:space="preserve">and </w:t>
      </w:r>
      <w:proofErr w:type="spellStart"/>
      <w:r>
        <w:rPr>
          <w:i/>
          <w:color w:val="000000"/>
        </w:rPr>
        <w:t>Leuchtembergia</w:t>
      </w:r>
      <w:proofErr w:type="spellEnd"/>
      <w:r>
        <w:rPr>
          <w:i/>
          <w:color w:val="000000"/>
        </w:rPr>
        <w:t xml:space="preserve"> </w:t>
      </w:r>
      <w:proofErr w:type="spellStart"/>
      <w:r>
        <w:rPr>
          <w:i/>
          <w:color w:val="000000"/>
        </w:rPr>
        <w:t>principis</w:t>
      </w:r>
      <w:proofErr w:type="spellEnd"/>
      <w:r>
        <w:rPr>
          <w:color w:val="000000"/>
        </w:rPr>
        <w:t xml:space="preserve">, which produce good results with 44.6 </w:t>
      </w:r>
      <w:r>
        <w:rPr>
          <w:color w:val="000000"/>
        </w:rPr>
        <w:sym w:font="Symbol" w:char="F06D"/>
      </w:r>
      <w:r>
        <w:rPr>
          <w:color w:val="000000"/>
        </w:rPr>
        <w:t xml:space="preserve">M of BA (Starling 1985, </w:t>
      </w:r>
      <w:proofErr w:type="spellStart"/>
      <w:r>
        <w:rPr>
          <w:color w:val="000000"/>
        </w:rPr>
        <w:t>Loeza</w:t>
      </w:r>
      <w:proofErr w:type="spellEnd"/>
      <w:r>
        <w:rPr>
          <w:color w:val="000000"/>
        </w:rPr>
        <w:t xml:space="preserve"> et al. 2001). </w:t>
      </w:r>
      <w:proofErr w:type="spellStart"/>
      <w:r>
        <w:rPr>
          <w:color w:val="000000"/>
        </w:rPr>
        <w:t>Pérez</w:t>
      </w:r>
      <w:proofErr w:type="spellEnd"/>
      <w:r>
        <w:rPr>
          <w:color w:val="000000"/>
        </w:rPr>
        <w:t xml:space="preserve"> et al. (1999) reported that sprouting production for </w:t>
      </w:r>
      <w:proofErr w:type="spellStart"/>
      <w:r>
        <w:rPr>
          <w:i/>
          <w:color w:val="000000"/>
        </w:rPr>
        <w:t>Schlumbe</w:t>
      </w:r>
      <w:r>
        <w:rPr>
          <w:i/>
          <w:color w:val="000000"/>
        </w:rPr>
        <w:t>rgera</w:t>
      </w:r>
      <w:proofErr w:type="spellEnd"/>
      <w:r>
        <w:rPr>
          <w:i/>
          <w:color w:val="000000"/>
        </w:rPr>
        <w:t xml:space="preserve"> </w:t>
      </w:r>
      <w:proofErr w:type="spellStart"/>
      <w:r>
        <w:rPr>
          <w:i/>
          <w:color w:val="000000"/>
        </w:rPr>
        <w:t>truncata</w:t>
      </w:r>
      <w:proofErr w:type="spellEnd"/>
      <w:r>
        <w:rPr>
          <w:i/>
          <w:color w:val="000000"/>
        </w:rPr>
        <w:t xml:space="preserve"> </w:t>
      </w:r>
      <w:r>
        <w:rPr>
          <w:color w:val="000000"/>
        </w:rPr>
        <w:t xml:space="preserve">explants was obtained with even higher concentrations, of 89.16 </w:t>
      </w:r>
      <w:r>
        <w:rPr>
          <w:rFonts w:ascii="Times New Roman" w:hAnsi="Times New Roman"/>
          <w:color w:val="000000"/>
        </w:rPr>
        <w:t>µ</w:t>
      </w:r>
      <w:r>
        <w:rPr>
          <w:color w:val="000000"/>
        </w:rPr>
        <w:t xml:space="preserve">M BA, but most of the studied species have optimal responses in rather low concentrations (4.4 and 8.8 </w:t>
      </w:r>
      <w:r>
        <w:rPr>
          <w:rFonts w:ascii="Times New Roman" w:hAnsi="Times New Roman"/>
          <w:color w:val="000000"/>
        </w:rPr>
        <w:t>µ</w:t>
      </w:r>
      <w:r>
        <w:rPr>
          <w:color w:val="000000"/>
        </w:rPr>
        <w:t>M BA), as shown in the data obtained by Perez-</w:t>
      </w:r>
      <w:proofErr w:type="spellStart"/>
      <w:r>
        <w:rPr>
          <w:color w:val="000000"/>
        </w:rPr>
        <w:t>Molphe</w:t>
      </w:r>
      <w:proofErr w:type="spellEnd"/>
      <w:r>
        <w:rPr>
          <w:color w:val="000000"/>
        </w:rPr>
        <w:t>-Balch et al. (1998)</w:t>
      </w:r>
      <w:r>
        <w:rPr>
          <w:color w:val="000000"/>
        </w:rPr>
        <w:t xml:space="preserve"> and </w:t>
      </w:r>
      <w:proofErr w:type="spellStart"/>
      <w:r>
        <w:rPr>
          <w:color w:val="000000"/>
        </w:rPr>
        <w:t>Pérez</w:t>
      </w:r>
      <w:proofErr w:type="spellEnd"/>
      <w:r>
        <w:rPr>
          <w:color w:val="000000"/>
        </w:rPr>
        <w:t>-</w:t>
      </w:r>
      <w:proofErr w:type="spellStart"/>
      <w:r>
        <w:rPr>
          <w:color w:val="000000"/>
        </w:rPr>
        <w:t>Molphe</w:t>
      </w:r>
      <w:proofErr w:type="spellEnd"/>
      <w:r>
        <w:rPr>
          <w:color w:val="000000"/>
        </w:rPr>
        <w:t xml:space="preserve">-Balch and </w:t>
      </w:r>
      <w:proofErr w:type="spellStart"/>
      <w:r>
        <w:rPr>
          <w:color w:val="000000"/>
        </w:rPr>
        <w:t>Dávila</w:t>
      </w:r>
      <w:proofErr w:type="spellEnd"/>
      <w:r>
        <w:rPr>
          <w:color w:val="000000"/>
        </w:rPr>
        <w:t xml:space="preserve"> </w:t>
      </w:r>
      <w:proofErr w:type="spellStart"/>
      <w:r>
        <w:rPr>
          <w:color w:val="000000"/>
        </w:rPr>
        <w:t>Molphe</w:t>
      </w:r>
      <w:proofErr w:type="spellEnd"/>
      <w:r>
        <w:rPr>
          <w:color w:val="000000"/>
        </w:rPr>
        <w:t xml:space="preserve">-Figueroa (2002) for </w:t>
      </w:r>
      <w:proofErr w:type="spellStart"/>
      <w:r>
        <w:rPr>
          <w:i/>
          <w:color w:val="000000"/>
        </w:rPr>
        <w:t>Mammillaria</w:t>
      </w:r>
      <w:proofErr w:type="spellEnd"/>
      <w:r>
        <w:rPr>
          <w:i/>
          <w:color w:val="000000"/>
        </w:rPr>
        <w:t xml:space="preserve"> </w:t>
      </w:r>
      <w:proofErr w:type="spellStart"/>
      <w:r>
        <w:rPr>
          <w:i/>
          <w:color w:val="000000"/>
        </w:rPr>
        <w:t>formosa</w:t>
      </w:r>
      <w:proofErr w:type="spellEnd"/>
      <w:r>
        <w:rPr>
          <w:i/>
          <w:color w:val="000000"/>
        </w:rPr>
        <w:t xml:space="preserve">, </w:t>
      </w:r>
      <w:proofErr w:type="spellStart"/>
      <w:r>
        <w:rPr>
          <w:i/>
          <w:color w:val="000000"/>
        </w:rPr>
        <w:t>Nyctocereus</w:t>
      </w:r>
      <w:proofErr w:type="spellEnd"/>
      <w:r>
        <w:rPr>
          <w:i/>
          <w:color w:val="000000"/>
        </w:rPr>
        <w:t xml:space="preserve"> </w:t>
      </w:r>
      <w:proofErr w:type="spellStart"/>
      <w:r>
        <w:rPr>
          <w:i/>
          <w:color w:val="000000"/>
        </w:rPr>
        <w:t>serpentinus</w:t>
      </w:r>
      <w:proofErr w:type="spellEnd"/>
      <w:r>
        <w:rPr>
          <w:i/>
          <w:color w:val="000000"/>
        </w:rPr>
        <w:t xml:space="preserve">, </w:t>
      </w:r>
      <w:proofErr w:type="spellStart"/>
      <w:r>
        <w:rPr>
          <w:i/>
          <w:color w:val="000000"/>
        </w:rPr>
        <w:t>Pelecyphora</w:t>
      </w:r>
      <w:proofErr w:type="spellEnd"/>
      <w:r>
        <w:rPr>
          <w:i/>
          <w:color w:val="000000"/>
        </w:rPr>
        <w:t xml:space="preserve"> </w:t>
      </w:r>
      <w:proofErr w:type="spellStart"/>
      <w:r>
        <w:rPr>
          <w:i/>
          <w:color w:val="000000"/>
        </w:rPr>
        <w:t>aselliformis</w:t>
      </w:r>
      <w:proofErr w:type="spellEnd"/>
      <w:r>
        <w:rPr>
          <w:i/>
          <w:color w:val="000000"/>
        </w:rPr>
        <w:t xml:space="preserve">, </w:t>
      </w:r>
      <w:r>
        <w:rPr>
          <w:color w:val="000000"/>
        </w:rPr>
        <w:t>and</w:t>
      </w:r>
      <w:r>
        <w:rPr>
          <w:i/>
          <w:color w:val="000000"/>
        </w:rPr>
        <w:t xml:space="preserve"> P. </w:t>
      </w:r>
      <w:proofErr w:type="spellStart"/>
      <w:r>
        <w:rPr>
          <w:i/>
          <w:color w:val="000000"/>
        </w:rPr>
        <w:t>strobiliformis</w:t>
      </w:r>
      <w:proofErr w:type="spellEnd"/>
      <w:r>
        <w:rPr>
          <w:color w:val="000000"/>
        </w:rPr>
        <w:t xml:space="preserve">. The present study shows that low-level concentrations of </w:t>
      </w:r>
      <w:proofErr w:type="spellStart"/>
      <w:r>
        <w:rPr>
          <w:color w:val="000000"/>
        </w:rPr>
        <w:t>cytokonin</w:t>
      </w:r>
      <w:proofErr w:type="spellEnd"/>
      <w:r>
        <w:rPr>
          <w:color w:val="000000"/>
        </w:rPr>
        <w:t xml:space="preserve"> yielded the best results for bud</w:t>
      </w:r>
      <w:r>
        <w:rPr>
          <w:color w:val="000000"/>
        </w:rPr>
        <w:t xml:space="preserve"> induction and proliferation. The proliferation rate (number of shoots regenerated per </w:t>
      </w:r>
      <w:proofErr w:type="spellStart"/>
      <w:r>
        <w:rPr>
          <w:color w:val="000000"/>
        </w:rPr>
        <w:t>explant</w:t>
      </w:r>
      <w:proofErr w:type="spellEnd"/>
      <w:r>
        <w:rPr>
          <w:color w:val="000000"/>
        </w:rPr>
        <w:t xml:space="preserve">) of </w:t>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i/>
          <w:color w:val="000000"/>
        </w:rPr>
        <w:t xml:space="preserve"> </w:t>
      </w:r>
      <w:r>
        <w:rPr>
          <w:color w:val="000000"/>
        </w:rPr>
        <w:t>A</w:t>
      </w:r>
      <w:r>
        <w:rPr>
          <w:i/>
          <w:color w:val="000000"/>
        </w:rPr>
        <w:t>.</w:t>
      </w:r>
      <w:r>
        <w:rPr>
          <w:color w:val="000000"/>
        </w:rPr>
        <w:t>, is within the range obtained for most tissue culture cacti (four to 10 shoots). As for optimum subculture time, it is much long</w:t>
      </w:r>
      <w:r>
        <w:rPr>
          <w:color w:val="000000"/>
        </w:rPr>
        <w:t xml:space="preserve">er (110 days) than the subculture period of other cacti. Escobar et al. (1986) and Estrada-Luna (1988, 2008) reported an optimal subculture frequency of 45 days for several </w:t>
      </w:r>
      <w:proofErr w:type="spellStart"/>
      <w:r>
        <w:rPr>
          <w:i/>
          <w:color w:val="000000"/>
        </w:rPr>
        <w:t>Opuntia</w:t>
      </w:r>
      <w:proofErr w:type="spellEnd"/>
      <w:r>
        <w:rPr>
          <w:i/>
          <w:color w:val="000000"/>
        </w:rPr>
        <w:t xml:space="preserve"> </w:t>
      </w:r>
      <w:r>
        <w:rPr>
          <w:color w:val="000000"/>
        </w:rPr>
        <w:t xml:space="preserve">species, while </w:t>
      </w:r>
      <w:proofErr w:type="spellStart"/>
      <w:r>
        <w:rPr>
          <w:color w:val="000000"/>
        </w:rPr>
        <w:t>Ramírez-Malagón</w:t>
      </w:r>
      <w:proofErr w:type="spellEnd"/>
      <w:r>
        <w:rPr>
          <w:color w:val="000000"/>
        </w:rPr>
        <w:t xml:space="preserve"> et al. (2007) and </w:t>
      </w:r>
      <w:proofErr w:type="spellStart"/>
      <w:r>
        <w:rPr>
          <w:color w:val="000000"/>
        </w:rPr>
        <w:t>Ruvalcaba</w:t>
      </w:r>
      <w:proofErr w:type="spellEnd"/>
      <w:r>
        <w:rPr>
          <w:color w:val="000000"/>
        </w:rPr>
        <w:t>-Ruiz et al. (201</w:t>
      </w:r>
      <w:r>
        <w:rPr>
          <w:color w:val="000000"/>
        </w:rPr>
        <w:t xml:space="preserve">0) mentioned that 60 days were better for </w:t>
      </w:r>
      <w:proofErr w:type="spellStart"/>
      <w:r>
        <w:rPr>
          <w:i/>
          <w:color w:val="000000"/>
        </w:rPr>
        <w:t>Mammillaria</w:t>
      </w:r>
      <w:proofErr w:type="spellEnd"/>
      <w:r>
        <w:rPr>
          <w:i/>
          <w:color w:val="000000"/>
        </w:rPr>
        <w:t xml:space="preserve"> </w:t>
      </w:r>
      <w:r>
        <w:rPr>
          <w:color w:val="000000"/>
        </w:rPr>
        <w:t xml:space="preserve">and </w:t>
      </w:r>
      <w:proofErr w:type="spellStart"/>
      <w:r>
        <w:rPr>
          <w:i/>
          <w:color w:val="000000"/>
        </w:rPr>
        <w:t>Coryphantha</w:t>
      </w:r>
      <w:proofErr w:type="spellEnd"/>
      <w:r>
        <w:rPr>
          <w:color w:val="000000"/>
        </w:rPr>
        <w:t xml:space="preserve">. In contrast, </w:t>
      </w:r>
      <w:proofErr w:type="spellStart"/>
      <w:r>
        <w:rPr>
          <w:i/>
          <w:color w:val="000000"/>
        </w:rPr>
        <w:t>Obregonia</w:t>
      </w:r>
      <w:proofErr w:type="spellEnd"/>
      <w:r>
        <w:rPr>
          <w:i/>
          <w:color w:val="000000"/>
        </w:rPr>
        <w:t xml:space="preserve"> </w:t>
      </w:r>
      <w:proofErr w:type="spellStart"/>
      <w:r>
        <w:rPr>
          <w:i/>
          <w:color w:val="000000"/>
        </w:rPr>
        <w:t>denegrii</w:t>
      </w:r>
      <w:proofErr w:type="spellEnd"/>
      <w:r>
        <w:rPr>
          <w:color w:val="000000"/>
        </w:rPr>
        <w:t>, which is also a slow growing plant species, requires subcultures every 120 days of culture (</w:t>
      </w:r>
      <w:proofErr w:type="spellStart"/>
      <w:r>
        <w:rPr>
          <w:color w:val="000000"/>
        </w:rPr>
        <w:t>Cardelli</w:t>
      </w:r>
      <w:proofErr w:type="spellEnd"/>
      <w:r>
        <w:rPr>
          <w:color w:val="000000"/>
        </w:rPr>
        <w:t xml:space="preserve"> et al. 2010). </w:t>
      </w:r>
      <w:r>
        <w:rPr>
          <w:color w:val="000000"/>
        </w:rPr>
        <w:cr/>
      </w:r>
      <w:proofErr w:type="spellStart"/>
      <w:r>
        <w:rPr>
          <w:i/>
          <w:color w:val="000000"/>
        </w:rPr>
        <w:t>Ortegocactus</w:t>
      </w:r>
      <w:proofErr w:type="spellEnd"/>
      <w:r>
        <w:rPr>
          <w:i/>
          <w:color w:val="000000"/>
        </w:rPr>
        <w:t xml:space="preserve"> </w:t>
      </w:r>
      <w:proofErr w:type="spellStart"/>
      <w:r>
        <w:rPr>
          <w:i/>
          <w:color w:val="000000"/>
        </w:rPr>
        <w:t>macdougallii</w:t>
      </w:r>
      <w:proofErr w:type="spellEnd"/>
      <w:r>
        <w:rPr>
          <w:color w:val="000000"/>
        </w:rPr>
        <w:t xml:space="preserve"> A</w:t>
      </w:r>
      <w:proofErr w:type="gramStart"/>
      <w:r>
        <w:rPr>
          <w:color w:val="000000"/>
        </w:rPr>
        <w:t>.,</w:t>
      </w:r>
      <w:proofErr w:type="gramEnd"/>
      <w:r>
        <w:rPr>
          <w:color w:val="000000"/>
        </w:rPr>
        <w:t xml:space="preserve"> is an </w:t>
      </w:r>
      <w:r>
        <w:rPr>
          <w:color w:val="000000"/>
        </w:rPr>
        <w:t xml:space="preserve">easy to root plant species. To achieve whole plant regeneration we found that the shoots can be rooted through various treatments: MS medium supplemented with 1.3, 4.4, and 13.3 </w:t>
      </w:r>
      <w:r>
        <w:rPr>
          <w:color w:val="000000"/>
        </w:rPr>
        <w:sym w:font="Symbol" w:char="F06D"/>
      </w:r>
      <w:r>
        <w:rPr>
          <w:color w:val="000000"/>
        </w:rPr>
        <w:t xml:space="preserve">M of BA or with the combination of NAA 1.3 </w:t>
      </w:r>
      <w:r>
        <w:rPr>
          <w:color w:val="000000"/>
        </w:rPr>
        <w:sym w:font="Symbol" w:char="F06D"/>
      </w:r>
      <w:r>
        <w:rPr>
          <w:color w:val="000000"/>
        </w:rPr>
        <w:t>M</w:t>
      </w:r>
      <w:proofErr w:type="gramStart"/>
      <w:r>
        <w:rPr>
          <w:color w:val="000000"/>
        </w:rPr>
        <w:t>:BA</w:t>
      </w:r>
      <w:proofErr w:type="gramEnd"/>
      <w:r>
        <w:rPr>
          <w:color w:val="000000"/>
        </w:rPr>
        <w:t xml:space="preserve"> 4.4 </w:t>
      </w:r>
      <w:r>
        <w:rPr>
          <w:color w:val="000000"/>
        </w:rPr>
        <w:sym w:font="Symbol" w:char="F06D"/>
      </w:r>
      <w:r>
        <w:rPr>
          <w:color w:val="000000"/>
        </w:rPr>
        <w:t xml:space="preserve">M, NAA 4.4 </w:t>
      </w:r>
      <w:r>
        <w:rPr>
          <w:color w:val="000000"/>
        </w:rPr>
        <w:sym w:font="Symbol" w:char="F06D"/>
      </w:r>
      <w:r>
        <w:rPr>
          <w:color w:val="000000"/>
        </w:rPr>
        <w:t xml:space="preserve">M:BA 1.3 </w:t>
      </w:r>
      <w:r>
        <w:rPr>
          <w:color w:val="000000"/>
        </w:rPr>
        <w:sym w:font="Symbol" w:char="F06D"/>
      </w:r>
      <w:r>
        <w:rPr>
          <w:color w:val="000000"/>
        </w:rPr>
        <w:t>M</w:t>
      </w:r>
      <w:r>
        <w:rPr>
          <w:color w:val="000000"/>
        </w:rPr>
        <w:t xml:space="preserve">, and NAA 13.3 </w:t>
      </w:r>
      <w:r>
        <w:rPr>
          <w:color w:val="000000"/>
        </w:rPr>
        <w:sym w:font="Symbol" w:char="F06D"/>
      </w:r>
      <w:r>
        <w:rPr>
          <w:color w:val="000000"/>
        </w:rPr>
        <w:t xml:space="preserve">M:BA 1.3 </w:t>
      </w:r>
      <w:r>
        <w:rPr>
          <w:color w:val="000000"/>
        </w:rPr>
        <w:sym w:font="Symbol" w:char="F06D"/>
      </w:r>
      <w:r>
        <w:rPr>
          <w:color w:val="000000"/>
        </w:rPr>
        <w:t>M as we reported in stage I (</w:t>
      </w:r>
      <w:r>
        <w:rPr>
          <w:color w:val="FF0000"/>
        </w:rPr>
        <w:t>Tables 1 and 3</w:t>
      </w:r>
      <w:r>
        <w:rPr>
          <w:color w:val="000000"/>
        </w:rPr>
        <w:t xml:space="preserve">). This response may be due to the endogenous </w:t>
      </w:r>
      <w:proofErr w:type="spellStart"/>
      <w:r>
        <w:rPr>
          <w:color w:val="000000"/>
        </w:rPr>
        <w:t>auxin</w:t>
      </w:r>
      <w:proofErr w:type="spellEnd"/>
      <w:r>
        <w:rPr>
          <w:color w:val="000000"/>
        </w:rPr>
        <w:t xml:space="preserve"> concentration of these explants being adequate to promote the generation of adventitious roots, as it occurs when the explants are subj</w:t>
      </w:r>
      <w:r>
        <w:rPr>
          <w:color w:val="000000"/>
        </w:rPr>
        <w:t xml:space="preserve">ected to cutting propagation in nursery </w:t>
      </w:r>
      <w:r>
        <w:rPr>
          <w:color w:val="000000"/>
        </w:rPr>
        <w:lastRenderedPageBreak/>
        <w:t xml:space="preserve">conditions (Jackson 1986). Adventitious roots were also produced in a MS medium with reduced concentrations of the original formulation (25 or 50%) or in a MS medium at 50% plus IBA at 1.6 or 4.9 </w:t>
      </w:r>
      <w:r>
        <w:rPr>
          <w:rFonts w:ascii="Times New Roman" w:hAnsi="Times New Roman"/>
          <w:color w:val="000000"/>
        </w:rPr>
        <w:t>µ</w:t>
      </w:r>
      <w:r>
        <w:rPr>
          <w:color w:val="000000"/>
        </w:rPr>
        <w:t xml:space="preserve">M. Notwithstanding </w:t>
      </w:r>
      <w:r>
        <w:rPr>
          <w:color w:val="000000"/>
        </w:rPr>
        <w:t xml:space="preserve">these results, it was clear that the addition of IBA (4.9 </w:t>
      </w:r>
      <w:r>
        <w:rPr>
          <w:rFonts w:ascii="Times New Roman" w:hAnsi="Times New Roman"/>
        </w:rPr>
        <w:t>µ</w:t>
      </w:r>
      <w:r>
        <w:rPr>
          <w:color w:val="000000"/>
        </w:rPr>
        <w:t xml:space="preserve">M) enhanced the </w:t>
      </w:r>
      <w:proofErr w:type="spellStart"/>
      <w:r>
        <w:rPr>
          <w:color w:val="000000"/>
        </w:rPr>
        <w:t>rhizogenic</w:t>
      </w:r>
      <w:proofErr w:type="spellEnd"/>
      <w:r>
        <w:rPr>
          <w:color w:val="000000"/>
        </w:rPr>
        <w:t xml:space="preserve"> process; which resulted in plantlets with higher quality, because more root number and higher percentage of rooted shoots were produced (</w:t>
      </w:r>
      <w:r>
        <w:rPr>
          <w:color w:val="FF0000"/>
        </w:rPr>
        <w:t>Table 4</w:t>
      </w:r>
      <w:r>
        <w:rPr>
          <w:color w:val="000000"/>
        </w:rPr>
        <w:t>). In horticulture, the st</w:t>
      </w:r>
      <w:r>
        <w:rPr>
          <w:color w:val="000000"/>
        </w:rPr>
        <w:t xml:space="preserve">imulatory effect of </w:t>
      </w:r>
      <w:proofErr w:type="spellStart"/>
      <w:r>
        <w:rPr>
          <w:color w:val="000000"/>
        </w:rPr>
        <w:t>auxins</w:t>
      </w:r>
      <w:proofErr w:type="spellEnd"/>
      <w:r>
        <w:rPr>
          <w:color w:val="000000"/>
        </w:rPr>
        <w:t xml:space="preserve"> on adventitious root formation has been successfully used for cutting propagation (Hartmann et al. 2010, </w:t>
      </w:r>
      <w:proofErr w:type="spellStart"/>
      <w:r>
        <w:rPr>
          <w:color w:val="000000"/>
        </w:rPr>
        <w:t>Taiz</w:t>
      </w:r>
      <w:proofErr w:type="spellEnd"/>
      <w:r>
        <w:rPr>
          <w:color w:val="000000"/>
        </w:rPr>
        <w:t xml:space="preserve"> and </w:t>
      </w:r>
      <w:proofErr w:type="spellStart"/>
      <w:r>
        <w:rPr>
          <w:color w:val="000000"/>
        </w:rPr>
        <w:t>Zeiger</w:t>
      </w:r>
      <w:proofErr w:type="spellEnd"/>
      <w:r>
        <w:rPr>
          <w:color w:val="000000"/>
        </w:rPr>
        <w:t xml:space="preserve"> 2010). Many plant species differentiate roots when cultured </w:t>
      </w:r>
      <w:r>
        <w:rPr>
          <w:i/>
          <w:color w:val="000000"/>
        </w:rPr>
        <w:t xml:space="preserve">in vitro </w:t>
      </w:r>
      <w:r>
        <w:rPr>
          <w:color w:val="000000"/>
        </w:rPr>
        <w:t xml:space="preserve">or </w:t>
      </w:r>
      <w:r>
        <w:rPr>
          <w:i/>
          <w:color w:val="000000"/>
        </w:rPr>
        <w:t xml:space="preserve">in vivo </w:t>
      </w:r>
      <w:r>
        <w:rPr>
          <w:color w:val="000000"/>
        </w:rPr>
        <w:t xml:space="preserve">without the presence of </w:t>
      </w:r>
      <w:proofErr w:type="spellStart"/>
      <w:r>
        <w:rPr>
          <w:color w:val="000000"/>
        </w:rPr>
        <w:t>auxi</w:t>
      </w:r>
      <w:r>
        <w:rPr>
          <w:color w:val="000000"/>
        </w:rPr>
        <w:t>ns</w:t>
      </w:r>
      <w:proofErr w:type="spellEnd"/>
      <w:r>
        <w:rPr>
          <w:color w:val="000000"/>
        </w:rPr>
        <w:t xml:space="preserve">, including several cacti such as </w:t>
      </w:r>
      <w:proofErr w:type="spellStart"/>
      <w:r>
        <w:rPr>
          <w:i/>
          <w:color w:val="000000"/>
        </w:rPr>
        <w:t>Opuntia</w:t>
      </w:r>
      <w:proofErr w:type="spellEnd"/>
      <w:r>
        <w:rPr>
          <w:i/>
          <w:color w:val="000000"/>
        </w:rPr>
        <w:t xml:space="preserve"> </w:t>
      </w:r>
      <w:r>
        <w:rPr>
          <w:color w:val="000000"/>
        </w:rPr>
        <w:t xml:space="preserve">(Estrada-Luna 2008), </w:t>
      </w:r>
      <w:proofErr w:type="spellStart"/>
      <w:r>
        <w:rPr>
          <w:i/>
          <w:color w:val="000000"/>
        </w:rPr>
        <w:t>Pilocereus</w:t>
      </w:r>
      <w:proofErr w:type="spellEnd"/>
      <w:r>
        <w:rPr>
          <w:i/>
          <w:color w:val="000000"/>
        </w:rPr>
        <w:t xml:space="preserve"> </w:t>
      </w:r>
      <w:proofErr w:type="spellStart"/>
      <w:r>
        <w:rPr>
          <w:i/>
          <w:color w:val="000000"/>
        </w:rPr>
        <w:t>robinii</w:t>
      </w:r>
      <w:proofErr w:type="spellEnd"/>
      <w:r>
        <w:rPr>
          <w:color w:val="000000"/>
        </w:rPr>
        <w:t xml:space="preserve"> (</w:t>
      </w:r>
      <w:proofErr w:type="spellStart"/>
      <w:r>
        <w:rPr>
          <w:color w:val="000000"/>
        </w:rPr>
        <w:t>Quiala</w:t>
      </w:r>
      <w:proofErr w:type="spellEnd"/>
      <w:r>
        <w:rPr>
          <w:color w:val="000000"/>
        </w:rPr>
        <w:t xml:space="preserve"> et al. 2009), </w:t>
      </w:r>
      <w:proofErr w:type="spellStart"/>
      <w:r>
        <w:rPr>
          <w:i/>
          <w:color w:val="000000"/>
        </w:rPr>
        <w:t>Hylocereus</w:t>
      </w:r>
      <w:proofErr w:type="spellEnd"/>
      <w:r>
        <w:rPr>
          <w:i/>
          <w:color w:val="000000"/>
        </w:rPr>
        <w:t xml:space="preserve"> </w:t>
      </w:r>
      <w:proofErr w:type="spellStart"/>
      <w:r>
        <w:rPr>
          <w:i/>
          <w:color w:val="000000"/>
        </w:rPr>
        <w:t>undatus</w:t>
      </w:r>
      <w:proofErr w:type="spellEnd"/>
      <w:r>
        <w:rPr>
          <w:i/>
          <w:color w:val="000000"/>
        </w:rPr>
        <w:t xml:space="preserve"> </w:t>
      </w:r>
      <w:r>
        <w:rPr>
          <w:color w:val="000000"/>
        </w:rPr>
        <w:t>(Mohamed-</w:t>
      </w:r>
      <w:proofErr w:type="spellStart"/>
      <w:r>
        <w:rPr>
          <w:color w:val="000000"/>
        </w:rPr>
        <w:t>Yasseen</w:t>
      </w:r>
      <w:proofErr w:type="spellEnd"/>
      <w:r>
        <w:rPr>
          <w:color w:val="000000"/>
        </w:rPr>
        <w:t xml:space="preserve"> 2002), </w:t>
      </w:r>
      <w:proofErr w:type="spellStart"/>
      <w:r>
        <w:rPr>
          <w:i/>
          <w:color w:val="000000"/>
        </w:rPr>
        <w:t>Turbinicarpus</w:t>
      </w:r>
      <w:proofErr w:type="spellEnd"/>
      <w:r>
        <w:rPr>
          <w:color w:val="000000"/>
        </w:rPr>
        <w:t xml:space="preserve"> </w:t>
      </w:r>
      <w:proofErr w:type="spellStart"/>
      <w:r>
        <w:rPr>
          <w:i/>
          <w:color w:val="000000"/>
        </w:rPr>
        <w:t>laui</w:t>
      </w:r>
      <w:proofErr w:type="spellEnd"/>
      <w:r>
        <w:rPr>
          <w:i/>
          <w:color w:val="000000"/>
        </w:rPr>
        <w:t xml:space="preserve"> </w:t>
      </w:r>
      <w:r>
        <w:rPr>
          <w:color w:val="000000"/>
        </w:rPr>
        <w:t xml:space="preserve">(Mata et al. 2001); however, most species require the addition of </w:t>
      </w:r>
      <w:proofErr w:type="spellStart"/>
      <w:r>
        <w:rPr>
          <w:color w:val="000000"/>
        </w:rPr>
        <w:t>auxins</w:t>
      </w:r>
      <w:proofErr w:type="spellEnd"/>
      <w:r>
        <w:rPr>
          <w:color w:val="000000"/>
        </w:rPr>
        <w:t xml:space="preserve">, in particular </w:t>
      </w:r>
      <w:r>
        <w:rPr>
          <w:color w:val="000000"/>
        </w:rPr>
        <w:t xml:space="preserve">IBA, to achieve rooting or to improve the root number and length (Escobar et al. 1986, </w:t>
      </w:r>
      <w:proofErr w:type="spellStart"/>
      <w:r>
        <w:rPr>
          <w:color w:val="000000"/>
        </w:rPr>
        <w:t>Pérez</w:t>
      </w:r>
      <w:proofErr w:type="spellEnd"/>
      <w:r>
        <w:rPr>
          <w:color w:val="000000"/>
        </w:rPr>
        <w:t>-</w:t>
      </w:r>
      <w:proofErr w:type="spellStart"/>
      <w:r>
        <w:rPr>
          <w:color w:val="000000"/>
        </w:rPr>
        <w:t>Molphe</w:t>
      </w:r>
      <w:proofErr w:type="spellEnd"/>
      <w:r>
        <w:rPr>
          <w:color w:val="000000"/>
        </w:rPr>
        <w:t xml:space="preserve">-Balch and </w:t>
      </w:r>
      <w:proofErr w:type="spellStart"/>
      <w:r>
        <w:rPr>
          <w:color w:val="000000"/>
        </w:rPr>
        <w:t>Dávila</w:t>
      </w:r>
      <w:proofErr w:type="spellEnd"/>
      <w:r>
        <w:rPr>
          <w:color w:val="000000"/>
        </w:rPr>
        <w:t xml:space="preserve">-Figueroa 2002). </w:t>
      </w:r>
      <w:r>
        <w:rPr>
          <w:color w:val="000000"/>
        </w:rPr>
        <w:cr/>
        <w:t xml:space="preserve">The process of root differentiation seems to be direct and does not include the initial differentiation of </w:t>
      </w:r>
      <w:proofErr w:type="spellStart"/>
      <w:r>
        <w:rPr>
          <w:color w:val="000000"/>
        </w:rPr>
        <w:t>calli</w:t>
      </w:r>
      <w:proofErr w:type="spellEnd"/>
      <w:r>
        <w:rPr>
          <w:color w:val="000000"/>
        </w:rPr>
        <w:t>. Detailed</w:t>
      </w:r>
      <w:r>
        <w:rPr>
          <w:color w:val="000000"/>
        </w:rPr>
        <w:t xml:space="preserve"> observations of the origin of these adventitious roots revealed that they were differentiated from </w:t>
      </w:r>
      <w:proofErr w:type="spellStart"/>
      <w:r>
        <w:rPr>
          <w:color w:val="000000"/>
        </w:rPr>
        <w:t>parenchymatic</w:t>
      </w:r>
      <w:proofErr w:type="spellEnd"/>
      <w:r>
        <w:rPr>
          <w:color w:val="000000"/>
        </w:rPr>
        <w:t xml:space="preserve"> cells and pith ground tissues in the neighborhood of vascular tissues (</w:t>
      </w:r>
      <w:r>
        <w:rPr>
          <w:color w:val="FF0000"/>
        </w:rPr>
        <w:t>Fig. 3d</w:t>
      </w:r>
      <w:r>
        <w:rPr>
          <w:color w:val="000000"/>
        </w:rPr>
        <w:t>). These cells could be companion cells of the xylem and phloem,</w:t>
      </w:r>
      <w:r>
        <w:rPr>
          <w:color w:val="000000"/>
        </w:rPr>
        <w:t xml:space="preserve"> parenchyma cells in the periphery of vascular bundles, or </w:t>
      </w:r>
      <w:proofErr w:type="spellStart"/>
      <w:r>
        <w:rPr>
          <w:color w:val="000000"/>
        </w:rPr>
        <w:t>pericycle</w:t>
      </w:r>
      <w:proofErr w:type="spellEnd"/>
      <w:r>
        <w:rPr>
          <w:color w:val="000000"/>
        </w:rPr>
        <w:t xml:space="preserve">, as described by Jackson (1986). The dividing cells became root apical </w:t>
      </w:r>
      <w:proofErr w:type="spellStart"/>
      <w:r>
        <w:rPr>
          <w:color w:val="000000"/>
        </w:rPr>
        <w:t>meristems</w:t>
      </w:r>
      <w:proofErr w:type="spellEnd"/>
      <w:r>
        <w:rPr>
          <w:color w:val="000000"/>
        </w:rPr>
        <w:t xml:space="preserve"> and later elongated roots following an analogous process to the formation of lateral roots (Jackson 1986, </w:t>
      </w:r>
      <w:r>
        <w:rPr>
          <w:color w:val="000000"/>
        </w:rPr>
        <w:t>Hartmann et al. 2010).</w:t>
      </w:r>
      <w:r>
        <w:rPr>
          <w:color w:val="000000"/>
        </w:rPr>
        <w:cr/>
        <w:t xml:space="preserve">The acclimatization refers to the transition period in which </w:t>
      </w:r>
      <w:proofErr w:type="spellStart"/>
      <w:r>
        <w:rPr>
          <w:color w:val="000000"/>
        </w:rPr>
        <w:t>micropropagated</w:t>
      </w:r>
      <w:proofErr w:type="spellEnd"/>
      <w:r>
        <w:rPr>
          <w:color w:val="000000"/>
        </w:rPr>
        <w:t xml:space="preserve"> materials are transferred from the </w:t>
      </w:r>
      <w:r>
        <w:rPr>
          <w:i/>
          <w:color w:val="000000"/>
        </w:rPr>
        <w:t xml:space="preserve">in vitro </w:t>
      </w:r>
      <w:r>
        <w:rPr>
          <w:color w:val="000000"/>
        </w:rPr>
        <w:t>to greenhouse or growth chamber conditions before transplantation to the field (</w:t>
      </w:r>
      <w:proofErr w:type="spellStart"/>
      <w:r>
        <w:rPr>
          <w:color w:val="000000"/>
        </w:rPr>
        <w:t>Kozai</w:t>
      </w:r>
      <w:proofErr w:type="spellEnd"/>
      <w:r>
        <w:rPr>
          <w:color w:val="000000"/>
        </w:rPr>
        <w:t xml:space="preserve"> 1991, </w:t>
      </w:r>
      <w:proofErr w:type="spellStart"/>
      <w:r>
        <w:rPr>
          <w:color w:val="000000"/>
        </w:rPr>
        <w:t>Preece</w:t>
      </w:r>
      <w:proofErr w:type="spellEnd"/>
      <w:r>
        <w:rPr>
          <w:color w:val="000000"/>
        </w:rPr>
        <w:t xml:space="preserve"> and Sutter 19</w:t>
      </w:r>
      <w:r>
        <w:rPr>
          <w:color w:val="000000"/>
        </w:rPr>
        <w:t xml:space="preserve">91). At this time, most species experience a transplantation shock that negatively affects growth rates and increases plantlet mortality </w:t>
      </w:r>
      <w:r>
        <w:rPr>
          <w:color w:val="000000"/>
        </w:rPr>
        <w:sym w:font="Symbol" w:char="F0BE"/>
      </w:r>
      <w:r>
        <w:rPr>
          <w:color w:val="000000"/>
        </w:rPr>
        <w:t>40 to 100% (</w:t>
      </w:r>
      <w:proofErr w:type="spellStart"/>
      <w:r>
        <w:rPr>
          <w:color w:val="000000"/>
        </w:rPr>
        <w:t>Varma</w:t>
      </w:r>
      <w:proofErr w:type="spellEnd"/>
      <w:r>
        <w:rPr>
          <w:color w:val="000000"/>
        </w:rPr>
        <w:t xml:space="preserve"> and </w:t>
      </w:r>
      <w:proofErr w:type="spellStart"/>
      <w:r>
        <w:rPr>
          <w:color w:val="000000"/>
        </w:rPr>
        <w:t>Schuepp</w:t>
      </w:r>
      <w:proofErr w:type="spellEnd"/>
      <w:r>
        <w:rPr>
          <w:color w:val="000000"/>
        </w:rPr>
        <w:t xml:space="preserve"> 1995). The factors responsible for this situation are related to the environmental condi</w:t>
      </w:r>
      <w:r>
        <w:rPr>
          <w:color w:val="000000"/>
        </w:rPr>
        <w:t xml:space="preserve">tions imposed during acclimation </w:t>
      </w:r>
      <w:r>
        <w:rPr>
          <w:color w:val="000000"/>
        </w:rPr>
        <w:sym w:font="Symbol" w:char="F05B"/>
      </w:r>
      <w:r>
        <w:rPr>
          <w:color w:val="000000"/>
        </w:rPr>
        <w:t>drastic changes in relative humidity, temperature, light conditions, and water and nutrient availability (</w:t>
      </w:r>
      <w:proofErr w:type="spellStart"/>
      <w:r>
        <w:rPr>
          <w:color w:val="000000"/>
        </w:rPr>
        <w:t>Varma</w:t>
      </w:r>
      <w:proofErr w:type="spellEnd"/>
      <w:r>
        <w:rPr>
          <w:color w:val="000000"/>
        </w:rPr>
        <w:t xml:space="preserve"> and </w:t>
      </w:r>
      <w:proofErr w:type="spellStart"/>
      <w:r>
        <w:rPr>
          <w:color w:val="000000"/>
        </w:rPr>
        <w:t>Schuepp</w:t>
      </w:r>
      <w:proofErr w:type="spellEnd"/>
      <w:r>
        <w:rPr>
          <w:color w:val="000000"/>
        </w:rPr>
        <w:t xml:space="preserve"> 1995, Hartmann et al. 2010)</w:t>
      </w:r>
      <w:r>
        <w:rPr>
          <w:color w:val="000000"/>
        </w:rPr>
        <w:sym w:font="Symbol" w:char="F05D"/>
      </w:r>
      <w:r>
        <w:rPr>
          <w:color w:val="000000"/>
        </w:rPr>
        <w:t xml:space="preserve"> and to the physiology of the plantlets, which may develop non-functio</w:t>
      </w:r>
      <w:r>
        <w:rPr>
          <w:color w:val="000000"/>
        </w:rPr>
        <w:t xml:space="preserve">nal roots or deficient vascular systems (Grout and Aston 1978, </w:t>
      </w:r>
      <w:proofErr w:type="spellStart"/>
      <w:r>
        <w:rPr>
          <w:color w:val="000000"/>
        </w:rPr>
        <w:t>Pospisilova</w:t>
      </w:r>
      <w:proofErr w:type="spellEnd"/>
      <w:r>
        <w:rPr>
          <w:color w:val="000000"/>
        </w:rPr>
        <w:t xml:space="preserve"> et al. 1999). In some species the readiness in inoculating beneficial </w:t>
      </w:r>
      <w:r>
        <w:rPr>
          <w:color w:val="000000"/>
        </w:rPr>
        <w:lastRenderedPageBreak/>
        <w:t xml:space="preserve">microorganisms to re-establish </w:t>
      </w:r>
      <w:proofErr w:type="spellStart"/>
      <w:r>
        <w:rPr>
          <w:color w:val="000000"/>
        </w:rPr>
        <w:t>mycorrhizal</w:t>
      </w:r>
      <w:proofErr w:type="spellEnd"/>
      <w:r>
        <w:rPr>
          <w:color w:val="000000"/>
        </w:rPr>
        <w:t xml:space="preserve"> associations and the interaction with plant growth promoting </w:t>
      </w:r>
      <w:proofErr w:type="spellStart"/>
      <w:r>
        <w:rPr>
          <w:color w:val="000000"/>
        </w:rPr>
        <w:t>rhizoba</w:t>
      </w:r>
      <w:r>
        <w:rPr>
          <w:color w:val="000000"/>
        </w:rPr>
        <w:t>cteria</w:t>
      </w:r>
      <w:proofErr w:type="spellEnd"/>
      <w:r>
        <w:rPr>
          <w:color w:val="000000"/>
        </w:rPr>
        <w:t xml:space="preserve"> populations (Estrada-Luna and Davies 2003) are key factors that dictate the success or failure after </w:t>
      </w:r>
      <w:proofErr w:type="spellStart"/>
      <w:r>
        <w:rPr>
          <w:color w:val="000000"/>
        </w:rPr>
        <w:t>micropropagation</w:t>
      </w:r>
      <w:proofErr w:type="spellEnd"/>
      <w:r>
        <w:rPr>
          <w:color w:val="000000"/>
        </w:rPr>
        <w:t xml:space="preserve">; because most plant species are </w:t>
      </w:r>
      <w:proofErr w:type="spellStart"/>
      <w:r>
        <w:rPr>
          <w:color w:val="000000"/>
        </w:rPr>
        <w:t>mycorrhiza</w:t>
      </w:r>
      <w:proofErr w:type="spellEnd"/>
      <w:r>
        <w:rPr>
          <w:color w:val="000000"/>
        </w:rPr>
        <w:t xml:space="preserve"> dependent and the interaction with these micro-organisms provides water, nutrients, and </w:t>
      </w:r>
      <w:r>
        <w:rPr>
          <w:color w:val="000000"/>
        </w:rPr>
        <w:t xml:space="preserve">other important metabolites to the young plantlets (Estrada-Luna et al. 2000, Estrada-Luna and Davies 2003, </w:t>
      </w:r>
      <w:proofErr w:type="spellStart"/>
      <w:r>
        <w:rPr>
          <w:color w:val="000000"/>
        </w:rPr>
        <w:t>Hata</w:t>
      </w:r>
      <w:proofErr w:type="spellEnd"/>
      <w:r>
        <w:rPr>
          <w:color w:val="000000"/>
        </w:rPr>
        <w:t xml:space="preserve"> et al. 2010). The </w:t>
      </w:r>
      <w:proofErr w:type="spellStart"/>
      <w:r>
        <w:rPr>
          <w:color w:val="000000"/>
        </w:rPr>
        <w:t>mixotrophic</w:t>
      </w:r>
      <w:proofErr w:type="spellEnd"/>
      <w:r>
        <w:rPr>
          <w:color w:val="000000"/>
        </w:rPr>
        <w:t xml:space="preserve"> condition of tissue culture plantlets allows only low rates of photosynthesis and reduced chlorophyll concentrati</w:t>
      </w:r>
      <w:r>
        <w:rPr>
          <w:color w:val="000000"/>
        </w:rPr>
        <w:t xml:space="preserve">ons, which limit overall plant growth (Grout and </w:t>
      </w:r>
      <w:proofErr w:type="spellStart"/>
      <w:r>
        <w:rPr>
          <w:color w:val="000000"/>
        </w:rPr>
        <w:t>Millan</w:t>
      </w:r>
      <w:proofErr w:type="spellEnd"/>
      <w:r>
        <w:rPr>
          <w:color w:val="000000"/>
        </w:rPr>
        <w:t xml:space="preserve"> 1985). The difference in moisture content of the culture flasks (nearly 100% relative humidity) and the natural environmental conditions or greenhouse (20-80% relative humidity) during the first days </w:t>
      </w:r>
      <w:r>
        <w:rPr>
          <w:color w:val="000000"/>
        </w:rPr>
        <w:t xml:space="preserve">after transplantation challenge the functionality of stomata to control transpiration (Brainerd and </w:t>
      </w:r>
      <w:proofErr w:type="spellStart"/>
      <w:r>
        <w:rPr>
          <w:color w:val="000000"/>
        </w:rPr>
        <w:t>Fuchigami</w:t>
      </w:r>
      <w:proofErr w:type="spellEnd"/>
      <w:r>
        <w:rPr>
          <w:color w:val="000000"/>
        </w:rPr>
        <w:t xml:space="preserve"> 1982, </w:t>
      </w:r>
      <w:proofErr w:type="spellStart"/>
      <w:r>
        <w:rPr>
          <w:color w:val="000000"/>
        </w:rPr>
        <w:t>Díaz-Pérez</w:t>
      </w:r>
      <w:proofErr w:type="spellEnd"/>
      <w:r>
        <w:rPr>
          <w:color w:val="000000"/>
        </w:rPr>
        <w:t xml:space="preserve"> et al. 1995, </w:t>
      </w:r>
      <w:proofErr w:type="spellStart"/>
      <w:r>
        <w:rPr>
          <w:color w:val="000000"/>
        </w:rPr>
        <w:t>Pospisilova</w:t>
      </w:r>
      <w:proofErr w:type="spellEnd"/>
      <w:r>
        <w:rPr>
          <w:color w:val="000000"/>
        </w:rPr>
        <w:t xml:space="preserve"> et al. 1999). </w:t>
      </w:r>
      <w:proofErr w:type="spellStart"/>
      <w:r>
        <w:rPr>
          <w:color w:val="000000"/>
        </w:rPr>
        <w:t>Micropropagated</w:t>
      </w:r>
      <w:proofErr w:type="spellEnd"/>
      <w:r>
        <w:rPr>
          <w:color w:val="000000"/>
        </w:rPr>
        <w:t xml:space="preserve"> plants will only be able to survive and grow normally if they quickly cont</w:t>
      </w:r>
      <w:r>
        <w:rPr>
          <w:color w:val="000000"/>
        </w:rPr>
        <w:t>rol the activity of their stomata and photosynthesis (</w:t>
      </w:r>
      <w:proofErr w:type="spellStart"/>
      <w:r>
        <w:rPr>
          <w:color w:val="000000"/>
        </w:rPr>
        <w:t>Kozai</w:t>
      </w:r>
      <w:proofErr w:type="spellEnd"/>
      <w:r>
        <w:rPr>
          <w:color w:val="000000"/>
        </w:rPr>
        <w:t xml:space="preserve"> 1991). The results obtained in this study suggest that fortunately </w:t>
      </w:r>
      <w:proofErr w:type="spellStart"/>
      <w:r>
        <w:rPr>
          <w:i/>
          <w:color w:val="000000"/>
        </w:rPr>
        <w:t>Ortegocactus</w:t>
      </w:r>
      <w:proofErr w:type="spellEnd"/>
      <w:r>
        <w:rPr>
          <w:i/>
          <w:color w:val="000000"/>
        </w:rPr>
        <w:t xml:space="preserve"> </w:t>
      </w:r>
      <w:proofErr w:type="spellStart"/>
      <w:r>
        <w:rPr>
          <w:i/>
          <w:color w:val="000000"/>
        </w:rPr>
        <w:t>macdougalli</w:t>
      </w:r>
      <w:proofErr w:type="spellEnd"/>
      <w:r>
        <w:rPr>
          <w:i/>
          <w:color w:val="000000"/>
        </w:rPr>
        <w:t xml:space="preserve"> </w:t>
      </w:r>
      <w:r>
        <w:rPr>
          <w:color w:val="000000"/>
        </w:rPr>
        <w:t>A</w:t>
      </w:r>
      <w:proofErr w:type="gramStart"/>
      <w:r>
        <w:rPr>
          <w:color w:val="000000"/>
        </w:rPr>
        <w:t>.,</w:t>
      </w:r>
      <w:proofErr w:type="gramEnd"/>
      <w:r>
        <w:rPr>
          <w:color w:val="000000"/>
        </w:rPr>
        <w:t xml:space="preserve"> is a plant species that does not suffer from this type of abnormalities and deficiencies and because</w:t>
      </w:r>
      <w:r>
        <w:rPr>
          <w:color w:val="000000"/>
        </w:rPr>
        <w:t xml:space="preserve"> of this, the acclimatization problems were minimal and produce the high rates of survival (98%). A possible explanation of these results is </w:t>
      </w:r>
      <w:proofErr w:type="gramStart"/>
      <w:r>
        <w:rPr>
          <w:color w:val="000000"/>
        </w:rPr>
        <w:t xml:space="preserve">that </w:t>
      </w:r>
      <w:proofErr w:type="spellStart"/>
      <w:r>
        <w:rPr>
          <w:color w:val="000000"/>
        </w:rPr>
        <w:t>micropropagated</w:t>
      </w:r>
      <w:proofErr w:type="spellEnd"/>
      <w:r>
        <w:rPr>
          <w:color w:val="000000"/>
        </w:rPr>
        <w:t xml:space="preserve"> plants</w:t>
      </w:r>
      <w:proofErr w:type="gramEnd"/>
      <w:r>
        <w:rPr>
          <w:color w:val="000000"/>
        </w:rPr>
        <w:t xml:space="preserve"> of </w:t>
      </w:r>
      <w:proofErr w:type="spellStart"/>
      <w:r>
        <w:rPr>
          <w:i/>
          <w:color w:val="000000"/>
        </w:rPr>
        <w:t>Ortegocactus</w:t>
      </w:r>
      <w:proofErr w:type="spellEnd"/>
      <w:r>
        <w:rPr>
          <w:i/>
          <w:color w:val="000000"/>
        </w:rPr>
        <w:t xml:space="preserve"> </w:t>
      </w:r>
      <w:proofErr w:type="spellStart"/>
      <w:r>
        <w:rPr>
          <w:i/>
          <w:color w:val="000000"/>
        </w:rPr>
        <w:t>macdougalli</w:t>
      </w:r>
      <w:proofErr w:type="spellEnd"/>
      <w:r>
        <w:rPr>
          <w:i/>
          <w:color w:val="000000"/>
        </w:rPr>
        <w:t xml:space="preserve"> </w:t>
      </w:r>
      <w:r>
        <w:rPr>
          <w:color w:val="000000"/>
        </w:rPr>
        <w:t>A., developed functional roots and stomata and a cuti</w:t>
      </w:r>
      <w:r w:rsidR="00411B8B">
        <w:rPr>
          <w:color w:val="000000"/>
        </w:rPr>
        <w:t>c</w:t>
      </w:r>
      <w:r>
        <w:rPr>
          <w:color w:val="000000"/>
        </w:rPr>
        <w:t>le thi</w:t>
      </w:r>
      <w:r>
        <w:rPr>
          <w:color w:val="000000"/>
        </w:rPr>
        <w:t xml:space="preserve">ck enough to allow appropriate control of transpiration and normal rates of photosynthesis and growth (Fig. 3f). Our high survival rate is consistent with the observations for other cacti such as </w:t>
      </w:r>
      <w:proofErr w:type="spellStart"/>
      <w:r>
        <w:rPr>
          <w:i/>
          <w:color w:val="000000"/>
        </w:rPr>
        <w:t>Pilosocereus</w:t>
      </w:r>
      <w:proofErr w:type="spellEnd"/>
      <w:r>
        <w:rPr>
          <w:i/>
          <w:color w:val="000000"/>
        </w:rPr>
        <w:t xml:space="preserve"> </w:t>
      </w:r>
      <w:proofErr w:type="spellStart"/>
      <w:r>
        <w:rPr>
          <w:i/>
          <w:color w:val="000000"/>
        </w:rPr>
        <w:t>robinii</w:t>
      </w:r>
      <w:proofErr w:type="spellEnd"/>
      <w:r>
        <w:rPr>
          <w:color w:val="000000"/>
        </w:rPr>
        <w:t xml:space="preserve">, </w:t>
      </w:r>
      <w:proofErr w:type="spellStart"/>
      <w:r>
        <w:rPr>
          <w:i/>
          <w:color w:val="000000"/>
        </w:rPr>
        <w:t>Pelecyphora</w:t>
      </w:r>
      <w:proofErr w:type="spellEnd"/>
      <w:r>
        <w:rPr>
          <w:i/>
          <w:color w:val="000000"/>
        </w:rPr>
        <w:t xml:space="preserve"> </w:t>
      </w:r>
      <w:proofErr w:type="spellStart"/>
      <w:r>
        <w:rPr>
          <w:i/>
          <w:color w:val="000000"/>
        </w:rPr>
        <w:t>aselliformis</w:t>
      </w:r>
      <w:proofErr w:type="spellEnd"/>
      <w:r>
        <w:rPr>
          <w:color w:val="000000"/>
        </w:rPr>
        <w:t xml:space="preserve"> and </w:t>
      </w:r>
      <w:r>
        <w:rPr>
          <w:i/>
          <w:color w:val="000000"/>
        </w:rPr>
        <w:t>P</w:t>
      </w:r>
      <w:r>
        <w:rPr>
          <w:color w:val="000000"/>
        </w:rPr>
        <w:t xml:space="preserve">. </w:t>
      </w:r>
      <w:proofErr w:type="spellStart"/>
      <w:r>
        <w:rPr>
          <w:i/>
          <w:color w:val="000000"/>
        </w:rPr>
        <w:t>strobi</w:t>
      </w:r>
      <w:r>
        <w:rPr>
          <w:i/>
          <w:color w:val="000000"/>
        </w:rPr>
        <w:t>liformis</w:t>
      </w:r>
      <w:proofErr w:type="spellEnd"/>
      <w:r>
        <w:rPr>
          <w:color w:val="000000"/>
        </w:rPr>
        <w:t xml:space="preserve">, </w:t>
      </w:r>
      <w:proofErr w:type="spellStart"/>
      <w:r>
        <w:rPr>
          <w:i/>
          <w:color w:val="000000"/>
        </w:rPr>
        <w:t>Astrophytum</w:t>
      </w:r>
      <w:proofErr w:type="spellEnd"/>
      <w:r>
        <w:rPr>
          <w:color w:val="000000"/>
        </w:rPr>
        <w:t xml:space="preserve"> spp., </w:t>
      </w:r>
      <w:proofErr w:type="spellStart"/>
      <w:r>
        <w:rPr>
          <w:i/>
          <w:color w:val="000000"/>
        </w:rPr>
        <w:t>Cephalocereus</w:t>
      </w:r>
      <w:proofErr w:type="spellEnd"/>
      <w:r>
        <w:rPr>
          <w:i/>
          <w:color w:val="000000"/>
        </w:rPr>
        <w:t xml:space="preserve"> </w:t>
      </w:r>
      <w:proofErr w:type="spellStart"/>
      <w:r>
        <w:rPr>
          <w:i/>
          <w:color w:val="000000"/>
        </w:rPr>
        <w:t>senilis</w:t>
      </w:r>
      <w:proofErr w:type="spellEnd"/>
      <w:r>
        <w:rPr>
          <w:color w:val="000000"/>
        </w:rPr>
        <w:t xml:space="preserve">, </w:t>
      </w:r>
      <w:proofErr w:type="spellStart"/>
      <w:r>
        <w:rPr>
          <w:i/>
          <w:color w:val="000000"/>
        </w:rPr>
        <w:t>Coryphantha</w:t>
      </w:r>
      <w:proofErr w:type="spellEnd"/>
      <w:r>
        <w:rPr>
          <w:color w:val="000000"/>
        </w:rPr>
        <w:t xml:space="preserve"> spp., </w:t>
      </w:r>
      <w:proofErr w:type="spellStart"/>
      <w:r>
        <w:rPr>
          <w:i/>
          <w:color w:val="000000"/>
        </w:rPr>
        <w:t>Echinocactus</w:t>
      </w:r>
      <w:proofErr w:type="spellEnd"/>
      <w:r>
        <w:rPr>
          <w:color w:val="000000"/>
        </w:rPr>
        <w:t xml:space="preserve"> spp., </w:t>
      </w:r>
      <w:proofErr w:type="spellStart"/>
      <w:r>
        <w:rPr>
          <w:i/>
          <w:color w:val="000000"/>
        </w:rPr>
        <w:t>Echinocereus</w:t>
      </w:r>
      <w:proofErr w:type="spellEnd"/>
      <w:r>
        <w:rPr>
          <w:color w:val="000000"/>
        </w:rPr>
        <w:t xml:space="preserve"> spp., </w:t>
      </w:r>
      <w:proofErr w:type="spellStart"/>
      <w:r>
        <w:rPr>
          <w:i/>
          <w:color w:val="000000"/>
        </w:rPr>
        <w:t>Echinofossulocactus</w:t>
      </w:r>
      <w:proofErr w:type="spellEnd"/>
      <w:r>
        <w:rPr>
          <w:color w:val="000000"/>
        </w:rPr>
        <w:t xml:space="preserve"> spp., </w:t>
      </w:r>
      <w:proofErr w:type="spellStart"/>
      <w:r>
        <w:rPr>
          <w:i/>
          <w:color w:val="000000"/>
        </w:rPr>
        <w:t>Ferocactus</w:t>
      </w:r>
      <w:proofErr w:type="spellEnd"/>
      <w:r>
        <w:rPr>
          <w:color w:val="000000"/>
        </w:rPr>
        <w:t xml:space="preserve"> spp., </w:t>
      </w:r>
      <w:proofErr w:type="spellStart"/>
      <w:r>
        <w:rPr>
          <w:i/>
          <w:color w:val="000000"/>
        </w:rPr>
        <w:t>Mammillaria</w:t>
      </w:r>
      <w:proofErr w:type="spellEnd"/>
      <w:r>
        <w:rPr>
          <w:i/>
          <w:color w:val="000000"/>
        </w:rPr>
        <w:t xml:space="preserve"> </w:t>
      </w:r>
      <w:r>
        <w:rPr>
          <w:color w:val="000000"/>
        </w:rPr>
        <w:t>spp</w:t>
      </w:r>
      <w:r>
        <w:rPr>
          <w:i/>
          <w:color w:val="000000"/>
        </w:rPr>
        <w:t xml:space="preserve">., </w:t>
      </w:r>
      <w:proofErr w:type="spellStart"/>
      <w:r>
        <w:rPr>
          <w:i/>
          <w:color w:val="000000"/>
        </w:rPr>
        <w:t>Nyctocereus</w:t>
      </w:r>
      <w:proofErr w:type="spellEnd"/>
      <w:r>
        <w:rPr>
          <w:i/>
          <w:color w:val="000000"/>
        </w:rPr>
        <w:t xml:space="preserve"> </w:t>
      </w:r>
      <w:r>
        <w:rPr>
          <w:color w:val="000000"/>
        </w:rPr>
        <w:t>spp</w:t>
      </w:r>
      <w:r>
        <w:rPr>
          <w:i/>
          <w:color w:val="000000"/>
        </w:rPr>
        <w:t xml:space="preserve">., </w:t>
      </w:r>
      <w:proofErr w:type="spellStart"/>
      <w:r>
        <w:rPr>
          <w:i/>
          <w:color w:val="000000"/>
        </w:rPr>
        <w:t>Stenocactus</w:t>
      </w:r>
      <w:proofErr w:type="spellEnd"/>
      <w:r>
        <w:rPr>
          <w:i/>
          <w:color w:val="000000"/>
        </w:rPr>
        <w:t xml:space="preserve"> </w:t>
      </w:r>
      <w:r>
        <w:rPr>
          <w:color w:val="000000"/>
        </w:rPr>
        <w:t>spp. These cacti are reported to have survival values rang</w:t>
      </w:r>
      <w:r>
        <w:rPr>
          <w:color w:val="000000"/>
        </w:rPr>
        <w:t xml:space="preserve">ing from 70 to 100% (Escobar et al. 1986, Estrada-Luna 1988, Estrada-Luna et al. 2008, </w:t>
      </w:r>
      <w:proofErr w:type="spellStart"/>
      <w:r>
        <w:rPr>
          <w:color w:val="000000"/>
        </w:rPr>
        <w:t>Martínez</w:t>
      </w:r>
      <w:proofErr w:type="spellEnd"/>
      <w:r>
        <w:rPr>
          <w:color w:val="000000"/>
        </w:rPr>
        <w:t xml:space="preserve">-Cárdenas et al. 2007, </w:t>
      </w:r>
      <w:proofErr w:type="spellStart"/>
      <w:r>
        <w:rPr>
          <w:color w:val="000000"/>
        </w:rPr>
        <w:t>Pérez</w:t>
      </w:r>
      <w:proofErr w:type="spellEnd"/>
      <w:r>
        <w:rPr>
          <w:color w:val="000000"/>
        </w:rPr>
        <w:t>-</w:t>
      </w:r>
      <w:proofErr w:type="spellStart"/>
      <w:r>
        <w:rPr>
          <w:color w:val="000000"/>
        </w:rPr>
        <w:t>Molphe</w:t>
      </w:r>
      <w:proofErr w:type="spellEnd"/>
      <w:r>
        <w:rPr>
          <w:color w:val="000000"/>
        </w:rPr>
        <w:t>-Balch et al. 1998</w:t>
      </w:r>
      <w:proofErr w:type="gramStart"/>
      <w:r>
        <w:rPr>
          <w:color w:val="000000"/>
        </w:rPr>
        <w:t xml:space="preserve">,  </w:t>
      </w:r>
      <w:proofErr w:type="spellStart"/>
      <w:r>
        <w:rPr>
          <w:color w:val="000000"/>
        </w:rPr>
        <w:t>Pérez</w:t>
      </w:r>
      <w:proofErr w:type="spellEnd"/>
      <w:proofErr w:type="gramEnd"/>
      <w:r>
        <w:rPr>
          <w:color w:val="000000"/>
        </w:rPr>
        <w:t>-</w:t>
      </w:r>
      <w:proofErr w:type="spellStart"/>
      <w:r>
        <w:rPr>
          <w:color w:val="000000"/>
        </w:rPr>
        <w:t>Molphe</w:t>
      </w:r>
      <w:proofErr w:type="spellEnd"/>
      <w:r>
        <w:rPr>
          <w:color w:val="000000"/>
        </w:rPr>
        <w:t xml:space="preserve">-Balch and </w:t>
      </w:r>
      <w:proofErr w:type="spellStart"/>
      <w:r>
        <w:rPr>
          <w:color w:val="000000"/>
        </w:rPr>
        <w:t>Dávila</w:t>
      </w:r>
      <w:proofErr w:type="spellEnd"/>
      <w:r>
        <w:rPr>
          <w:color w:val="000000"/>
        </w:rPr>
        <w:t xml:space="preserve">-Figueroa 2002, </w:t>
      </w:r>
      <w:proofErr w:type="spellStart"/>
      <w:r>
        <w:rPr>
          <w:color w:val="000000"/>
        </w:rPr>
        <w:t>Quiala</w:t>
      </w:r>
      <w:proofErr w:type="spellEnd"/>
      <w:r>
        <w:rPr>
          <w:color w:val="000000"/>
        </w:rPr>
        <w:t xml:space="preserve"> et al. 2009).</w:t>
      </w:r>
      <w:r>
        <w:rPr>
          <w:color w:val="000000"/>
        </w:rPr>
        <w:cr/>
      </w:r>
      <w:r>
        <w:rPr>
          <w:color w:val="FF0000"/>
        </w:rPr>
        <w:t xml:space="preserve"> </w:t>
      </w:r>
      <w:r>
        <w:rPr>
          <w:color w:val="FF0000"/>
        </w:rPr>
        <w:cr/>
      </w:r>
    </w:p>
    <w:p w:rsidR="00000000" w:rsidRDefault="009E6419">
      <w:pPr>
        <w:spacing w:line="360" w:lineRule="auto"/>
      </w:pPr>
      <w:r>
        <w:rPr>
          <w:rFonts w:ascii="Times New Roman" w:hAnsi="Times New Roman"/>
          <w:b/>
          <w:color w:val="000000"/>
        </w:rPr>
        <w:lastRenderedPageBreak/>
        <w:t xml:space="preserve">ACKNOWLEDGEMENTS: </w:t>
      </w:r>
      <w:r>
        <w:rPr>
          <w:rFonts w:ascii="Times New Roman" w:hAnsi="Times New Roman"/>
          <w:color w:val="000000"/>
        </w:rPr>
        <w:t>Authors want to th</w:t>
      </w:r>
      <w:r>
        <w:rPr>
          <w:rFonts w:ascii="Times New Roman" w:hAnsi="Times New Roman"/>
          <w:color w:val="000000"/>
        </w:rPr>
        <w:t xml:space="preserve">ank the Universidad De La Salle </w:t>
      </w:r>
      <w:proofErr w:type="spellStart"/>
      <w:r>
        <w:rPr>
          <w:rFonts w:ascii="Times New Roman" w:hAnsi="Times New Roman"/>
          <w:color w:val="000000"/>
        </w:rPr>
        <w:t>Bajío</w:t>
      </w:r>
      <w:proofErr w:type="spellEnd"/>
      <w:r>
        <w:rPr>
          <w:rFonts w:ascii="Times New Roman" w:hAnsi="Times New Roman"/>
          <w:color w:val="000000"/>
        </w:rPr>
        <w:t xml:space="preserve"> for the economical support provided through the Office of Research Council, CINVESTAV-IPN </w:t>
      </w:r>
      <w:proofErr w:type="spellStart"/>
      <w:r>
        <w:rPr>
          <w:rFonts w:ascii="Times New Roman" w:hAnsi="Times New Roman"/>
          <w:color w:val="000000"/>
        </w:rPr>
        <w:t>Unidad</w:t>
      </w:r>
      <w:proofErr w:type="spellEnd"/>
      <w:r>
        <w:rPr>
          <w:rFonts w:ascii="Times New Roman" w:hAnsi="Times New Roman"/>
          <w:color w:val="000000"/>
        </w:rPr>
        <w:t xml:space="preserve"> Irapuato for allowing the use of facilities and equipment, and Miriam </w:t>
      </w:r>
      <w:proofErr w:type="spellStart"/>
      <w:r>
        <w:rPr>
          <w:rFonts w:ascii="Times New Roman" w:hAnsi="Times New Roman"/>
          <w:color w:val="000000"/>
        </w:rPr>
        <w:t>Zachs</w:t>
      </w:r>
      <w:proofErr w:type="spellEnd"/>
      <w:r>
        <w:rPr>
          <w:rFonts w:ascii="Times New Roman" w:hAnsi="Times New Roman"/>
          <w:color w:val="000000"/>
        </w:rPr>
        <w:t xml:space="preserve"> for the copy editing of this paper.</w:t>
      </w:r>
      <w:r>
        <w:rPr>
          <w:rFonts w:ascii="Times New Roman" w:hAnsi="Times New Roman"/>
          <w:color w:val="000000"/>
        </w:rPr>
        <w:cr/>
      </w:r>
      <w:r>
        <w:rPr>
          <w:rFonts w:ascii="Times New Roman" w:hAnsi="Times New Roman"/>
          <w:b/>
          <w:color w:val="000000"/>
        </w:rPr>
        <w:cr/>
        <w:t>REFERENC</w:t>
      </w:r>
      <w:r>
        <w:rPr>
          <w:rFonts w:ascii="Times New Roman" w:hAnsi="Times New Roman"/>
          <w:b/>
          <w:color w:val="000000"/>
        </w:rPr>
        <w:t>ES</w:t>
      </w:r>
      <w:r>
        <w:rPr>
          <w:color w:val="000000"/>
        </w:rPr>
        <w:cr/>
      </w:r>
      <w:r>
        <w:t xml:space="preserve">Alexander E.J. (1961). </w:t>
      </w:r>
      <w:proofErr w:type="spellStart"/>
      <w:proofErr w:type="gramStart"/>
      <w:r>
        <w:rPr>
          <w:i/>
        </w:rPr>
        <w:t>Ortegocactus</w:t>
      </w:r>
      <w:proofErr w:type="spellEnd"/>
      <w:r>
        <w:t>, a unique new genus.</w:t>
      </w:r>
      <w:proofErr w:type="gramEnd"/>
      <w:r>
        <w:t xml:space="preserve"> Cactus of Succulent Journal of the United States, 33: 39-40.</w:t>
      </w:r>
      <w:r>
        <w:cr/>
        <w:t xml:space="preserve">Ali A., </w:t>
      </w:r>
      <w:proofErr w:type="spellStart"/>
      <w:r>
        <w:t>Naz</w:t>
      </w:r>
      <w:proofErr w:type="spellEnd"/>
      <w:r>
        <w:t xml:space="preserve"> S., Ahmad </w:t>
      </w:r>
      <w:proofErr w:type="spellStart"/>
      <w:r>
        <w:t>Siddiqui</w:t>
      </w:r>
      <w:proofErr w:type="spellEnd"/>
      <w:r>
        <w:t xml:space="preserve"> F., </w:t>
      </w:r>
      <w:proofErr w:type="spellStart"/>
      <w:r>
        <w:t>Iqbal</w:t>
      </w:r>
      <w:proofErr w:type="spellEnd"/>
      <w:r>
        <w:t xml:space="preserve">, J. (2001). </w:t>
      </w:r>
      <w:proofErr w:type="spellStart"/>
      <w:r>
        <w:t>Callogenesis</w:t>
      </w:r>
      <w:proofErr w:type="spellEnd"/>
      <w:r>
        <w:t xml:space="preserve">, embryogenesis and organogenesis in </w:t>
      </w:r>
      <w:proofErr w:type="spellStart"/>
      <w:proofErr w:type="gramStart"/>
      <w:r>
        <w:t>christmas</w:t>
      </w:r>
      <w:proofErr w:type="spellEnd"/>
      <w:proofErr w:type="gramEnd"/>
      <w:r>
        <w:t xml:space="preserve"> cactus (</w:t>
      </w:r>
      <w:proofErr w:type="spellStart"/>
      <w:r>
        <w:rPr>
          <w:i/>
        </w:rPr>
        <w:t>Schlumbegera</w:t>
      </w:r>
      <w:proofErr w:type="spellEnd"/>
      <w:r>
        <w:rPr>
          <w:i/>
        </w:rPr>
        <w:t xml:space="preserve"> </w:t>
      </w:r>
      <w:proofErr w:type="spellStart"/>
      <w:r>
        <w:rPr>
          <w:i/>
        </w:rPr>
        <w:t>br</w:t>
      </w:r>
      <w:r>
        <w:rPr>
          <w:i/>
        </w:rPr>
        <w:t>idesi</w:t>
      </w:r>
      <w:proofErr w:type="spellEnd"/>
      <w:r>
        <w:t>). Pakistan Journal of Botany, 33: 569-574.</w:t>
      </w:r>
    </w:p>
    <w:p w:rsidR="00000000" w:rsidRDefault="009E6419">
      <w:pPr>
        <w:spacing w:line="360" w:lineRule="auto"/>
      </w:pPr>
      <w:r>
        <w:t>Alvarado-</w:t>
      </w:r>
      <w:proofErr w:type="spellStart"/>
      <w:r>
        <w:t>Bárcenas</w:t>
      </w:r>
      <w:proofErr w:type="spellEnd"/>
      <w:r>
        <w:t xml:space="preserve"> E. (2008). </w:t>
      </w:r>
      <w:proofErr w:type="spellStart"/>
      <w:r>
        <w:t>Evaluación</w:t>
      </w:r>
      <w:proofErr w:type="spellEnd"/>
      <w:r>
        <w:t xml:space="preserve"> de </w:t>
      </w:r>
      <w:proofErr w:type="spellStart"/>
      <w:r>
        <w:t>tratamientos</w:t>
      </w:r>
      <w:proofErr w:type="spellEnd"/>
      <w:r>
        <w:t xml:space="preserve"> </w:t>
      </w:r>
      <w:proofErr w:type="spellStart"/>
      <w:r>
        <w:t>físicos</w:t>
      </w:r>
      <w:proofErr w:type="spellEnd"/>
      <w:r>
        <w:t xml:space="preserve"> y </w:t>
      </w:r>
      <w:proofErr w:type="spellStart"/>
      <w:r>
        <w:t>químicos</w:t>
      </w:r>
      <w:proofErr w:type="spellEnd"/>
      <w:r>
        <w:t xml:space="preserve"> en el </w:t>
      </w:r>
      <w:proofErr w:type="spellStart"/>
      <w:r>
        <w:t>proceso</w:t>
      </w:r>
      <w:proofErr w:type="spellEnd"/>
      <w:r>
        <w:t xml:space="preserve"> de </w:t>
      </w:r>
      <w:proofErr w:type="spellStart"/>
      <w:r>
        <w:t>germinación</w:t>
      </w:r>
      <w:proofErr w:type="spellEnd"/>
      <w:r>
        <w:t xml:space="preserve"> y </w:t>
      </w:r>
      <w:proofErr w:type="spellStart"/>
      <w:r>
        <w:t>establecimiento</w:t>
      </w:r>
      <w:proofErr w:type="spellEnd"/>
      <w:r>
        <w:t xml:space="preserve"> de </w:t>
      </w:r>
      <w:proofErr w:type="gramStart"/>
      <w:r>
        <w:t>un</w:t>
      </w:r>
      <w:proofErr w:type="gramEnd"/>
      <w:r>
        <w:t xml:space="preserve"> </w:t>
      </w:r>
      <w:proofErr w:type="spellStart"/>
      <w:r>
        <w:t>protocolo</w:t>
      </w:r>
      <w:proofErr w:type="spellEnd"/>
      <w:r>
        <w:t xml:space="preserve"> de </w:t>
      </w:r>
      <w:proofErr w:type="spellStart"/>
      <w:r>
        <w:t>micropropagación</w:t>
      </w:r>
      <w:proofErr w:type="spellEnd"/>
      <w:r>
        <w:t xml:space="preserve"> de </w:t>
      </w:r>
      <w:proofErr w:type="spellStart"/>
      <w:r>
        <w:rPr>
          <w:i/>
        </w:rPr>
        <w:t>Lophophora</w:t>
      </w:r>
      <w:proofErr w:type="spellEnd"/>
      <w:r>
        <w:rPr>
          <w:i/>
        </w:rPr>
        <w:t xml:space="preserve"> </w:t>
      </w:r>
      <w:proofErr w:type="spellStart"/>
      <w:r>
        <w:rPr>
          <w:i/>
        </w:rPr>
        <w:t>diffusa</w:t>
      </w:r>
      <w:proofErr w:type="spellEnd"/>
      <w:r>
        <w:rPr>
          <w:i/>
        </w:rPr>
        <w:t xml:space="preserve"> </w:t>
      </w:r>
      <w:r>
        <w:t>(</w:t>
      </w:r>
      <w:proofErr w:type="spellStart"/>
      <w:r>
        <w:t>cactácea</w:t>
      </w:r>
      <w:proofErr w:type="spellEnd"/>
      <w:r>
        <w:t xml:space="preserve">). </w:t>
      </w:r>
      <w:proofErr w:type="spellStart"/>
      <w:proofErr w:type="gramStart"/>
      <w:r>
        <w:t>Tesis</w:t>
      </w:r>
      <w:proofErr w:type="spellEnd"/>
      <w:r>
        <w:t xml:space="preserve"> de </w:t>
      </w:r>
      <w:proofErr w:type="spellStart"/>
      <w:r>
        <w:t>Maestr</w:t>
      </w:r>
      <w:r>
        <w:t>ía</w:t>
      </w:r>
      <w:proofErr w:type="spellEnd"/>
      <w:r>
        <w:t xml:space="preserve"> en </w:t>
      </w:r>
      <w:proofErr w:type="spellStart"/>
      <w:r>
        <w:t>Ciencias</w:t>
      </w:r>
      <w:proofErr w:type="spellEnd"/>
      <w:r>
        <w:t>.</w:t>
      </w:r>
      <w:proofErr w:type="gramEnd"/>
      <w:r>
        <w:t xml:space="preserve"> </w:t>
      </w:r>
      <w:proofErr w:type="spellStart"/>
      <w:r>
        <w:t>Instituto</w:t>
      </w:r>
      <w:proofErr w:type="spellEnd"/>
      <w:r>
        <w:t xml:space="preserve"> </w:t>
      </w:r>
      <w:proofErr w:type="spellStart"/>
      <w:r>
        <w:t>Tecnológico</w:t>
      </w:r>
      <w:proofErr w:type="spellEnd"/>
      <w:r>
        <w:t xml:space="preserve"> de </w:t>
      </w:r>
      <w:proofErr w:type="spellStart"/>
      <w:r>
        <w:t>Roque</w:t>
      </w:r>
      <w:proofErr w:type="spellEnd"/>
      <w:r>
        <w:t xml:space="preserve">. Celaya, </w:t>
      </w:r>
      <w:proofErr w:type="spellStart"/>
      <w:proofErr w:type="gramStart"/>
      <w:r>
        <w:t>Gto</w:t>
      </w:r>
      <w:proofErr w:type="spellEnd"/>
      <w:r>
        <w:t>.,</w:t>
      </w:r>
      <w:proofErr w:type="gramEnd"/>
      <w:r>
        <w:t xml:space="preserve"> México.</w:t>
      </w:r>
    </w:p>
    <w:p w:rsidR="00000000" w:rsidRDefault="009E6419">
      <w:pPr>
        <w:spacing w:line="360" w:lineRule="auto"/>
      </w:pPr>
      <w:proofErr w:type="gramStart"/>
      <w:r>
        <w:t>Anderson E.F. (2001).</w:t>
      </w:r>
      <w:proofErr w:type="gramEnd"/>
      <w:r>
        <w:t xml:space="preserve"> </w:t>
      </w:r>
      <w:proofErr w:type="gramStart"/>
      <w:r>
        <w:t>The Cactus Family.</w:t>
      </w:r>
      <w:proofErr w:type="gramEnd"/>
      <w:r>
        <w:t xml:space="preserve"> Timber Press, Portland, 776 pp.</w:t>
      </w:r>
      <w:r>
        <w:cr/>
      </w:r>
      <w:proofErr w:type="spellStart"/>
      <w:proofErr w:type="gramStart"/>
      <w:r>
        <w:t>Angulo-Bejarano</w:t>
      </w:r>
      <w:proofErr w:type="spellEnd"/>
      <w:r>
        <w:t xml:space="preserve"> P.I. and </w:t>
      </w:r>
      <w:proofErr w:type="spellStart"/>
      <w:r>
        <w:t>Paredes-López</w:t>
      </w:r>
      <w:proofErr w:type="spellEnd"/>
      <w:r>
        <w:t xml:space="preserve"> O. (2011).</w:t>
      </w:r>
      <w:proofErr w:type="gramEnd"/>
      <w:r>
        <w:t xml:space="preserve"> </w:t>
      </w:r>
      <w:proofErr w:type="gramStart"/>
      <w:r>
        <w:t>Development of a regeneration protocol through indirect organog</w:t>
      </w:r>
      <w:r>
        <w:t>enesis in prickly pear cactus (</w:t>
      </w:r>
      <w:proofErr w:type="spellStart"/>
      <w:r>
        <w:rPr>
          <w:i/>
        </w:rPr>
        <w:t>Opuntia</w:t>
      </w:r>
      <w:proofErr w:type="spellEnd"/>
      <w:r>
        <w:rPr>
          <w:i/>
        </w:rPr>
        <w:t xml:space="preserve"> </w:t>
      </w:r>
      <w:proofErr w:type="spellStart"/>
      <w:r>
        <w:rPr>
          <w:i/>
        </w:rPr>
        <w:t>ficus-indica</w:t>
      </w:r>
      <w:proofErr w:type="spellEnd"/>
      <w:r>
        <w:t xml:space="preserve"> (L.)</w:t>
      </w:r>
      <w:proofErr w:type="gramEnd"/>
      <w:r>
        <w:t xml:space="preserve"> </w:t>
      </w:r>
      <w:proofErr w:type="gramStart"/>
      <w:r>
        <w:t xml:space="preserve">Mill). </w:t>
      </w:r>
      <w:proofErr w:type="spellStart"/>
      <w:r>
        <w:t>Scientia</w:t>
      </w:r>
      <w:proofErr w:type="spellEnd"/>
      <w:r>
        <w:t xml:space="preserve"> </w:t>
      </w:r>
      <w:proofErr w:type="spellStart"/>
      <w:r>
        <w:t>Horticulturae</w:t>
      </w:r>
      <w:proofErr w:type="spellEnd"/>
      <w:r>
        <w:t>, 128: 283-288.</w:t>
      </w:r>
      <w:proofErr w:type="gramEnd"/>
      <w:r>
        <w:cr/>
      </w:r>
      <w:proofErr w:type="gramStart"/>
      <w:r>
        <w:t>Arias M.S. (1993).</w:t>
      </w:r>
      <w:proofErr w:type="gramEnd"/>
      <w:r>
        <w:t xml:space="preserve"> </w:t>
      </w:r>
      <w:proofErr w:type="spellStart"/>
      <w:r>
        <w:t>Cactáceas</w:t>
      </w:r>
      <w:proofErr w:type="spellEnd"/>
      <w:r>
        <w:t xml:space="preserve">: </w:t>
      </w:r>
      <w:proofErr w:type="spellStart"/>
      <w:r>
        <w:t>Conservación</w:t>
      </w:r>
      <w:proofErr w:type="spellEnd"/>
      <w:r>
        <w:t xml:space="preserve"> y </w:t>
      </w:r>
      <w:proofErr w:type="spellStart"/>
      <w:r>
        <w:t>diversidad</w:t>
      </w:r>
      <w:proofErr w:type="spellEnd"/>
      <w:r>
        <w:t xml:space="preserve"> en México. </w:t>
      </w:r>
      <w:proofErr w:type="spellStart"/>
      <w:r>
        <w:t>Revista</w:t>
      </w:r>
      <w:proofErr w:type="spellEnd"/>
      <w:r>
        <w:t xml:space="preserve"> de la </w:t>
      </w:r>
      <w:proofErr w:type="spellStart"/>
      <w:r>
        <w:t>Sociedad</w:t>
      </w:r>
      <w:proofErr w:type="spellEnd"/>
      <w:r>
        <w:t xml:space="preserve"> Mexicana de </w:t>
      </w:r>
      <w:proofErr w:type="spellStart"/>
      <w:r>
        <w:t>Historia</w:t>
      </w:r>
      <w:proofErr w:type="spellEnd"/>
      <w:r>
        <w:t xml:space="preserve"> Natural, XLIV: 109-115.</w:t>
      </w:r>
      <w:r>
        <w:cr/>
        <w:t>Ault J.R., Blackmon</w:t>
      </w:r>
      <w:r>
        <w:t xml:space="preserve"> W.J. (1987). </w:t>
      </w:r>
      <w:proofErr w:type="gramStart"/>
      <w:r>
        <w:rPr>
          <w:i/>
        </w:rPr>
        <w:t xml:space="preserve">In vitro </w:t>
      </w:r>
      <w:r>
        <w:t xml:space="preserve">propagation of </w:t>
      </w:r>
      <w:proofErr w:type="spellStart"/>
      <w:r>
        <w:rPr>
          <w:i/>
        </w:rPr>
        <w:t>Ferocactus</w:t>
      </w:r>
      <w:proofErr w:type="spellEnd"/>
      <w:r>
        <w:rPr>
          <w:i/>
        </w:rPr>
        <w:t xml:space="preserve"> </w:t>
      </w:r>
      <w:proofErr w:type="spellStart"/>
      <w:r>
        <w:rPr>
          <w:i/>
        </w:rPr>
        <w:t>acanthoides</w:t>
      </w:r>
      <w:proofErr w:type="spellEnd"/>
      <w:r>
        <w:rPr>
          <w:i/>
        </w:rPr>
        <w:t xml:space="preserve"> </w:t>
      </w:r>
      <w:r>
        <w:t>(</w:t>
      </w:r>
      <w:proofErr w:type="spellStart"/>
      <w:r>
        <w:t>Cactaceae</w:t>
      </w:r>
      <w:proofErr w:type="spellEnd"/>
      <w:r>
        <w:t>).</w:t>
      </w:r>
      <w:proofErr w:type="gramEnd"/>
      <w:r>
        <w:t xml:space="preserve"> </w:t>
      </w:r>
      <w:proofErr w:type="spellStart"/>
      <w:r>
        <w:t>HortScience</w:t>
      </w:r>
      <w:proofErr w:type="spellEnd"/>
      <w:r>
        <w:t>, 22: 126-127.</w:t>
      </w:r>
      <w:r>
        <w:cr/>
        <w:t xml:space="preserve">Barnett H.L., Hunter B.B. (1998). </w:t>
      </w:r>
      <w:proofErr w:type="gramStart"/>
      <w:r>
        <w:t>Illustrated Genera of Imperfect Fungi.</w:t>
      </w:r>
      <w:proofErr w:type="gramEnd"/>
      <w:r>
        <w:t xml:space="preserve"> </w:t>
      </w:r>
      <w:proofErr w:type="gramStart"/>
      <w:r>
        <w:t xml:space="preserve">The American </w:t>
      </w:r>
      <w:proofErr w:type="spellStart"/>
      <w:r>
        <w:t>Phytopathological</w:t>
      </w:r>
      <w:proofErr w:type="spellEnd"/>
      <w:r>
        <w:t xml:space="preserve"> Society, St. Paul, MN, 241 pp.</w:t>
      </w:r>
      <w:proofErr w:type="gramEnd"/>
      <w:r>
        <w:t xml:space="preserve"> </w:t>
      </w:r>
      <w:r>
        <w:rPr>
          <w:i/>
        </w:rPr>
        <w:cr/>
      </w:r>
      <w:r>
        <w:t xml:space="preserve">Brainerd K.E., </w:t>
      </w:r>
      <w:proofErr w:type="spellStart"/>
      <w:r>
        <w:t>Fuchi</w:t>
      </w:r>
      <w:r>
        <w:t>gami</w:t>
      </w:r>
      <w:proofErr w:type="spellEnd"/>
      <w:r>
        <w:t xml:space="preserve"> L.H. (1982). </w:t>
      </w:r>
      <w:proofErr w:type="spellStart"/>
      <w:r>
        <w:t>Stomatal</w:t>
      </w:r>
      <w:proofErr w:type="spellEnd"/>
      <w:r>
        <w:t xml:space="preserve"> functioning of </w:t>
      </w:r>
      <w:r>
        <w:rPr>
          <w:i/>
        </w:rPr>
        <w:t>in vitro</w:t>
      </w:r>
      <w:r>
        <w:t xml:space="preserve"> and greenhouse apple leaves in darkness, </w:t>
      </w:r>
      <w:proofErr w:type="spellStart"/>
      <w:r>
        <w:t>mannitol</w:t>
      </w:r>
      <w:proofErr w:type="spellEnd"/>
      <w:r>
        <w:t>, ABA, and CO</w:t>
      </w:r>
      <w:r>
        <w:rPr>
          <w:vertAlign w:val="subscript"/>
        </w:rPr>
        <w:t>2</w:t>
      </w:r>
      <w:r>
        <w:t>. Journal of Experimental Botany, 33: 388-392.</w:t>
      </w:r>
      <w:r>
        <w:cr/>
      </w:r>
      <w:proofErr w:type="gramStart"/>
      <w:r>
        <w:t>Bravo-Hollis H. (1978).</w:t>
      </w:r>
      <w:proofErr w:type="gramEnd"/>
      <w:r>
        <w:t xml:space="preserve"> </w:t>
      </w:r>
      <w:proofErr w:type="gramStart"/>
      <w:r>
        <w:t xml:space="preserve">Las </w:t>
      </w:r>
      <w:proofErr w:type="spellStart"/>
      <w:r>
        <w:t>cactáceas</w:t>
      </w:r>
      <w:proofErr w:type="spellEnd"/>
      <w:r>
        <w:t xml:space="preserve"> de México.</w:t>
      </w:r>
      <w:proofErr w:type="gramEnd"/>
      <w:r>
        <w:t xml:space="preserve"> </w:t>
      </w:r>
      <w:proofErr w:type="gramStart"/>
      <w:r>
        <w:t>Vol. 1.</w:t>
      </w:r>
      <w:proofErr w:type="gramEnd"/>
      <w:r>
        <w:t xml:space="preserve"> </w:t>
      </w:r>
      <w:proofErr w:type="gramStart"/>
      <w:r>
        <w:t xml:space="preserve">Editorial UNAM, México, D.F., Mexico, </w:t>
      </w:r>
      <w:r>
        <w:t>753 pp.</w:t>
      </w:r>
      <w:proofErr w:type="gramEnd"/>
      <w:r>
        <w:cr/>
      </w:r>
      <w:proofErr w:type="spellStart"/>
      <w:proofErr w:type="gramStart"/>
      <w:r>
        <w:t>Cardelli</w:t>
      </w:r>
      <w:proofErr w:type="spellEnd"/>
      <w:r>
        <w:t xml:space="preserve"> M., </w:t>
      </w:r>
      <w:proofErr w:type="spellStart"/>
      <w:r>
        <w:t>Borgognone</w:t>
      </w:r>
      <w:proofErr w:type="spellEnd"/>
      <w:r>
        <w:t xml:space="preserve"> D., </w:t>
      </w:r>
      <w:proofErr w:type="spellStart"/>
      <w:r>
        <w:t>Colla</w:t>
      </w:r>
      <w:proofErr w:type="spellEnd"/>
      <w:r>
        <w:t xml:space="preserve"> G. (2010).</w:t>
      </w:r>
      <w:proofErr w:type="gramEnd"/>
      <w:r>
        <w:t xml:space="preserve"> </w:t>
      </w:r>
      <w:proofErr w:type="gramStart"/>
      <w:r>
        <w:rPr>
          <w:i/>
        </w:rPr>
        <w:t xml:space="preserve">In vitro </w:t>
      </w:r>
      <w:r>
        <w:t xml:space="preserve">propagation of </w:t>
      </w:r>
      <w:proofErr w:type="spellStart"/>
      <w:r>
        <w:rPr>
          <w:i/>
        </w:rPr>
        <w:t>Obregonia</w:t>
      </w:r>
      <w:proofErr w:type="spellEnd"/>
      <w:r>
        <w:rPr>
          <w:i/>
        </w:rPr>
        <w:t xml:space="preserve"> </w:t>
      </w:r>
      <w:proofErr w:type="spellStart"/>
      <w:r>
        <w:rPr>
          <w:i/>
        </w:rPr>
        <w:t>denegrii</w:t>
      </w:r>
      <w:proofErr w:type="spellEnd"/>
      <w:r>
        <w:rPr>
          <w:i/>
        </w:rPr>
        <w:t xml:space="preserve"> </w:t>
      </w:r>
      <w:r>
        <w:lastRenderedPageBreak/>
        <w:t>Fri. (</w:t>
      </w:r>
      <w:proofErr w:type="spellStart"/>
      <w:r>
        <w:t>Cactaceae</w:t>
      </w:r>
      <w:proofErr w:type="spellEnd"/>
      <w:r>
        <w:t>).</w:t>
      </w:r>
      <w:proofErr w:type="gramEnd"/>
      <w:r>
        <w:t xml:space="preserve"> Propagation of Ornamental Plants, 10: 29-36.</w:t>
      </w:r>
      <w:r>
        <w:cr/>
      </w:r>
      <w:proofErr w:type="spellStart"/>
      <w:proofErr w:type="gramStart"/>
      <w:r>
        <w:t>Choreño</w:t>
      </w:r>
      <w:proofErr w:type="spellEnd"/>
      <w:r>
        <w:t xml:space="preserve">-Tapia J.M., </w:t>
      </w:r>
      <w:proofErr w:type="spellStart"/>
      <w:r>
        <w:t>González</w:t>
      </w:r>
      <w:proofErr w:type="spellEnd"/>
      <w:r>
        <w:t xml:space="preserve">-Rosas H., </w:t>
      </w:r>
      <w:proofErr w:type="spellStart"/>
      <w:r>
        <w:t>Terrazas</w:t>
      </w:r>
      <w:proofErr w:type="spellEnd"/>
      <w:r>
        <w:t xml:space="preserve">-Salgado T., </w:t>
      </w:r>
      <w:proofErr w:type="spellStart"/>
      <w:r>
        <w:t>Hernández-Livera</w:t>
      </w:r>
      <w:proofErr w:type="spellEnd"/>
      <w:r>
        <w:t xml:space="preserve"> A. (2002).</w:t>
      </w:r>
      <w:proofErr w:type="gramEnd"/>
      <w:r>
        <w:t xml:space="preserve"> </w:t>
      </w:r>
      <w:proofErr w:type="spellStart"/>
      <w:proofErr w:type="gramStart"/>
      <w:r>
        <w:t>Propagaci</w:t>
      </w:r>
      <w:r>
        <w:t>ón</w:t>
      </w:r>
      <w:proofErr w:type="spellEnd"/>
      <w:r>
        <w:t xml:space="preserve"> </w:t>
      </w:r>
      <w:r>
        <w:rPr>
          <w:i/>
        </w:rPr>
        <w:t xml:space="preserve">in vitro </w:t>
      </w:r>
      <w:r>
        <w:t xml:space="preserve">de </w:t>
      </w:r>
      <w:proofErr w:type="spellStart"/>
      <w:r>
        <w:rPr>
          <w:i/>
        </w:rPr>
        <w:t>Cephalocereus</w:t>
      </w:r>
      <w:proofErr w:type="spellEnd"/>
      <w:r>
        <w:rPr>
          <w:i/>
        </w:rPr>
        <w:t xml:space="preserve"> </w:t>
      </w:r>
      <w:proofErr w:type="spellStart"/>
      <w:r>
        <w:rPr>
          <w:i/>
        </w:rPr>
        <w:t>senilis</w:t>
      </w:r>
      <w:proofErr w:type="spellEnd"/>
      <w:r>
        <w:rPr>
          <w:i/>
        </w:rPr>
        <w:t xml:space="preserve"> </w:t>
      </w:r>
      <w:r>
        <w:t xml:space="preserve">Haworth Pfeiffer a </w:t>
      </w:r>
      <w:proofErr w:type="spellStart"/>
      <w:r>
        <w:t>partir</w:t>
      </w:r>
      <w:proofErr w:type="spellEnd"/>
      <w:r>
        <w:t xml:space="preserve"> de </w:t>
      </w:r>
      <w:proofErr w:type="spellStart"/>
      <w:r>
        <w:t>aréolas</w:t>
      </w:r>
      <w:proofErr w:type="spellEnd"/>
      <w:r>
        <w:t>.</w:t>
      </w:r>
      <w:proofErr w:type="gramEnd"/>
      <w:r>
        <w:t xml:space="preserve"> </w:t>
      </w:r>
      <w:proofErr w:type="spellStart"/>
      <w:r>
        <w:t>Revista</w:t>
      </w:r>
      <w:proofErr w:type="spellEnd"/>
      <w:r>
        <w:t xml:space="preserve"> </w:t>
      </w:r>
      <w:proofErr w:type="spellStart"/>
      <w:r>
        <w:t>Chapingo</w:t>
      </w:r>
      <w:proofErr w:type="spellEnd"/>
      <w:r>
        <w:t xml:space="preserve"> </w:t>
      </w:r>
      <w:proofErr w:type="spellStart"/>
      <w:r>
        <w:t>Serie</w:t>
      </w:r>
      <w:proofErr w:type="spellEnd"/>
      <w:r>
        <w:t xml:space="preserve"> </w:t>
      </w:r>
      <w:proofErr w:type="spellStart"/>
      <w:r>
        <w:t>Horticultura</w:t>
      </w:r>
      <w:proofErr w:type="spellEnd"/>
      <w:r>
        <w:t>, 8: 183-196.</w:t>
      </w:r>
      <w:r>
        <w:cr/>
      </w:r>
      <w:proofErr w:type="gramStart"/>
      <w:r>
        <w:t xml:space="preserve">Clayton P., </w:t>
      </w:r>
      <w:proofErr w:type="spellStart"/>
      <w:r>
        <w:t>Hubstenbert</w:t>
      </w:r>
      <w:proofErr w:type="spellEnd"/>
      <w:r>
        <w:t xml:space="preserve"> J., Phillips G., Butler S. (1990).</w:t>
      </w:r>
      <w:proofErr w:type="gramEnd"/>
      <w:r>
        <w:t xml:space="preserve"> </w:t>
      </w:r>
      <w:proofErr w:type="spellStart"/>
      <w:proofErr w:type="gramStart"/>
      <w:r>
        <w:t>Micropropagation</w:t>
      </w:r>
      <w:proofErr w:type="spellEnd"/>
      <w:r>
        <w:t xml:space="preserve"> of members of the </w:t>
      </w:r>
      <w:proofErr w:type="spellStart"/>
      <w:r>
        <w:t>Cactaceae</w:t>
      </w:r>
      <w:proofErr w:type="spellEnd"/>
      <w:r>
        <w:t xml:space="preserve"> </w:t>
      </w:r>
      <w:proofErr w:type="spellStart"/>
      <w:r>
        <w:t>Subtride</w:t>
      </w:r>
      <w:proofErr w:type="spellEnd"/>
      <w:r>
        <w:t xml:space="preserve"> </w:t>
      </w:r>
      <w:proofErr w:type="spellStart"/>
      <w:r>
        <w:t>Cactinae</w:t>
      </w:r>
      <w:proofErr w:type="spellEnd"/>
      <w:r>
        <w:t>.</w:t>
      </w:r>
      <w:proofErr w:type="gramEnd"/>
      <w:r>
        <w:t xml:space="preserve"> </w:t>
      </w:r>
      <w:proofErr w:type="spellStart"/>
      <w:r>
        <w:t>HortScien</w:t>
      </w:r>
      <w:r>
        <w:t>ce</w:t>
      </w:r>
      <w:proofErr w:type="spellEnd"/>
      <w:r>
        <w:t>, 115: 337-343.</w:t>
      </w:r>
      <w:r>
        <w:cr/>
      </w:r>
      <w:proofErr w:type="spellStart"/>
      <w:r>
        <w:t>Comisión</w:t>
      </w:r>
      <w:proofErr w:type="spellEnd"/>
      <w:r>
        <w:t xml:space="preserve"> </w:t>
      </w:r>
      <w:proofErr w:type="spellStart"/>
      <w:r>
        <w:t>Nacional</w:t>
      </w:r>
      <w:proofErr w:type="spellEnd"/>
      <w:r>
        <w:t xml:space="preserve"> </w:t>
      </w:r>
      <w:proofErr w:type="spellStart"/>
      <w:r>
        <w:t>para</w:t>
      </w:r>
      <w:proofErr w:type="spellEnd"/>
      <w:r>
        <w:t xml:space="preserve"> el </w:t>
      </w:r>
      <w:proofErr w:type="spellStart"/>
      <w:r>
        <w:t>Conocimiento</w:t>
      </w:r>
      <w:proofErr w:type="spellEnd"/>
      <w:r>
        <w:t xml:space="preserve"> y </w:t>
      </w:r>
      <w:proofErr w:type="spellStart"/>
      <w:proofErr w:type="gramStart"/>
      <w:r>
        <w:t>Uso</w:t>
      </w:r>
      <w:proofErr w:type="spellEnd"/>
      <w:r>
        <w:t xml:space="preserve"> de la</w:t>
      </w:r>
      <w:proofErr w:type="gramEnd"/>
      <w:r>
        <w:t xml:space="preserve"> </w:t>
      </w:r>
      <w:proofErr w:type="spellStart"/>
      <w:r>
        <w:t>Biodiversidad</w:t>
      </w:r>
      <w:proofErr w:type="spellEnd"/>
      <w:r>
        <w:t xml:space="preserve"> (CONABIO) (1997). </w:t>
      </w:r>
      <w:proofErr w:type="spellStart"/>
      <w:proofErr w:type="gramStart"/>
      <w:r>
        <w:t>Cactáceas</w:t>
      </w:r>
      <w:proofErr w:type="spellEnd"/>
      <w:r>
        <w:t xml:space="preserve"> y </w:t>
      </w:r>
      <w:proofErr w:type="spellStart"/>
      <w:r>
        <w:t>Suculentas</w:t>
      </w:r>
      <w:proofErr w:type="spellEnd"/>
      <w:r>
        <w:t xml:space="preserve"> </w:t>
      </w:r>
      <w:proofErr w:type="spellStart"/>
      <w:r>
        <w:t>Mexicanas</w:t>
      </w:r>
      <w:proofErr w:type="spellEnd"/>
      <w:r>
        <w:t>.</w:t>
      </w:r>
      <w:proofErr w:type="gramEnd"/>
      <w:r>
        <w:t xml:space="preserve"> Editorial </w:t>
      </w:r>
      <w:proofErr w:type="spellStart"/>
      <w:r>
        <w:t>Publicaciones</w:t>
      </w:r>
      <w:proofErr w:type="spellEnd"/>
      <w:r>
        <w:t>, CVS. México, D.F., Mexico, 141 pp.</w:t>
      </w:r>
      <w:r>
        <w:cr/>
      </w:r>
      <w:proofErr w:type="spellStart"/>
      <w:proofErr w:type="gramStart"/>
      <w:r>
        <w:t>Cullmann</w:t>
      </w:r>
      <w:proofErr w:type="spellEnd"/>
      <w:r>
        <w:t xml:space="preserve"> W., </w:t>
      </w:r>
      <w:proofErr w:type="spellStart"/>
      <w:r>
        <w:t>Göetz</w:t>
      </w:r>
      <w:proofErr w:type="spellEnd"/>
      <w:r>
        <w:t xml:space="preserve"> E., </w:t>
      </w:r>
      <w:proofErr w:type="spellStart"/>
      <w:r>
        <w:t>Gröener</w:t>
      </w:r>
      <w:proofErr w:type="spellEnd"/>
      <w:r>
        <w:t xml:space="preserve"> G., (1986).</w:t>
      </w:r>
      <w:proofErr w:type="gramEnd"/>
      <w:r>
        <w:t xml:space="preserve"> </w:t>
      </w:r>
      <w:proofErr w:type="gramStart"/>
      <w:r>
        <w:t>The Encyclopedia o</w:t>
      </w:r>
      <w:r>
        <w:t>f Cacti.</w:t>
      </w:r>
      <w:proofErr w:type="gramEnd"/>
      <w:r>
        <w:t xml:space="preserve"> Timber Press, Portland, 690 pp. </w:t>
      </w:r>
      <w:r>
        <w:cr/>
      </w:r>
      <w:proofErr w:type="spellStart"/>
      <w:r>
        <w:t>Dabekaussen</w:t>
      </w:r>
      <w:proofErr w:type="spellEnd"/>
      <w:r>
        <w:t xml:space="preserve"> A., </w:t>
      </w:r>
      <w:proofErr w:type="spellStart"/>
      <w:r>
        <w:t>Pierik</w:t>
      </w:r>
      <w:proofErr w:type="spellEnd"/>
      <w:r>
        <w:t xml:space="preserve"> M., Hock J. (1991). Factors affecting areole activation </w:t>
      </w:r>
      <w:r>
        <w:rPr>
          <w:i/>
        </w:rPr>
        <w:t xml:space="preserve">in vitro </w:t>
      </w:r>
      <w:r>
        <w:t xml:space="preserve">in the cactus </w:t>
      </w:r>
      <w:proofErr w:type="spellStart"/>
      <w:r>
        <w:rPr>
          <w:i/>
        </w:rPr>
        <w:t>Sulcorebutia</w:t>
      </w:r>
      <w:proofErr w:type="spellEnd"/>
      <w:r>
        <w:rPr>
          <w:i/>
        </w:rPr>
        <w:t xml:space="preserve"> </w:t>
      </w:r>
      <w:proofErr w:type="gramStart"/>
      <w:r>
        <w:rPr>
          <w:i/>
        </w:rPr>
        <w:t>alba</w:t>
      </w:r>
      <w:proofErr w:type="gramEnd"/>
      <w:r>
        <w:rPr>
          <w:i/>
        </w:rPr>
        <w:t xml:space="preserve"> </w:t>
      </w:r>
      <w:r>
        <w:t xml:space="preserve">Rausch. </w:t>
      </w:r>
      <w:proofErr w:type="spellStart"/>
      <w:r>
        <w:t>Scientia</w:t>
      </w:r>
      <w:proofErr w:type="spellEnd"/>
      <w:r>
        <w:t xml:space="preserve"> </w:t>
      </w:r>
      <w:proofErr w:type="spellStart"/>
      <w:r>
        <w:t>Horticulturae</w:t>
      </w:r>
      <w:proofErr w:type="spellEnd"/>
      <w:r>
        <w:t>, 46: 283-294.</w:t>
      </w:r>
      <w:r>
        <w:cr/>
        <w:t>Davies P.J. (1995). Plant Hormones: Physiology, B</w:t>
      </w:r>
      <w:r>
        <w:t xml:space="preserve">iochemistry and Molecular Biology. </w:t>
      </w:r>
      <w:proofErr w:type="spellStart"/>
      <w:r>
        <w:t>Kluwer</w:t>
      </w:r>
      <w:proofErr w:type="spellEnd"/>
      <w:r>
        <w:t xml:space="preserve"> Academic Pub., </w:t>
      </w:r>
      <w:proofErr w:type="gramStart"/>
      <w:r>
        <w:t>The</w:t>
      </w:r>
      <w:proofErr w:type="gramEnd"/>
      <w:r>
        <w:t xml:space="preserve"> Netherlands, 846 pp.</w:t>
      </w:r>
      <w:r>
        <w:cr/>
      </w:r>
      <w:proofErr w:type="spellStart"/>
      <w:r>
        <w:t>Dávila</w:t>
      </w:r>
      <w:proofErr w:type="spellEnd"/>
      <w:r>
        <w:t xml:space="preserve">-Figueroa C.A., De La Rosa-Carrillo M.L., </w:t>
      </w:r>
      <w:proofErr w:type="spellStart"/>
      <w:r>
        <w:t>Pérez</w:t>
      </w:r>
      <w:proofErr w:type="spellEnd"/>
      <w:r>
        <w:t>-</w:t>
      </w:r>
      <w:proofErr w:type="spellStart"/>
      <w:r>
        <w:t>Molphe</w:t>
      </w:r>
      <w:proofErr w:type="spellEnd"/>
      <w:r>
        <w:t xml:space="preserve">-Balch. </w:t>
      </w:r>
      <w:proofErr w:type="gramStart"/>
      <w:r>
        <w:t xml:space="preserve">(2005). </w:t>
      </w:r>
      <w:r>
        <w:rPr>
          <w:i/>
        </w:rPr>
        <w:t>In vitro</w:t>
      </w:r>
      <w:r>
        <w:t xml:space="preserve"> propagation of eight species or subspecies of </w:t>
      </w:r>
      <w:proofErr w:type="spellStart"/>
      <w:r>
        <w:rPr>
          <w:i/>
        </w:rPr>
        <w:t>Turbinicarpus</w:t>
      </w:r>
      <w:proofErr w:type="spellEnd"/>
      <w:r>
        <w:rPr>
          <w:i/>
        </w:rPr>
        <w:t xml:space="preserve"> </w:t>
      </w:r>
      <w:r>
        <w:t>(</w:t>
      </w:r>
      <w:proofErr w:type="spellStart"/>
      <w:r>
        <w:t>Cactaceae</w:t>
      </w:r>
      <w:proofErr w:type="spellEnd"/>
      <w:r>
        <w:t>).</w:t>
      </w:r>
      <w:proofErr w:type="gramEnd"/>
      <w:r>
        <w:t xml:space="preserve"> </w:t>
      </w:r>
      <w:r>
        <w:rPr>
          <w:i/>
        </w:rPr>
        <w:t xml:space="preserve">In Vitro </w:t>
      </w:r>
      <w:r>
        <w:t>Cellula</w:t>
      </w:r>
      <w:r>
        <w:t>r and Developmental Biology-Plant, 41: 540-545.</w:t>
      </w:r>
      <w:r>
        <w:cr/>
      </w:r>
      <w:proofErr w:type="spellStart"/>
      <w:proofErr w:type="gramStart"/>
      <w:r>
        <w:t>Díaz-Pérez</w:t>
      </w:r>
      <w:proofErr w:type="spellEnd"/>
      <w:r>
        <w:t xml:space="preserve"> J.C., </w:t>
      </w:r>
      <w:proofErr w:type="spellStart"/>
      <w:r>
        <w:t>Shackel</w:t>
      </w:r>
      <w:proofErr w:type="spellEnd"/>
      <w:r>
        <w:t xml:space="preserve"> K., Sutter E.G. (1995).</w:t>
      </w:r>
      <w:proofErr w:type="gramEnd"/>
      <w:r>
        <w:t xml:space="preserve"> </w:t>
      </w:r>
      <w:proofErr w:type="gramStart"/>
      <w:r>
        <w:t xml:space="preserve">Effect of </w:t>
      </w:r>
      <w:r>
        <w:rPr>
          <w:i/>
        </w:rPr>
        <w:t>in vitro</w:t>
      </w:r>
      <w:r>
        <w:t>-formed roots and acclimatization on water status and gas exchange of tissue-cultured apple shoots.</w:t>
      </w:r>
      <w:proofErr w:type="gramEnd"/>
      <w:r>
        <w:t xml:space="preserve"> Journal of the American Society for Horti</w:t>
      </w:r>
      <w:r>
        <w:t>cultural Sciences, 120: 435–440.</w:t>
      </w:r>
      <w:r>
        <w:cr/>
        <w:t>Escobar H.A., Villalobos V.M., Villegas A. (1986).</w:t>
      </w:r>
      <w:r>
        <w:rPr>
          <w:i/>
        </w:rPr>
        <w:t xml:space="preserve"> </w:t>
      </w:r>
      <w:proofErr w:type="spellStart"/>
      <w:proofErr w:type="gramStart"/>
      <w:r>
        <w:rPr>
          <w:i/>
        </w:rPr>
        <w:t>Opuntia</w:t>
      </w:r>
      <w:proofErr w:type="spellEnd"/>
      <w:r>
        <w:t xml:space="preserve"> </w:t>
      </w:r>
      <w:proofErr w:type="spellStart"/>
      <w:r>
        <w:t>micropropagation</w:t>
      </w:r>
      <w:proofErr w:type="spellEnd"/>
      <w:r>
        <w:t xml:space="preserve"> by </w:t>
      </w:r>
      <w:proofErr w:type="spellStart"/>
      <w:r>
        <w:t>axillary</w:t>
      </w:r>
      <w:proofErr w:type="spellEnd"/>
      <w:r>
        <w:t xml:space="preserve"> proliferation.</w:t>
      </w:r>
      <w:proofErr w:type="gramEnd"/>
      <w:r>
        <w:t xml:space="preserve"> Plant Cell Tissue and Organ Culture, 7: 269-277.</w:t>
      </w:r>
      <w:r>
        <w:cr/>
        <w:t xml:space="preserve">Estrada-Luna A.A. (1988). </w:t>
      </w:r>
      <w:proofErr w:type="spellStart"/>
      <w:r>
        <w:t>Producción</w:t>
      </w:r>
      <w:proofErr w:type="spellEnd"/>
      <w:r>
        <w:t xml:space="preserve"> de </w:t>
      </w:r>
      <w:proofErr w:type="spellStart"/>
      <w:r>
        <w:t>brotes</w:t>
      </w:r>
      <w:proofErr w:type="spellEnd"/>
      <w:r>
        <w:t xml:space="preserve"> e </w:t>
      </w:r>
      <w:proofErr w:type="spellStart"/>
      <w:r>
        <w:t>injertación</w:t>
      </w:r>
      <w:proofErr w:type="spellEnd"/>
      <w:r>
        <w:t xml:space="preserve"> </w:t>
      </w:r>
      <w:r>
        <w:rPr>
          <w:i/>
        </w:rPr>
        <w:t xml:space="preserve">in vitro </w:t>
      </w:r>
      <w:r>
        <w:t>d</w:t>
      </w:r>
      <w:r>
        <w:t xml:space="preserve">e </w:t>
      </w:r>
      <w:proofErr w:type="spellStart"/>
      <w:r>
        <w:t>seis</w:t>
      </w:r>
      <w:proofErr w:type="spellEnd"/>
      <w:r>
        <w:t xml:space="preserve"> </w:t>
      </w:r>
      <w:proofErr w:type="spellStart"/>
      <w:r>
        <w:t>especies</w:t>
      </w:r>
      <w:proofErr w:type="spellEnd"/>
      <w:r>
        <w:t xml:space="preserve"> de </w:t>
      </w:r>
      <w:proofErr w:type="spellStart"/>
      <w:r>
        <w:t>nopal</w:t>
      </w:r>
      <w:proofErr w:type="spellEnd"/>
      <w:r>
        <w:t xml:space="preserve"> (</w:t>
      </w:r>
      <w:proofErr w:type="spellStart"/>
      <w:r>
        <w:rPr>
          <w:i/>
        </w:rPr>
        <w:t>Opuntia</w:t>
      </w:r>
      <w:proofErr w:type="spellEnd"/>
      <w:r>
        <w:rPr>
          <w:i/>
        </w:rPr>
        <w:t xml:space="preserve"> </w:t>
      </w:r>
      <w:proofErr w:type="spellStart"/>
      <w:r>
        <w:rPr>
          <w:i/>
        </w:rPr>
        <w:t>spp</w:t>
      </w:r>
      <w:proofErr w:type="spellEnd"/>
      <w:r>
        <w:t xml:space="preserve">) </w:t>
      </w:r>
      <w:proofErr w:type="spellStart"/>
      <w:r>
        <w:t>originarias</w:t>
      </w:r>
      <w:proofErr w:type="spellEnd"/>
      <w:r>
        <w:t xml:space="preserve"> </w:t>
      </w:r>
      <w:proofErr w:type="gramStart"/>
      <w:r>
        <w:t>del</w:t>
      </w:r>
      <w:proofErr w:type="gramEnd"/>
      <w:r>
        <w:t xml:space="preserve"> </w:t>
      </w:r>
      <w:proofErr w:type="spellStart"/>
      <w:r>
        <w:t>Altiplano</w:t>
      </w:r>
      <w:proofErr w:type="spellEnd"/>
      <w:r>
        <w:t xml:space="preserve"> </w:t>
      </w:r>
      <w:proofErr w:type="spellStart"/>
      <w:r>
        <w:t>Potosino-Zacatecano</w:t>
      </w:r>
      <w:proofErr w:type="spellEnd"/>
      <w:r>
        <w:t xml:space="preserve">. </w:t>
      </w:r>
      <w:proofErr w:type="spellStart"/>
      <w:proofErr w:type="gramStart"/>
      <w:r>
        <w:t>Tesis</w:t>
      </w:r>
      <w:proofErr w:type="spellEnd"/>
      <w:r>
        <w:t xml:space="preserve"> de </w:t>
      </w:r>
      <w:proofErr w:type="spellStart"/>
      <w:r>
        <w:t>Maestría</w:t>
      </w:r>
      <w:proofErr w:type="spellEnd"/>
      <w:r>
        <w:t xml:space="preserve"> en </w:t>
      </w:r>
      <w:proofErr w:type="spellStart"/>
      <w:r>
        <w:t>Ciencias</w:t>
      </w:r>
      <w:proofErr w:type="spellEnd"/>
      <w:r>
        <w:t>.</w:t>
      </w:r>
      <w:proofErr w:type="gramEnd"/>
      <w:r>
        <w:t xml:space="preserve"> </w:t>
      </w:r>
      <w:proofErr w:type="spellStart"/>
      <w:r>
        <w:t>Colegio</w:t>
      </w:r>
      <w:proofErr w:type="spellEnd"/>
      <w:r>
        <w:t xml:space="preserve"> de </w:t>
      </w:r>
      <w:proofErr w:type="spellStart"/>
      <w:r>
        <w:t>Postgraduados</w:t>
      </w:r>
      <w:proofErr w:type="spellEnd"/>
      <w:r>
        <w:t xml:space="preserve">. </w:t>
      </w:r>
      <w:proofErr w:type="spellStart"/>
      <w:r>
        <w:t>Montecillo</w:t>
      </w:r>
      <w:proofErr w:type="spellEnd"/>
      <w:r>
        <w:t xml:space="preserve">, Edo. </w:t>
      </w:r>
      <w:proofErr w:type="gramStart"/>
      <w:r>
        <w:t>de</w:t>
      </w:r>
      <w:proofErr w:type="gramEnd"/>
      <w:r>
        <w:t xml:space="preserve"> México, Mexico, 160 pp. </w:t>
      </w:r>
      <w:r>
        <w:cr/>
        <w:t xml:space="preserve"> </w:t>
      </w:r>
      <w:proofErr w:type="gramStart"/>
      <w:r>
        <w:t xml:space="preserve">Estrada-Luna A.A., Davies F.T. Jr., </w:t>
      </w:r>
      <w:proofErr w:type="spellStart"/>
      <w:r>
        <w:t>Egilla</w:t>
      </w:r>
      <w:proofErr w:type="spellEnd"/>
      <w:r>
        <w:t xml:space="preserve"> J.N. (2000).</w:t>
      </w:r>
      <w:proofErr w:type="gramEnd"/>
      <w:r>
        <w:t xml:space="preserve"> </w:t>
      </w:r>
      <w:proofErr w:type="spellStart"/>
      <w:proofErr w:type="gramStart"/>
      <w:r>
        <w:t>Mycorrhizal</w:t>
      </w:r>
      <w:proofErr w:type="spellEnd"/>
      <w:r>
        <w:t xml:space="preserve"> fungi enhancement of growth and gas exchange of </w:t>
      </w:r>
      <w:proofErr w:type="spellStart"/>
      <w:r>
        <w:t>micropropagated</w:t>
      </w:r>
      <w:proofErr w:type="spellEnd"/>
      <w:r>
        <w:t xml:space="preserve"> guava plantlets (</w:t>
      </w:r>
      <w:proofErr w:type="spellStart"/>
      <w:r>
        <w:rPr>
          <w:i/>
        </w:rPr>
        <w:t>Psidium</w:t>
      </w:r>
      <w:proofErr w:type="spellEnd"/>
      <w:r>
        <w:rPr>
          <w:i/>
        </w:rPr>
        <w:t xml:space="preserve"> </w:t>
      </w:r>
      <w:proofErr w:type="spellStart"/>
      <w:r>
        <w:rPr>
          <w:i/>
        </w:rPr>
        <w:t>guajava</w:t>
      </w:r>
      <w:proofErr w:type="spellEnd"/>
      <w:r>
        <w:rPr>
          <w:i/>
        </w:rPr>
        <w:t xml:space="preserve"> </w:t>
      </w:r>
      <w:r>
        <w:t xml:space="preserve">L.) during </w:t>
      </w:r>
      <w:r>
        <w:rPr>
          <w:i/>
        </w:rPr>
        <w:t xml:space="preserve">ex vitro </w:t>
      </w:r>
      <w:r>
        <w:t>acclimatization and plant establishment.</w:t>
      </w:r>
      <w:proofErr w:type="gramEnd"/>
      <w:r>
        <w:t xml:space="preserve"> </w:t>
      </w:r>
      <w:proofErr w:type="spellStart"/>
      <w:r>
        <w:t>Mycorrhiza</w:t>
      </w:r>
      <w:proofErr w:type="spellEnd"/>
      <w:r>
        <w:t>, 10: 1–8.</w:t>
      </w:r>
      <w:r>
        <w:cr/>
        <w:t xml:space="preserve"> </w:t>
      </w:r>
      <w:proofErr w:type="gramStart"/>
      <w:r>
        <w:t xml:space="preserve">Estrada-Luna A.A., </w:t>
      </w:r>
      <w:proofErr w:type="spellStart"/>
      <w:r>
        <w:t>López</w:t>
      </w:r>
      <w:proofErr w:type="spellEnd"/>
      <w:r>
        <w:t>-Peralta C., Cárdenas-Soriano E. (2002).</w:t>
      </w:r>
      <w:proofErr w:type="gramEnd"/>
      <w:r>
        <w:t xml:space="preserve"> </w:t>
      </w:r>
      <w:proofErr w:type="gramStart"/>
      <w:r>
        <w:rPr>
          <w:i/>
        </w:rPr>
        <w:t xml:space="preserve">In vitro </w:t>
      </w:r>
      <w:proofErr w:type="spellStart"/>
      <w:r>
        <w:t>m</w:t>
      </w:r>
      <w:r>
        <w:t>icrografting</w:t>
      </w:r>
      <w:proofErr w:type="spellEnd"/>
      <w:r>
        <w:t xml:space="preserve"> and the histology of graft union formation of selected species of prickly pear cactus </w:t>
      </w:r>
      <w:r>
        <w:lastRenderedPageBreak/>
        <w:t>(</w:t>
      </w:r>
      <w:proofErr w:type="spellStart"/>
      <w:r>
        <w:rPr>
          <w:i/>
        </w:rPr>
        <w:t>Opuntia</w:t>
      </w:r>
      <w:proofErr w:type="spellEnd"/>
      <w:r>
        <w:rPr>
          <w:i/>
        </w:rPr>
        <w:t xml:space="preserve"> spp.</w:t>
      </w:r>
      <w:r>
        <w:t>).</w:t>
      </w:r>
      <w:proofErr w:type="gramEnd"/>
      <w:r>
        <w:t xml:space="preserve"> </w:t>
      </w:r>
      <w:proofErr w:type="spellStart"/>
      <w:r>
        <w:t>Scientia</w:t>
      </w:r>
      <w:proofErr w:type="spellEnd"/>
      <w:r>
        <w:t xml:space="preserve"> </w:t>
      </w:r>
      <w:proofErr w:type="spellStart"/>
      <w:r>
        <w:t>Horticulturae</w:t>
      </w:r>
      <w:proofErr w:type="spellEnd"/>
      <w:r>
        <w:t xml:space="preserve">, 92: 317-327.  </w:t>
      </w:r>
      <w:r>
        <w:rPr>
          <w:u w:val="single"/>
        </w:rPr>
        <w:cr/>
      </w:r>
      <w:r>
        <w:t xml:space="preserve"> </w:t>
      </w:r>
      <w:proofErr w:type="gramStart"/>
      <w:r>
        <w:t>Estrada-Luna A.A., Davies F.T. Jr. (2003).</w:t>
      </w:r>
      <w:proofErr w:type="gramEnd"/>
      <w:r>
        <w:t xml:space="preserve"> </w:t>
      </w:r>
      <w:proofErr w:type="spellStart"/>
      <w:r>
        <w:t>Arbuscular</w:t>
      </w:r>
      <w:proofErr w:type="spellEnd"/>
      <w:r>
        <w:t xml:space="preserve"> </w:t>
      </w:r>
      <w:proofErr w:type="spellStart"/>
      <w:r>
        <w:t>mycorrhizal</w:t>
      </w:r>
      <w:proofErr w:type="spellEnd"/>
      <w:r>
        <w:t xml:space="preserve"> fungi influence water relations, ga</w:t>
      </w:r>
      <w:r>
        <w:t xml:space="preserve">s exchange, </w:t>
      </w:r>
      <w:proofErr w:type="spellStart"/>
      <w:r>
        <w:t>abscicid</w:t>
      </w:r>
      <w:proofErr w:type="spellEnd"/>
      <w:r>
        <w:t xml:space="preserve"> acid and growth of </w:t>
      </w:r>
      <w:proofErr w:type="spellStart"/>
      <w:r>
        <w:t>micropropagated</w:t>
      </w:r>
      <w:proofErr w:type="spellEnd"/>
      <w:r>
        <w:t xml:space="preserve"> </w:t>
      </w:r>
      <w:proofErr w:type="spellStart"/>
      <w:r>
        <w:t>chile</w:t>
      </w:r>
      <w:proofErr w:type="spellEnd"/>
      <w:r>
        <w:t xml:space="preserve"> </w:t>
      </w:r>
      <w:proofErr w:type="spellStart"/>
      <w:r>
        <w:t>ancho</w:t>
      </w:r>
      <w:proofErr w:type="spellEnd"/>
      <w:r>
        <w:t xml:space="preserve"> pepper (</w:t>
      </w:r>
      <w:r>
        <w:rPr>
          <w:i/>
        </w:rPr>
        <w:t xml:space="preserve">Capsicum </w:t>
      </w:r>
      <w:proofErr w:type="spellStart"/>
      <w:r>
        <w:rPr>
          <w:i/>
        </w:rPr>
        <w:t>annuum</w:t>
      </w:r>
      <w:proofErr w:type="spellEnd"/>
      <w:r>
        <w:t>) plantlets during</w:t>
      </w:r>
      <w:r>
        <w:rPr>
          <w:i/>
        </w:rPr>
        <w:t xml:space="preserve"> </w:t>
      </w:r>
      <w:r>
        <w:t>acclimatization. Journal of Plant Physiology, 160: 1073–1083.</w:t>
      </w:r>
      <w:r>
        <w:cr/>
        <w:t xml:space="preserve"> </w:t>
      </w:r>
      <w:proofErr w:type="gramStart"/>
      <w:r>
        <w:t xml:space="preserve">Estrada-Luna A.A., </w:t>
      </w:r>
      <w:proofErr w:type="spellStart"/>
      <w:r>
        <w:t>Martínez-Hernández</w:t>
      </w:r>
      <w:proofErr w:type="spellEnd"/>
      <w:r>
        <w:t xml:space="preserve"> J.J., Torres-Torres M.E., </w:t>
      </w:r>
      <w:proofErr w:type="spellStart"/>
      <w:r>
        <w:t>Chablé</w:t>
      </w:r>
      <w:proofErr w:type="spellEnd"/>
      <w:r>
        <w:t>-Moreno F. (2</w:t>
      </w:r>
      <w:r>
        <w:t>008).</w:t>
      </w:r>
      <w:proofErr w:type="gramEnd"/>
      <w:r>
        <w:t xml:space="preserve"> </w:t>
      </w:r>
      <w:r>
        <w:rPr>
          <w:i/>
        </w:rPr>
        <w:t xml:space="preserve">In vitro </w:t>
      </w:r>
      <w:proofErr w:type="spellStart"/>
      <w:r>
        <w:t>micropropagation</w:t>
      </w:r>
      <w:proofErr w:type="spellEnd"/>
      <w:r>
        <w:t xml:space="preserve"> of the ornamental prickly pear cactus </w:t>
      </w:r>
      <w:proofErr w:type="spellStart"/>
      <w:r>
        <w:rPr>
          <w:i/>
        </w:rPr>
        <w:t>Opuntia</w:t>
      </w:r>
      <w:proofErr w:type="spellEnd"/>
      <w:r>
        <w:rPr>
          <w:i/>
        </w:rPr>
        <w:t xml:space="preserve"> </w:t>
      </w:r>
      <w:proofErr w:type="spellStart"/>
      <w:r>
        <w:rPr>
          <w:i/>
        </w:rPr>
        <w:t>lanigera</w:t>
      </w:r>
      <w:proofErr w:type="spellEnd"/>
      <w:r>
        <w:rPr>
          <w:i/>
        </w:rPr>
        <w:t xml:space="preserve"> </w:t>
      </w:r>
      <w:proofErr w:type="spellStart"/>
      <w:proofErr w:type="gramStart"/>
      <w:r>
        <w:t>Salm-Dyck</w:t>
      </w:r>
      <w:proofErr w:type="spellEnd"/>
      <w:r>
        <w:t>.,</w:t>
      </w:r>
      <w:proofErr w:type="gramEnd"/>
      <w:r>
        <w:t xml:space="preserve"> and effects of sprayed GA3 after transplantation to </w:t>
      </w:r>
      <w:r>
        <w:rPr>
          <w:i/>
        </w:rPr>
        <w:t>ex vitro</w:t>
      </w:r>
      <w:r>
        <w:t xml:space="preserve"> conditions. </w:t>
      </w:r>
      <w:proofErr w:type="spellStart"/>
      <w:r>
        <w:t>Scientia</w:t>
      </w:r>
      <w:proofErr w:type="spellEnd"/>
      <w:r>
        <w:t xml:space="preserve"> </w:t>
      </w:r>
      <w:proofErr w:type="spellStart"/>
      <w:r>
        <w:t>Horticulturae</w:t>
      </w:r>
      <w:proofErr w:type="spellEnd"/>
      <w:r>
        <w:t>, 117: 378-385.</w:t>
      </w:r>
      <w:r>
        <w:cr/>
        <w:t xml:space="preserve">Fay M.F., </w:t>
      </w:r>
      <w:proofErr w:type="spellStart"/>
      <w:r>
        <w:t>Gratton</w:t>
      </w:r>
      <w:proofErr w:type="spellEnd"/>
      <w:r>
        <w:t xml:space="preserve"> J. (1992). Tissue culture of</w:t>
      </w:r>
      <w:r>
        <w:t xml:space="preserve"> cacti and other succulents: a literature review and a report on </w:t>
      </w:r>
      <w:proofErr w:type="spellStart"/>
      <w:r>
        <w:t>micropropagation</w:t>
      </w:r>
      <w:proofErr w:type="spellEnd"/>
      <w:r>
        <w:t xml:space="preserve"> at Kew. </w:t>
      </w:r>
      <w:proofErr w:type="spellStart"/>
      <w:r>
        <w:t>Bradleya</w:t>
      </w:r>
      <w:proofErr w:type="spellEnd"/>
      <w:r>
        <w:t>, 10: 33-48.</w:t>
      </w:r>
      <w:r>
        <w:cr/>
      </w:r>
      <w:proofErr w:type="spellStart"/>
      <w:proofErr w:type="gramStart"/>
      <w:r>
        <w:t>García</w:t>
      </w:r>
      <w:proofErr w:type="spellEnd"/>
      <w:r>
        <w:t xml:space="preserve">-Rubio O., </w:t>
      </w:r>
      <w:proofErr w:type="spellStart"/>
      <w:r>
        <w:t>Malda</w:t>
      </w:r>
      <w:proofErr w:type="spellEnd"/>
      <w:r>
        <w:t>-Barrera G. (2011).</w:t>
      </w:r>
      <w:proofErr w:type="gramEnd"/>
      <w:r>
        <w:t xml:space="preserve"> </w:t>
      </w:r>
      <w:proofErr w:type="spellStart"/>
      <w:proofErr w:type="gramStart"/>
      <w:r>
        <w:t>Micropropagation</w:t>
      </w:r>
      <w:proofErr w:type="spellEnd"/>
      <w:r>
        <w:t xml:space="preserve"> and reintroduction of the endemic </w:t>
      </w:r>
      <w:proofErr w:type="spellStart"/>
      <w:r>
        <w:rPr>
          <w:i/>
        </w:rPr>
        <w:t>Mammillaria</w:t>
      </w:r>
      <w:proofErr w:type="spellEnd"/>
      <w:r>
        <w:rPr>
          <w:i/>
        </w:rPr>
        <w:t xml:space="preserve"> </w:t>
      </w:r>
      <w:proofErr w:type="spellStart"/>
      <w:r>
        <w:rPr>
          <w:i/>
        </w:rPr>
        <w:t>mathildae</w:t>
      </w:r>
      <w:proofErr w:type="spellEnd"/>
      <w:r>
        <w:t xml:space="preserve"> (</w:t>
      </w:r>
      <w:proofErr w:type="spellStart"/>
      <w:r>
        <w:t>Cactaceae</w:t>
      </w:r>
      <w:proofErr w:type="spellEnd"/>
      <w:r>
        <w:t>) to its natural hab</w:t>
      </w:r>
      <w:r>
        <w:t>itat.</w:t>
      </w:r>
      <w:proofErr w:type="gramEnd"/>
      <w:r>
        <w:t xml:space="preserve"> Horticultural Science, 45: 934-938.</w:t>
      </w:r>
      <w:r>
        <w:cr/>
      </w:r>
      <w:proofErr w:type="gramStart"/>
      <w:r>
        <w:t xml:space="preserve">Gentile C., </w:t>
      </w:r>
      <w:proofErr w:type="spellStart"/>
      <w:r>
        <w:t>Tesoriere</w:t>
      </w:r>
      <w:proofErr w:type="spellEnd"/>
      <w:r>
        <w:t xml:space="preserve"> L., Allegra M., </w:t>
      </w:r>
      <w:proofErr w:type="spellStart"/>
      <w:r>
        <w:t>Livrea</w:t>
      </w:r>
      <w:proofErr w:type="spellEnd"/>
      <w:r>
        <w:t xml:space="preserve"> M.A., </w:t>
      </w:r>
      <w:proofErr w:type="spellStart"/>
      <w:r>
        <w:t>D’Alessio</w:t>
      </w:r>
      <w:proofErr w:type="spellEnd"/>
      <w:r>
        <w:t xml:space="preserve"> P. (2004).</w:t>
      </w:r>
      <w:proofErr w:type="gramEnd"/>
      <w:r>
        <w:t xml:space="preserve"> Antioxidant </w:t>
      </w:r>
      <w:proofErr w:type="spellStart"/>
      <w:r>
        <w:t>betalains</w:t>
      </w:r>
      <w:proofErr w:type="spellEnd"/>
      <w:r>
        <w:t xml:space="preserve"> from cactus pear (</w:t>
      </w:r>
      <w:proofErr w:type="spellStart"/>
      <w:r>
        <w:rPr>
          <w:i/>
        </w:rPr>
        <w:t>Opuntia</w:t>
      </w:r>
      <w:proofErr w:type="spellEnd"/>
      <w:r>
        <w:rPr>
          <w:i/>
        </w:rPr>
        <w:t xml:space="preserve"> </w:t>
      </w:r>
      <w:proofErr w:type="spellStart"/>
      <w:r>
        <w:rPr>
          <w:i/>
        </w:rPr>
        <w:t>ficus-indica</w:t>
      </w:r>
      <w:proofErr w:type="spellEnd"/>
      <w:r>
        <w:t xml:space="preserve">) inhibit endothelial ICAM-1 expression. Annals of the </w:t>
      </w:r>
      <w:proofErr w:type="spellStart"/>
      <w:r>
        <w:t>NewYork</w:t>
      </w:r>
      <w:proofErr w:type="spellEnd"/>
      <w:r>
        <w:t xml:space="preserve"> Academy of Sciences</w:t>
      </w:r>
      <w:r>
        <w:t>, 1028: 481–486.</w:t>
      </w:r>
      <w:r>
        <w:cr/>
      </w:r>
      <w:proofErr w:type="spellStart"/>
      <w:r>
        <w:t>Giusti</w:t>
      </w:r>
      <w:proofErr w:type="spellEnd"/>
      <w:r>
        <w:t xml:space="preserve"> P., </w:t>
      </w:r>
      <w:proofErr w:type="spellStart"/>
      <w:r>
        <w:t>Vitti</w:t>
      </w:r>
      <w:proofErr w:type="spellEnd"/>
      <w:r>
        <w:t xml:space="preserve"> D., </w:t>
      </w:r>
      <w:proofErr w:type="spellStart"/>
      <w:r>
        <w:t>Fioccetti</w:t>
      </w:r>
      <w:proofErr w:type="spellEnd"/>
      <w:r>
        <w:t xml:space="preserve"> F., </w:t>
      </w:r>
      <w:proofErr w:type="spellStart"/>
      <w:r>
        <w:t>Colla</w:t>
      </w:r>
      <w:proofErr w:type="spellEnd"/>
      <w:r>
        <w:t xml:space="preserve"> G., </w:t>
      </w:r>
      <w:proofErr w:type="spellStart"/>
      <w:r>
        <w:t>Saccardo</w:t>
      </w:r>
      <w:proofErr w:type="spellEnd"/>
      <w:r>
        <w:t xml:space="preserve"> F., </w:t>
      </w:r>
      <w:proofErr w:type="spellStart"/>
      <w:r>
        <w:t>Tucci</w:t>
      </w:r>
      <w:proofErr w:type="spellEnd"/>
      <w:r>
        <w:t xml:space="preserve"> M. (2002). </w:t>
      </w:r>
      <w:proofErr w:type="gramStart"/>
      <w:r>
        <w:rPr>
          <w:i/>
        </w:rPr>
        <w:t xml:space="preserve">In vitro </w:t>
      </w:r>
      <w:r>
        <w:t>propagation of three endangered cactus species.</w:t>
      </w:r>
      <w:proofErr w:type="gramEnd"/>
      <w:r>
        <w:t xml:space="preserve"> </w:t>
      </w:r>
      <w:proofErr w:type="spellStart"/>
      <w:r>
        <w:t>Scientia</w:t>
      </w:r>
      <w:proofErr w:type="spellEnd"/>
      <w:r>
        <w:t xml:space="preserve"> </w:t>
      </w:r>
      <w:proofErr w:type="spellStart"/>
      <w:r>
        <w:t>Horticulturae</w:t>
      </w:r>
      <w:proofErr w:type="spellEnd"/>
      <w:r>
        <w:t>, 95: 319-332.</w:t>
      </w:r>
      <w:r>
        <w:cr/>
      </w:r>
      <w:proofErr w:type="gramStart"/>
      <w:r>
        <w:t xml:space="preserve">Gomes F. L. A. F., Fernandez-Heredia F., </w:t>
      </w:r>
      <w:proofErr w:type="spellStart"/>
      <w:r>
        <w:t>Barbeta</w:t>
      </w:r>
      <w:proofErr w:type="spellEnd"/>
      <w:r>
        <w:t xml:space="preserve"> Silva P., </w:t>
      </w:r>
      <w:proofErr w:type="spellStart"/>
      <w:r>
        <w:t>Facó</w:t>
      </w:r>
      <w:proofErr w:type="spellEnd"/>
      <w:r>
        <w:t xml:space="preserve"> O., Ca</w:t>
      </w:r>
      <w:r>
        <w:t>mpos F.A.P. (2006).</w:t>
      </w:r>
      <w:proofErr w:type="gramEnd"/>
      <w:r>
        <w:t xml:space="preserve"> </w:t>
      </w:r>
      <w:proofErr w:type="gramStart"/>
      <w:r>
        <w:t xml:space="preserve">Somatic embryogenesis and plant regeneration in </w:t>
      </w:r>
      <w:proofErr w:type="spellStart"/>
      <w:r>
        <w:rPr>
          <w:i/>
        </w:rPr>
        <w:t>Opuntia</w:t>
      </w:r>
      <w:proofErr w:type="spellEnd"/>
      <w:r>
        <w:rPr>
          <w:i/>
        </w:rPr>
        <w:t xml:space="preserve"> </w:t>
      </w:r>
      <w:proofErr w:type="spellStart"/>
      <w:r>
        <w:rPr>
          <w:i/>
        </w:rPr>
        <w:t>ficus-indica</w:t>
      </w:r>
      <w:proofErr w:type="spellEnd"/>
      <w:r>
        <w:t xml:space="preserve"> (L.)</w:t>
      </w:r>
      <w:proofErr w:type="gramEnd"/>
      <w:r>
        <w:t xml:space="preserve"> Mill. (</w:t>
      </w:r>
      <w:proofErr w:type="spellStart"/>
      <w:r>
        <w:t>Cactaceae</w:t>
      </w:r>
      <w:proofErr w:type="spellEnd"/>
      <w:r>
        <w:t xml:space="preserve">). </w:t>
      </w:r>
      <w:proofErr w:type="spellStart"/>
      <w:r>
        <w:t>Scientia</w:t>
      </w:r>
      <w:proofErr w:type="spellEnd"/>
      <w:r>
        <w:t xml:space="preserve"> </w:t>
      </w:r>
      <w:proofErr w:type="spellStart"/>
      <w:r>
        <w:t>Horticulturae</w:t>
      </w:r>
      <w:proofErr w:type="spellEnd"/>
      <w:r>
        <w:t>, 108: 15-21.</w:t>
      </w:r>
      <w:r>
        <w:cr/>
      </w:r>
      <w:proofErr w:type="spellStart"/>
      <w:proofErr w:type="gramStart"/>
      <w:r>
        <w:t>Gómez-Juárez</w:t>
      </w:r>
      <w:proofErr w:type="spellEnd"/>
      <w:r>
        <w:t xml:space="preserve"> J.L., Morales J.E., </w:t>
      </w:r>
      <w:proofErr w:type="spellStart"/>
      <w:r>
        <w:t>Lechuga-Corchado</w:t>
      </w:r>
      <w:proofErr w:type="spellEnd"/>
      <w:r>
        <w:t xml:space="preserve"> J.A., Cruz-Sosa F. (2006).</w:t>
      </w:r>
      <w:proofErr w:type="gramEnd"/>
      <w:r>
        <w:t xml:space="preserve"> </w:t>
      </w:r>
      <w:proofErr w:type="spellStart"/>
      <w:r>
        <w:t>Reproducción</w:t>
      </w:r>
      <w:proofErr w:type="spellEnd"/>
      <w:r>
        <w:t xml:space="preserve"> </w:t>
      </w:r>
      <w:r>
        <w:rPr>
          <w:i/>
        </w:rPr>
        <w:t xml:space="preserve">in vitro </w:t>
      </w:r>
      <w:proofErr w:type="gramStart"/>
      <w:r>
        <w:t>del</w:t>
      </w:r>
      <w:proofErr w:type="gramEnd"/>
      <w:r>
        <w:t xml:space="preserve"> </w:t>
      </w:r>
      <w:proofErr w:type="spellStart"/>
      <w:r>
        <w:t>gara</w:t>
      </w:r>
      <w:r>
        <w:t>mbullo</w:t>
      </w:r>
      <w:proofErr w:type="spellEnd"/>
      <w:r>
        <w:t xml:space="preserve"> </w:t>
      </w:r>
      <w:proofErr w:type="spellStart"/>
      <w:r>
        <w:rPr>
          <w:i/>
        </w:rPr>
        <w:t>Myrtillocactus</w:t>
      </w:r>
      <w:proofErr w:type="spellEnd"/>
      <w:r>
        <w:rPr>
          <w:i/>
        </w:rPr>
        <w:t xml:space="preserve"> </w:t>
      </w:r>
      <w:proofErr w:type="spellStart"/>
      <w:r>
        <w:rPr>
          <w:i/>
        </w:rPr>
        <w:t>geometrizans</w:t>
      </w:r>
      <w:proofErr w:type="spellEnd"/>
      <w:r>
        <w:rPr>
          <w:i/>
        </w:rPr>
        <w:t xml:space="preserve"> </w:t>
      </w:r>
      <w:r>
        <w:t>(</w:t>
      </w:r>
      <w:proofErr w:type="spellStart"/>
      <w:r>
        <w:t>Martius</w:t>
      </w:r>
      <w:proofErr w:type="spellEnd"/>
      <w:r>
        <w:t xml:space="preserve">) Console. </w:t>
      </w:r>
      <w:proofErr w:type="spellStart"/>
      <w:r>
        <w:t>Cactáceas</w:t>
      </w:r>
      <w:proofErr w:type="spellEnd"/>
      <w:r>
        <w:t xml:space="preserve"> y </w:t>
      </w:r>
      <w:proofErr w:type="spellStart"/>
      <w:r>
        <w:t>Suculentas</w:t>
      </w:r>
      <w:proofErr w:type="spellEnd"/>
      <w:r>
        <w:t xml:space="preserve"> </w:t>
      </w:r>
      <w:proofErr w:type="spellStart"/>
      <w:r>
        <w:t>Mexicanas</w:t>
      </w:r>
      <w:proofErr w:type="spellEnd"/>
      <w:r>
        <w:t>, 51(2): 36-45.</w:t>
      </w:r>
      <w:r>
        <w:cr/>
        <w:t xml:space="preserve">Grout B.W.W., Aston M.J. (1978). Transplanting of cauliflower plants regenerated from </w:t>
      </w:r>
      <w:proofErr w:type="spellStart"/>
      <w:r>
        <w:t>meristem</w:t>
      </w:r>
      <w:proofErr w:type="spellEnd"/>
      <w:r>
        <w:t xml:space="preserve"> culture. II. Carbon dioxide fixation and the development of</w:t>
      </w:r>
      <w:r>
        <w:t xml:space="preserve"> photosynthetic ability. Horticultural Research, 17: 65–71.</w:t>
      </w:r>
      <w:r>
        <w:cr/>
        <w:t xml:space="preserve">Grout B.W.W., </w:t>
      </w:r>
      <w:proofErr w:type="spellStart"/>
      <w:r>
        <w:t>Millan</w:t>
      </w:r>
      <w:proofErr w:type="spellEnd"/>
      <w:r>
        <w:t xml:space="preserve"> S. (1985). </w:t>
      </w:r>
      <w:proofErr w:type="gramStart"/>
      <w:r>
        <w:t xml:space="preserve">Photosynthetic development of </w:t>
      </w:r>
      <w:proofErr w:type="spellStart"/>
      <w:r>
        <w:t>micropropagated</w:t>
      </w:r>
      <w:proofErr w:type="spellEnd"/>
      <w:r>
        <w:t xml:space="preserve"> strawberry plantlets following transplanting.</w:t>
      </w:r>
      <w:proofErr w:type="gramEnd"/>
      <w:r>
        <w:t xml:space="preserve"> Annals of Botany, 55: 129–131.</w:t>
      </w:r>
      <w:r>
        <w:cr/>
      </w:r>
      <w:proofErr w:type="spellStart"/>
      <w:r>
        <w:t>Hata</w:t>
      </w:r>
      <w:proofErr w:type="spellEnd"/>
      <w:r>
        <w:t xml:space="preserve"> S., </w:t>
      </w:r>
      <w:proofErr w:type="spellStart"/>
      <w:r>
        <w:t>Kobae</w:t>
      </w:r>
      <w:proofErr w:type="spellEnd"/>
      <w:r>
        <w:t xml:space="preserve"> Y., </w:t>
      </w:r>
      <w:proofErr w:type="spellStart"/>
      <w:r>
        <w:t>Banba</w:t>
      </w:r>
      <w:proofErr w:type="spellEnd"/>
      <w:r>
        <w:t xml:space="preserve"> M. (2010). Inter</w:t>
      </w:r>
      <w:r>
        <w:t xml:space="preserve">actions </w:t>
      </w:r>
      <w:proofErr w:type="gramStart"/>
      <w:r>
        <w:t>Between</w:t>
      </w:r>
      <w:proofErr w:type="gramEnd"/>
      <w:r>
        <w:t xml:space="preserve"> Plants and </w:t>
      </w:r>
      <w:proofErr w:type="spellStart"/>
      <w:r>
        <w:t>Arbuscular</w:t>
      </w:r>
      <w:proofErr w:type="spellEnd"/>
      <w:r>
        <w:t xml:space="preserve"> </w:t>
      </w:r>
      <w:proofErr w:type="spellStart"/>
      <w:r>
        <w:lastRenderedPageBreak/>
        <w:t>Mycorrhizal</w:t>
      </w:r>
      <w:proofErr w:type="spellEnd"/>
      <w:r>
        <w:t xml:space="preserve"> Fungi, </w:t>
      </w:r>
      <w:r>
        <w:rPr>
          <w:i/>
        </w:rPr>
        <w:t>In</w:t>
      </w:r>
      <w:r>
        <w:t>: International Review of Cell and Molecular Biology. Elsevier, Vol. 281: 1-48.</w:t>
      </w:r>
      <w:r>
        <w:cr/>
        <w:t xml:space="preserve">Hartmann H.T., </w:t>
      </w:r>
      <w:proofErr w:type="spellStart"/>
      <w:r>
        <w:t>Kester</w:t>
      </w:r>
      <w:proofErr w:type="spellEnd"/>
      <w:r>
        <w:t xml:space="preserve"> D.E., Davies Jr. F.T., </w:t>
      </w:r>
      <w:proofErr w:type="spellStart"/>
      <w:r>
        <w:t>Geneve</w:t>
      </w:r>
      <w:proofErr w:type="spellEnd"/>
      <w:r>
        <w:t xml:space="preserve"> R.L. (2011). </w:t>
      </w:r>
      <w:proofErr w:type="gramStart"/>
      <w:r>
        <w:t xml:space="preserve">Plant Propagation-Principles and Practices, </w:t>
      </w:r>
      <w:proofErr w:type="spellStart"/>
      <w:r>
        <w:t>Eigth</w:t>
      </w:r>
      <w:proofErr w:type="spellEnd"/>
      <w:r>
        <w:t xml:space="preserve"> ed</w:t>
      </w:r>
      <w:r>
        <w:t>. Prentice-Hall, Englewood Cliffs, 869 pp.</w:t>
      </w:r>
      <w:proofErr w:type="gramEnd"/>
      <w:r>
        <w:cr/>
      </w:r>
      <w:proofErr w:type="spellStart"/>
      <w:proofErr w:type="gramStart"/>
      <w:r>
        <w:t>Infante</w:t>
      </w:r>
      <w:proofErr w:type="spellEnd"/>
      <w:r>
        <w:t xml:space="preserve"> R. (1992).</w:t>
      </w:r>
      <w:proofErr w:type="gramEnd"/>
      <w:r>
        <w:rPr>
          <w:i/>
        </w:rPr>
        <w:t xml:space="preserve"> In vitro</w:t>
      </w:r>
      <w:r>
        <w:t xml:space="preserve"> </w:t>
      </w:r>
      <w:proofErr w:type="spellStart"/>
      <w:r>
        <w:t>axillary</w:t>
      </w:r>
      <w:proofErr w:type="spellEnd"/>
      <w:r>
        <w:t xml:space="preserve"> shoot proliferation and somatic embryogenesis of yellow </w:t>
      </w:r>
      <w:proofErr w:type="spellStart"/>
      <w:r>
        <w:t>pitaya</w:t>
      </w:r>
      <w:proofErr w:type="spellEnd"/>
      <w:r>
        <w:t xml:space="preserve"> (</w:t>
      </w:r>
      <w:proofErr w:type="spellStart"/>
      <w:r>
        <w:rPr>
          <w:i/>
        </w:rPr>
        <w:t>Mediocactus</w:t>
      </w:r>
      <w:proofErr w:type="spellEnd"/>
      <w:r>
        <w:rPr>
          <w:i/>
        </w:rPr>
        <w:t xml:space="preserve"> </w:t>
      </w:r>
      <w:proofErr w:type="spellStart"/>
      <w:r>
        <w:rPr>
          <w:i/>
        </w:rPr>
        <w:t>coccineus</w:t>
      </w:r>
      <w:proofErr w:type="spellEnd"/>
      <w:r>
        <w:t xml:space="preserve"> </w:t>
      </w:r>
      <w:proofErr w:type="spellStart"/>
      <w:r>
        <w:t>Salm</w:t>
      </w:r>
      <w:proofErr w:type="spellEnd"/>
      <w:r>
        <w:t xml:space="preserve">-Dick). Plant Cell Tissue and Organ Culture, 31: 155-159. </w:t>
      </w:r>
      <w:r>
        <w:cr/>
      </w:r>
      <w:proofErr w:type="gramStart"/>
      <w:r>
        <w:t>Jackson M.B. (1986).</w:t>
      </w:r>
      <w:proofErr w:type="gramEnd"/>
      <w:r>
        <w:t xml:space="preserve"> New ro</w:t>
      </w:r>
      <w:r>
        <w:t xml:space="preserve">ot formation in plants and cuttings. </w:t>
      </w:r>
      <w:proofErr w:type="gramStart"/>
      <w:r>
        <w:t>Vol. 20 of Developments in Plant and Soil Sciences Series.</w:t>
      </w:r>
      <w:proofErr w:type="gramEnd"/>
      <w:r>
        <w:t xml:space="preserve"> </w:t>
      </w:r>
      <w:proofErr w:type="spellStart"/>
      <w:r>
        <w:t>Martinus</w:t>
      </w:r>
      <w:proofErr w:type="spellEnd"/>
      <w:r>
        <w:t xml:space="preserve"> </w:t>
      </w:r>
      <w:proofErr w:type="spellStart"/>
      <w:r>
        <w:t>Nijhoff</w:t>
      </w:r>
      <w:proofErr w:type="spellEnd"/>
      <w:r>
        <w:t xml:space="preserve"> Publishers, Dordrecht, </w:t>
      </w:r>
      <w:proofErr w:type="gramStart"/>
      <w:r>
        <w:t>The</w:t>
      </w:r>
      <w:proofErr w:type="gramEnd"/>
      <w:r>
        <w:t xml:space="preserve"> Netherlands, 265 pp.</w:t>
      </w:r>
      <w:r>
        <w:cr/>
        <w:t xml:space="preserve">Johnson J.L., </w:t>
      </w:r>
      <w:proofErr w:type="spellStart"/>
      <w:r>
        <w:t>Emino</w:t>
      </w:r>
      <w:proofErr w:type="spellEnd"/>
      <w:r>
        <w:t xml:space="preserve"> E.R. (1979). </w:t>
      </w:r>
      <w:proofErr w:type="gramStart"/>
      <w:r>
        <w:t xml:space="preserve">Tissue culture propagation in the </w:t>
      </w:r>
      <w:proofErr w:type="spellStart"/>
      <w:r>
        <w:t>cactaceae</w:t>
      </w:r>
      <w:proofErr w:type="spellEnd"/>
      <w:r>
        <w:t>.</w:t>
      </w:r>
      <w:proofErr w:type="gramEnd"/>
      <w:r>
        <w:t xml:space="preserve"> Cactus and Succul</w:t>
      </w:r>
      <w:r>
        <w:t>ent Journal (U. S.), 51: 275-277.</w:t>
      </w:r>
      <w:r>
        <w:cr/>
      </w:r>
      <w:proofErr w:type="spellStart"/>
      <w:proofErr w:type="gramStart"/>
      <w:r>
        <w:t>Karimi-Narges</w:t>
      </w:r>
      <w:proofErr w:type="spellEnd"/>
      <w:r>
        <w:t xml:space="preserve"> N.A., </w:t>
      </w:r>
      <w:proofErr w:type="spellStart"/>
      <w:r>
        <w:t>Ebrahimi-Morteza</w:t>
      </w:r>
      <w:proofErr w:type="spellEnd"/>
      <w:r>
        <w:t xml:space="preserve"> M.M.R. (2010).</w:t>
      </w:r>
      <w:proofErr w:type="gramEnd"/>
      <w:r>
        <w:t xml:space="preserve"> Investigation of a medicinal and ornamental plant propagation, the </w:t>
      </w:r>
      <w:r>
        <w:rPr>
          <w:i/>
        </w:rPr>
        <w:t xml:space="preserve">Cereus </w:t>
      </w:r>
      <w:proofErr w:type="spellStart"/>
      <w:r>
        <w:rPr>
          <w:i/>
        </w:rPr>
        <w:t>peruvianus</w:t>
      </w:r>
      <w:proofErr w:type="spellEnd"/>
      <w:r>
        <w:t xml:space="preserve"> </w:t>
      </w:r>
      <w:proofErr w:type="gramStart"/>
      <w:r>
        <w:t>mill.,</w:t>
      </w:r>
      <w:proofErr w:type="gramEnd"/>
      <w:r>
        <w:t xml:space="preserve"> and using tissue culture technique. Journal of Medicinal Plants Research, 9: 3</w:t>
      </w:r>
      <w:r>
        <w:t xml:space="preserve">8-45. </w:t>
      </w:r>
      <w:r>
        <w:cr/>
      </w:r>
      <w:proofErr w:type="spellStart"/>
      <w:r>
        <w:t>Kozai</w:t>
      </w:r>
      <w:proofErr w:type="spellEnd"/>
      <w:r>
        <w:t xml:space="preserve"> T. (1991). </w:t>
      </w:r>
      <w:proofErr w:type="gramStart"/>
      <w:r>
        <w:t xml:space="preserve">Acclimatization of </w:t>
      </w:r>
      <w:proofErr w:type="spellStart"/>
      <w:r>
        <w:t>micropropagated</w:t>
      </w:r>
      <w:proofErr w:type="spellEnd"/>
      <w:r>
        <w:t xml:space="preserve"> plants.</w:t>
      </w:r>
      <w:proofErr w:type="gramEnd"/>
      <w:r>
        <w:t xml:space="preserve"> </w:t>
      </w:r>
      <w:r>
        <w:rPr>
          <w:i/>
        </w:rPr>
        <w:t>In</w:t>
      </w:r>
      <w:r>
        <w:t xml:space="preserve">: Bajaj Y.P.S. (Eds.) Biotechnology in Agriculture and Forestry, Vol. 17. High-Tech and </w:t>
      </w:r>
      <w:proofErr w:type="spellStart"/>
      <w:r>
        <w:t>Micropropagation</w:t>
      </w:r>
      <w:proofErr w:type="spellEnd"/>
      <w:r>
        <w:t xml:space="preserve"> I. Springer-</w:t>
      </w:r>
      <w:proofErr w:type="spellStart"/>
      <w:r>
        <w:t>Verlag</w:t>
      </w:r>
      <w:proofErr w:type="spellEnd"/>
      <w:r>
        <w:t>, Berlin, Germany: 121-147.</w:t>
      </w:r>
      <w:r>
        <w:cr/>
        <w:t xml:space="preserve">King M. (1957). </w:t>
      </w:r>
      <w:proofErr w:type="gramStart"/>
      <w:r>
        <w:t>Studies in the tissu</w:t>
      </w:r>
      <w:r>
        <w:t>e culture of cacti.</w:t>
      </w:r>
      <w:proofErr w:type="gramEnd"/>
      <w:r>
        <w:t xml:space="preserve"> Cactus and Succulent Journal (U. S.), 29: 101-104. </w:t>
      </w:r>
      <w:r>
        <w:cr/>
      </w:r>
      <w:proofErr w:type="spellStart"/>
      <w:r>
        <w:rPr>
          <w:rFonts w:ascii="Times New Roman" w:hAnsi="Times New Roman"/>
        </w:rPr>
        <w:t>Loeza</w:t>
      </w:r>
      <w:proofErr w:type="spellEnd"/>
      <w:r>
        <w:rPr>
          <w:rFonts w:ascii="Times New Roman" w:hAnsi="Times New Roman"/>
        </w:rPr>
        <w:t xml:space="preserve"> C.J.M., </w:t>
      </w:r>
      <w:proofErr w:type="spellStart"/>
      <w:r>
        <w:rPr>
          <w:rFonts w:ascii="Times New Roman" w:hAnsi="Times New Roman"/>
        </w:rPr>
        <w:t>Lechuga</w:t>
      </w:r>
      <w:proofErr w:type="spellEnd"/>
      <w:r>
        <w:rPr>
          <w:rFonts w:ascii="Times New Roman" w:hAnsi="Times New Roman"/>
        </w:rPr>
        <w:t xml:space="preserve"> C.J.A., Orozco V.J., Cruz S.F. (2001). </w:t>
      </w:r>
      <w:proofErr w:type="spellStart"/>
      <w:proofErr w:type="gramStart"/>
      <w:r>
        <w:rPr>
          <w:rFonts w:ascii="Times New Roman" w:hAnsi="Times New Roman"/>
        </w:rPr>
        <w:t>Obtención</w:t>
      </w:r>
      <w:proofErr w:type="spellEnd"/>
      <w:r>
        <w:rPr>
          <w:rFonts w:ascii="Times New Roman" w:hAnsi="Times New Roman"/>
        </w:rPr>
        <w:t xml:space="preserve"> de </w:t>
      </w:r>
      <w:proofErr w:type="spellStart"/>
      <w:r>
        <w:rPr>
          <w:rFonts w:ascii="Times New Roman" w:hAnsi="Times New Roman"/>
        </w:rPr>
        <w:t>brotes</w:t>
      </w:r>
      <w:proofErr w:type="spellEnd"/>
      <w:r>
        <w:rPr>
          <w:rFonts w:ascii="Times New Roman" w:hAnsi="Times New Roman"/>
        </w:rPr>
        <w:t xml:space="preserve"> </w:t>
      </w:r>
      <w:proofErr w:type="spellStart"/>
      <w:r>
        <w:rPr>
          <w:rFonts w:ascii="Times New Roman" w:hAnsi="Times New Roman"/>
        </w:rPr>
        <w:t>adventicios</w:t>
      </w:r>
      <w:proofErr w:type="spellEnd"/>
      <w:r>
        <w:rPr>
          <w:rFonts w:ascii="Times New Roman" w:hAnsi="Times New Roman"/>
        </w:rPr>
        <w:t xml:space="preserve"> en </w:t>
      </w:r>
      <w:proofErr w:type="spellStart"/>
      <w:r>
        <w:rPr>
          <w:rFonts w:ascii="Times New Roman" w:hAnsi="Times New Roman"/>
        </w:rPr>
        <w:t>cultivos</w:t>
      </w:r>
      <w:proofErr w:type="spellEnd"/>
      <w:r>
        <w:rPr>
          <w:rFonts w:ascii="Times New Roman" w:hAnsi="Times New Roman"/>
        </w:rPr>
        <w:t xml:space="preserve"> </w:t>
      </w:r>
      <w:r>
        <w:rPr>
          <w:rFonts w:ascii="Times New Roman" w:hAnsi="Times New Roman"/>
          <w:i/>
        </w:rPr>
        <w:t>in vitro</w:t>
      </w:r>
      <w:r>
        <w:rPr>
          <w:rFonts w:ascii="Times New Roman" w:hAnsi="Times New Roman"/>
        </w:rPr>
        <w:t xml:space="preserve"> de </w:t>
      </w:r>
      <w:proofErr w:type="spellStart"/>
      <w:r>
        <w:rPr>
          <w:rFonts w:ascii="Times New Roman" w:hAnsi="Times New Roman"/>
          <w:i/>
        </w:rPr>
        <w:t>Hylocereus</w:t>
      </w:r>
      <w:proofErr w:type="spellEnd"/>
      <w:r>
        <w:rPr>
          <w:rFonts w:ascii="Times New Roman" w:hAnsi="Times New Roman"/>
          <w:i/>
        </w:rPr>
        <w:t xml:space="preserve"> </w:t>
      </w:r>
      <w:proofErr w:type="spellStart"/>
      <w:r>
        <w:rPr>
          <w:rFonts w:ascii="Times New Roman" w:hAnsi="Times New Roman"/>
          <w:i/>
        </w:rPr>
        <w:t>undatus</w:t>
      </w:r>
      <w:proofErr w:type="spellEnd"/>
      <w:r>
        <w:rPr>
          <w:rFonts w:ascii="Times New Roman" w:hAnsi="Times New Roman"/>
        </w:rPr>
        <w:t xml:space="preserve"> (CACTACEAE).</w:t>
      </w:r>
      <w:proofErr w:type="gramEnd"/>
      <w:r>
        <w:rPr>
          <w:rFonts w:ascii="Times New Roman" w:hAnsi="Times New Roman"/>
        </w:rPr>
        <w:t xml:space="preserve"> </w:t>
      </w:r>
      <w:proofErr w:type="gramStart"/>
      <w:r>
        <w:rPr>
          <w:rFonts w:ascii="Times New Roman" w:hAnsi="Times New Roman"/>
        </w:rPr>
        <w:t xml:space="preserve">IX </w:t>
      </w:r>
      <w:proofErr w:type="spellStart"/>
      <w:r>
        <w:rPr>
          <w:rFonts w:ascii="Times New Roman" w:hAnsi="Times New Roman"/>
        </w:rPr>
        <w:t>Congreso</w:t>
      </w:r>
      <w:proofErr w:type="spellEnd"/>
      <w:r>
        <w:rPr>
          <w:rFonts w:ascii="Times New Roman" w:hAnsi="Times New Roman"/>
        </w:rPr>
        <w:t xml:space="preserve"> </w:t>
      </w:r>
      <w:proofErr w:type="spellStart"/>
      <w:r>
        <w:rPr>
          <w:rFonts w:ascii="Times New Roman" w:hAnsi="Times New Roman"/>
        </w:rPr>
        <w:t>Nacional</w:t>
      </w:r>
      <w:proofErr w:type="spellEnd"/>
      <w:r>
        <w:rPr>
          <w:rFonts w:ascii="Times New Roman" w:hAnsi="Times New Roman"/>
        </w:rPr>
        <w:t xml:space="preserve"> de </w:t>
      </w:r>
      <w:proofErr w:type="spellStart"/>
      <w:r>
        <w:rPr>
          <w:rFonts w:ascii="Times New Roman" w:hAnsi="Times New Roman"/>
        </w:rPr>
        <w:t>Biotecnolog</w:t>
      </w:r>
      <w:r>
        <w:rPr>
          <w:rFonts w:ascii="Times New Roman" w:hAnsi="Times New Roman"/>
        </w:rPr>
        <w:t>ía</w:t>
      </w:r>
      <w:proofErr w:type="spellEnd"/>
      <w:r>
        <w:rPr>
          <w:rFonts w:ascii="Times New Roman" w:hAnsi="Times New Roman"/>
        </w:rPr>
        <w:t xml:space="preserve"> y </w:t>
      </w:r>
      <w:proofErr w:type="spellStart"/>
      <w:r>
        <w:rPr>
          <w:rFonts w:ascii="Times New Roman" w:hAnsi="Times New Roman"/>
        </w:rPr>
        <w:t>Bioingeniería</w:t>
      </w:r>
      <w:proofErr w:type="spellEnd"/>
      <w:r>
        <w:rPr>
          <w:rFonts w:ascii="Times New Roman" w:hAnsi="Times New Roman"/>
        </w:rPr>
        <w:t xml:space="preserve">, XII </w:t>
      </w:r>
      <w:proofErr w:type="spellStart"/>
      <w:r>
        <w:rPr>
          <w:rFonts w:ascii="Times New Roman" w:hAnsi="Times New Roman"/>
        </w:rPr>
        <w:t>Congreso</w:t>
      </w:r>
      <w:proofErr w:type="spellEnd"/>
      <w:r>
        <w:rPr>
          <w:rFonts w:ascii="Times New Roman" w:hAnsi="Times New Roman"/>
        </w:rPr>
        <w:t xml:space="preserve"> </w:t>
      </w:r>
      <w:proofErr w:type="spellStart"/>
      <w:r>
        <w:rPr>
          <w:rFonts w:ascii="Times New Roman" w:hAnsi="Times New Roman"/>
        </w:rPr>
        <w:t>Nacional</w:t>
      </w:r>
      <w:proofErr w:type="spellEnd"/>
      <w:r>
        <w:rPr>
          <w:rFonts w:ascii="Times New Roman" w:hAnsi="Times New Roman"/>
        </w:rPr>
        <w:t xml:space="preserve"> de </w:t>
      </w:r>
      <w:proofErr w:type="spellStart"/>
      <w:r>
        <w:rPr>
          <w:rFonts w:ascii="Times New Roman" w:hAnsi="Times New Roman"/>
        </w:rPr>
        <w:t>Ingeniería</w:t>
      </w:r>
      <w:proofErr w:type="spellEnd"/>
      <w:r>
        <w:rPr>
          <w:rFonts w:ascii="Times New Roman" w:hAnsi="Times New Roman"/>
        </w:rPr>
        <w:t xml:space="preserve"> </w:t>
      </w:r>
      <w:proofErr w:type="spellStart"/>
      <w:r>
        <w:rPr>
          <w:rFonts w:ascii="Times New Roman" w:hAnsi="Times New Roman"/>
        </w:rPr>
        <w:t>Bioquímica</w:t>
      </w:r>
      <w:proofErr w:type="spellEnd"/>
      <w:r>
        <w:rPr>
          <w:rFonts w:ascii="Times New Roman" w:hAnsi="Times New Roman"/>
        </w:rPr>
        <w:t xml:space="preserve"> y II </w:t>
      </w:r>
      <w:proofErr w:type="spellStart"/>
      <w:r>
        <w:rPr>
          <w:rFonts w:ascii="Times New Roman" w:hAnsi="Times New Roman"/>
        </w:rPr>
        <w:t>Congreso</w:t>
      </w:r>
      <w:proofErr w:type="spellEnd"/>
      <w:r>
        <w:rPr>
          <w:rFonts w:ascii="Times New Roman" w:hAnsi="Times New Roman"/>
        </w:rPr>
        <w:t xml:space="preserve"> </w:t>
      </w:r>
      <w:proofErr w:type="spellStart"/>
      <w:r>
        <w:rPr>
          <w:rFonts w:ascii="Times New Roman" w:hAnsi="Times New Roman"/>
        </w:rPr>
        <w:t>Internacional</w:t>
      </w:r>
      <w:proofErr w:type="spellEnd"/>
      <w:r>
        <w:rPr>
          <w:rFonts w:ascii="Times New Roman" w:hAnsi="Times New Roman"/>
        </w:rPr>
        <w:t xml:space="preserve"> de </w:t>
      </w:r>
      <w:proofErr w:type="spellStart"/>
      <w:r>
        <w:rPr>
          <w:rFonts w:ascii="Times New Roman" w:hAnsi="Times New Roman"/>
        </w:rPr>
        <w:t>Ingeniería</w:t>
      </w:r>
      <w:proofErr w:type="spellEnd"/>
      <w:r>
        <w:rPr>
          <w:rFonts w:ascii="Times New Roman" w:hAnsi="Times New Roman"/>
        </w:rPr>
        <w:t xml:space="preserve"> </w:t>
      </w:r>
      <w:proofErr w:type="spellStart"/>
      <w:r>
        <w:rPr>
          <w:rFonts w:ascii="Times New Roman" w:hAnsi="Times New Roman"/>
        </w:rPr>
        <w:t>Bioquímica</w:t>
      </w:r>
      <w:proofErr w:type="spellEnd"/>
      <w:r>
        <w:rPr>
          <w:rFonts w:ascii="Times New Roman" w:hAnsi="Times New Roman"/>
        </w:rPr>
        <w:t>.</w:t>
      </w:r>
      <w:proofErr w:type="gramEnd"/>
      <w:r>
        <w:rPr>
          <w:rFonts w:ascii="Times New Roman" w:hAnsi="Times New Roman"/>
        </w:rPr>
        <w:t xml:space="preserve"> Veracruz, Ver. México.</w:t>
      </w:r>
      <w:r>
        <w:cr/>
        <w:t xml:space="preserve">Machado M.D.F.P.S., </w:t>
      </w:r>
      <w:proofErr w:type="spellStart"/>
      <w:r>
        <w:t>Prioli</w:t>
      </w:r>
      <w:proofErr w:type="spellEnd"/>
      <w:r>
        <w:t xml:space="preserve"> A.J. (1996). </w:t>
      </w:r>
      <w:proofErr w:type="spellStart"/>
      <w:proofErr w:type="gramStart"/>
      <w:r>
        <w:t>Micropropagation</w:t>
      </w:r>
      <w:proofErr w:type="spellEnd"/>
      <w:r>
        <w:t xml:space="preserve"> of </w:t>
      </w:r>
      <w:r>
        <w:rPr>
          <w:i/>
        </w:rPr>
        <w:t xml:space="preserve">Cereus </w:t>
      </w:r>
      <w:proofErr w:type="spellStart"/>
      <w:r>
        <w:rPr>
          <w:i/>
        </w:rPr>
        <w:t>peruvianus</w:t>
      </w:r>
      <w:proofErr w:type="spellEnd"/>
      <w:r>
        <w:t xml:space="preserve"> Mill.</w:t>
      </w:r>
      <w:proofErr w:type="gramEnd"/>
      <w:r>
        <w:t xml:space="preserve"> </w:t>
      </w:r>
      <w:proofErr w:type="gramStart"/>
      <w:r>
        <w:t>(</w:t>
      </w:r>
      <w:proofErr w:type="spellStart"/>
      <w:r>
        <w:t>Cactaceae</w:t>
      </w:r>
      <w:proofErr w:type="spellEnd"/>
      <w:r>
        <w:t>) by areole activa</w:t>
      </w:r>
      <w:r>
        <w:t>tion.</w:t>
      </w:r>
      <w:proofErr w:type="gramEnd"/>
      <w:r>
        <w:t xml:space="preserve"> </w:t>
      </w:r>
      <w:r>
        <w:rPr>
          <w:i/>
        </w:rPr>
        <w:t>In Vitro</w:t>
      </w:r>
      <w:r>
        <w:t xml:space="preserve"> Cellular and </w:t>
      </w:r>
      <w:proofErr w:type="spellStart"/>
      <w:r>
        <w:t>Devevelopmental</w:t>
      </w:r>
      <w:proofErr w:type="spellEnd"/>
      <w:r>
        <w:t xml:space="preserve"> Biology-Plant, 32: 199-203.</w:t>
      </w:r>
      <w:r>
        <w:cr/>
      </w:r>
      <w:proofErr w:type="spellStart"/>
      <w:r>
        <w:t>Malda</w:t>
      </w:r>
      <w:proofErr w:type="spellEnd"/>
      <w:r>
        <w:t xml:space="preserve"> G., </w:t>
      </w:r>
      <w:proofErr w:type="spellStart"/>
      <w:r>
        <w:t>Suzán</w:t>
      </w:r>
      <w:proofErr w:type="spellEnd"/>
      <w:r>
        <w:t xml:space="preserve"> H., Backhaus R. (1999)</w:t>
      </w:r>
      <w:r>
        <w:rPr>
          <w:i/>
        </w:rPr>
        <w:t xml:space="preserve">. </w:t>
      </w:r>
      <w:proofErr w:type="gramStart"/>
      <w:r>
        <w:rPr>
          <w:i/>
        </w:rPr>
        <w:t xml:space="preserve">In vitro </w:t>
      </w:r>
      <w:r>
        <w:t xml:space="preserve">culture as a potential method for the conservation of endangered plants possessing </w:t>
      </w:r>
      <w:proofErr w:type="spellStart"/>
      <w:r>
        <w:t>crassulacean</w:t>
      </w:r>
      <w:proofErr w:type="spellEnd"/>
      <w:r>
        <w:t xml:space="preserve"> acid metabolism.</w:t>
      </w:r>
      <w:proofErr w:type="gramEnd"/>
      <w:r>
        <w:t xml:space="preserve"> </w:t>
      </w:r>
      <w:proofErr w:type="spellStart"/>
      <w:r>
        <w:t>Scientia</w:t>
      </w:r>
      <w:proofErr w:type="spellEnd"/>
      <w:r>
        <w:t xml:space="preserve"> </w:t>
      </w:r>
      <w:proofErr w:type="spellStart"/>
      <w:r>
        <w:t>Horticulturae</w:t>
      </w:r>
      <w:proofErr w:type="spellEnd"/>
      <w:r>
        <w:t>, 81: 71-87.</w:t>
      </w:r>
      <w:r>
        <w:cr/>
      </w:r>
      <w:proofErr w:type="spellStart"/>
      <w:proofErr w:type="gramStart"/>
      <w:r>
        <w:t>Martínez</w:t>
      </w:r>
      <w:proofErr w:type="spellEnd"/>
      <w:r>
        <w:t xml:space="preserve">-Cárdenas M.L., Vicente-Solano R., </w:t>
      </w:r>
      <w:proofErr w:type="spellStart"/>
      <w:r>
        <w:t>Martínez</w:t>
      </w:r>
      <w:proofErr w:type="spellEnd"/>
      <w:r>
        <w:t xml:space="preserve">-Herrera A., Carmona A., Varela </w:t>
      </w:r>
      <w:r>
        <w:lastRenderedPageBreak/>
        <w:t>H.G. (2007).</w:t>
      </w:r>
      <w:proofErr w:type="gramEnd"/>
      <w:r>
        <w:t xml:space="preserve"> </w:t>
      </w:r>
      <w:proofErr w:type="gramStart"/>
      <w:r>
        <w:t xml:space="preserve">Survival and growth on soil of </w:t>
      </w:r>
      <w:proofErr w:type="spellStart"/>
      <w:r>
        <w:t>micropropagated</w:t>
      </w:r>
      <w:proofErr w:type="spellEnd"/>
      <w:r>
        <w:t xml:space="preserve"> </w:t>
      </w:r>
      <w:proofErr w:type="spellStart"/>
      <w:r>
        <w:t>pitaya</w:t>
      </w:r>
      <w:proofErr w:type="spellEnd"/>
      <w:r>
        <w:t xml:space="preserve"> de mayo plants.</w:t>
      </w:r>
      <w:proofErr w:type="gramEnd"/>
      <w:r>
        <w:t xml:space="preserve"> </w:t>
      </w:r>
      <w:proofErr w:type="spellStart"/>
      <w:r>
        <w:t>Acta</w:t>
      </w:r>
      <w:proofErr w:type="spellEnd"/>
      <w:r>
        <w:t xml:space="preserve"> </w:t>
      </w:r>
      <w:proofErr w:type="spellStart"/>
      <w:r>
        <w:t>Horticulturae</w:t>
      </w:r>
      <w:proofErr w:type="spellEnd"/>
      <w:r>
        <w:t>, 748: 237-239.</w:t>
      </w:r>
      <w:r>
        <w:cr/>
      </w:r>
      <w:proofErr w:type="gramStart"/>
      <w:r>
        <w:t xml:space="preserve">Mata-Rosas M., </w:t>
      </w:r>
      <w:proofErr w:type="spellStart"/>
      <w:r>
        <w:t>Monroy</w:t>
      </w:r>
      <w:proofErr w:type="spellEnd"/>
      <w:r>
        <w:t xml:space="preserve">-De La Rosa M.A., </w:t>
      </w:r>
      <w:proofErr w:type="spellStart"/>
      <w:r>
        <w:t>Moeb</w:t>
      </w:r>
      <w:r>
        <w:t>ius-Goldammer</w:t>
      </w:r>
      <w:proofErr w:type="spellEnd"/>
      <w:r>
        <w:t xml:space="preserve"> K., </w:t>
      </w:r>
      <w:proofErr w:type="spellStart"/>
      <w:r>
        <w:t>Chávez</w:t>
      </w:r>
      <w:proofErr w:type="spellEnd"/>
      <w:r>
        <w:t>-Avila V.M. (2001).</w:t>
      </w:r>
      <w:proofErr w:type="gramEnd"/>
      <w:r>
        <w:t xml:space="preserve"> </w:t>
      </w:r>
      <w:proofErr w:type="spellStart"/>
      <w:r>
        <w:t>Micropropagation</w:t>
      </w:r>
      <w:proofErr w:type="spellEnd"/>
      <w:r>
        <w:t xml:space="preserve"> of </w:t>
      </w:r>
      <w:proofErr w:type="spellStart"/>
      <w:r>
        <w:rPr>
          <w:i/>
        </w:rPr>
        <w:t>Turbinicarpus</w:t>
      </w:r>
      <w:proofErr w:type="spellEnd"/>
      <w:r>
        <w:t xml:space="preserve"> </w:t>
      </w:r>
      <w:proofErr w:type="spellStart"/>
      <w:r>
        <w:rPr>
          <w:i/>
        </w:rPr>
        <w:t>laui</w:t>
      </w:r>
      <w:proofErr w:type="spellEnd"/>
      <w:r>
        <w:rPr>
          <w:i/>
        </w:rPr>
        <w:t xml:space="preserve"> glass </w:t>
      </w:r>
      <w:proofErr w:type="gramStart"/>
      <w:r>
        <w:t>et</w:t>
      </w:r>
      <w:proofErr w:type="gramEnd"/>
      <w:r>
        <w:t xml:space="preserve"> Foster, an endemic and endangered species. </w:t>
      </w:r>
      <w:r>
        <w:rPr>
          <w:i/>
        </w:rPr>
        <w:t>In Vitro</w:t>
      </w:r>
      <w:r>
        <w:t xml:space="preserve"> Cellular and Developmental Biology-Plant, 37: 400-404.</w:t>
      </w:r>
      <w:r>
        <w:cr/>
      </w:r>
      <w:proofErr w:type="spellStart"/>
      <w:r>
        <w:t>Mauseth</w:t>
      </w:r>
      <w:proofErr w:type="spellEnd"/>
      <w:r>
        <w:t xml:space="preserve"> J.D. (1977). </w:t>
      </w:r>
      <w:proofErr w:type="spellStart"/>
      <w:r>
        <w:t>Cytokinin</w:t>
      </w:r>
      <w:proofErr w:type="spellEnd"/>
      <w:r>
        <w:t xml:space="preserve"> and </w:t>
      </w:r>
      <w:proofErr w:type="spellStart"/>
      <w:r>
        <w:t>gibberellic</w:t>
      </w:r>
      <w:proofErr w:type="spellEnd"/>
      <w:r>
        <w:t xml:space="preserve"> acid induc</w:t>
      </w:r>
      <w:r>
        <w:t>ed effects on the determination and morphogenesis of leaf primordial in</w:t>
      </w:r>
      <w:r>
        <w:rPr>
          <w:i/>
        </w:rPr>
        <w:t xml:space="preserve"> </w:t>
      </w:r>
      <w:proofErr w:type="spellStart"/>
      <w:r>
        <w:rPr>
          <w:i/>
        </w:rPr>
        <w:t>Opuntia</w:t>
      </w:r>
      <w:proofErr w:type="spellEnd"/>
      <w:r>
        <w:rPr>
          <w:i/>
        </w:rPr>
        <w:t xml:space="preserve"> </w:t>
      </w:r>
      <w:proofErr w:type="spellStart"/>
      <w:r>
        <w:rPr>
          <w:i/>
        </w:rPr>
        <w:t>polyacantha</w:t>
      </w:r>
      <w:proofErr w:type="spellEnd"/>
      <w:r>
        <w:t xml:space="preserve"> (</w:t>
      </w:r>
      <w:proofErr w:type="spellStart"/>
      <w:r>
        <w:t>Cactaceae</w:t>
      </w:r>
      <w:proofErr w:type="spellEnd"/>
      <w:r>
        <w:t>). American Journal of Botany, 64: 337-346.</w:t>
      </w:r>
      <w:r>
        <w:cr/>
      </w:r>
      <w:proofErr w:type="spellStart"/>
      <w:r>
        <w:t>Mauseth</w:t>
      </w:r>
      <w:proofErr w:type="spellEnd"/>
      <w:r>
        <w:t xml:space="preserve"> J.D. (1979). A new method for the propagation of cacti: sterile culture of </w:t>
      </w:r>
      <w:proofErr w:type="spellStart"/>
      <w:r>
        <w:t>axillary</w:t>
      </w:r>
      <w:proofErr w:type="spellEnd"/>
      <w:r>
        <w:t xml:space="preserve"> buds. Cactus and S</w:t>
      </w:r>
      <w:r>
        <w:t xml:space="preserve">ucculent Journal (U.S.), 51: 186-187. </w:t>
      </w:r>
      <w:r>
        <w:cr/>
      </w:r>
      <w:proofErr w:type="spellStart"/>
      <w:r>
        <w:t>Minocha</w:t>
      </w:r>
      <w:proofErr w:type="spellEnd"/>
      <w:r>
        <w:t xml:space="preserve"> S.C., </w:t>
      </w:r>
      <w:proofErr w:type="spellStart"/>
      <w:r>
        <w:t>Mehra</w:t>
      </w:r>
      <w:proofErr w:type="spellEnd"/>
      <w:r>
        <w:t xml:space="preserve"> P.N. (1974). </w:t>
      </w:r>
      <w:proofErr w:type="gramStart"/>
      <w:r>
        <w:t xml:space="preserve">Nutritional and </w:t>
      </w:r>
      <w:proofErr w:type="spellStart"/>
      <w:r>
        <w:t>morphogenic</w:t>
      </w:r>
      <w:proofErr w:type="spellEnd"/>
      <w:r>
        <w:t xml:space="preserve"> investigations on callus cultures of</w:t>
      </w:r>
      <w:r>
        <w:rPr>
          <w:i/>
        </w:rPr>
        <w:t xml:space="preserve"> </w:t>
      </w:r>
      <w:proofErr w:type="spellStart"/>
      <w:r>
        <w:rPr>
          <w:i/>
        </w:rPr>
        <w:t>Neomammillaria</w:t>
      </w:r>
      <w:proofErr w:type="spellEnd"/>
      <w:r>
        <w:rPr>
          <w:i/>
        </w:rPr>
        <w:t xml:space="preserve"> </w:t>
      </w:r>
      <w:proofErr w:type="spellStart"/>
      <w:r>
        <w:rPr>
          <w:i/>
        </w:rPr>
        <w:t>prolifera</w:t>
      </w:r>
      <w:proofErr w:type="spellEnd"/>
      <w:r>
        <w:t xml:space="preserve"> Miller.</w:t>
      </w:r>
      <w:proofErr w:type="gramEnd"/>
      <w:r>
        <w:t xml:space="preserve"> </w:t>
      </w:r>
      <w:proofErr w:type="gramStart"/>
      <w:r>
        <w:t>(</w:t>
      </w:r>
      <w:proofErr w:type="spellStart"/>
      <w:r>
        <w:t>Cactaceae</w:t>
      </w:r>
      <w:proofErr w:type="spellEnd"/>
      <w:r>
        <w:t>).</w:t>
      </w:r>
      <w:proofErr w:type="gramEnd"/>
      <w:r>
        <w:t xml:space="preserve">  American Journal of Botany, 6: 168-173. </w:t>
      </w:r>
      <w:r>
        <w:cr/>
      </w:r>
      <w:proofErr w:type="spellStart"/>
      <w:proofErr w:type="gramStart"/>
      <w:r>
        <w:t>Moebius-Goldammer</w:t>
      </w:r>
      <w:proofErr w:type="spellEnd"/>
      <w:r>
        <w:t xml:space="preserve"> K., Mata R.M.</w:t>
      </w:r>
      <w:r>
        <w:t xml:space="preserve">, </w:t>
      </w:r>
      <w:proofErr w:type="spellStart"/>
      <w:r>
        <w:t>Chávez</w:t>
      </w:r>
      <w:proofErr w:type="spellEnd"/>
      <w:r>
        <w:t xml:space="preserve"> A.V.M. (2003).</w:t>
      </w:r>
      <w:proofErr w:type="gramEnd"/>
      <w:r>
        <w:t xml:space="preserve"> Organogenesis and somatic embryogenesis in </w:t>
      </w:r>
      <w:proofErr w:type="spellStart"/>
      <w:r>
        <w:rPr>
          <w:i/>
        </w:rPr>
        <w:t>Ariocarpus</w:t>
      </w:r>
      <w:proofErr w:type="spellEnd"/>
      <w:r>
        <w:rPr>
          <w:i/>
        </w:rPr>
        <w:t xml:space="preserve"> </w:t>
      </w:r>
      <w:proofErr w:type="spellStart"/>
      <w:r>
        <w:rPr>
          <w:i/>
        </w:rPr>
        <w:t>Kotschoubeyanus</w:t>
      </w:r>
      <w:proofErr w:type="spellEnd"/>
      <w:r>
        <w:rPr>
          <w:i/>
        </w:rPr>
        <w:t xml:space="preserve"> </w:t>
      </w:r>
      <w:r>
        <w:t>(</w:t>
      </w:r>
      <w:proofErr w:type="spellStart"/>
      <w:r>
        <w:t>lem</w:t>
      </w:r>
      <w:proofErr w:type="spellEnd"/>
      <w:r>
        <w:t xml:space="preserve">) K. </w:t>
      </w:r>
      <w:proofErr w:type="spellStart"/>
      <w:r>
        <w:t>Schum</w:t>
      </w:r>
      <w:proofErr w:type="spellEnd"/>
      <w:r>
        <w:t>, (</w:t>
      </w:r>
      <w:proofErr w:type="spellStart"/>
      <w:r>
        <w:t>Cactaceae</w:t>
      </w:r>
      <w:proofErr w:type="spellEnd"/>
      <w:r>
        <w:t xml:space="preserve">), an endemic and endangered Mexican species. </w:t>
      </w:r>
      <w:r>
        <w:rPr>
          <w:i/>
        </w:rPr>
        <w:t xml:space="preserve">In Vitro </w:t>
      </w:r>
      <w:r>
        <w:t>Cellular and Developmental Biology-Plant, 39: 388-393.</w:t>
      </w:r>
      <w:r>
        <w:cr/>
        <w:t>Mohamed-</w:t>
      </w:r>
      <w:proofErr w:type="spellStart"/>
      <w:r>
        <w:t>Yasseen</w:t>
      </w:r>
      <w:proofErr w:type="spellEnd"/>
      <w:r>
        <w:t xml:space="preserve"> Y. (2002).</w:t>
      </w:r>
      <w:r>
        <w:t xml:space="preserve"> </w:t>
      </w:r>
      <w:proofErr w:type="spellStart"/>
      <w:r>
        <w:t>Micropropagation</w:t>
      </w:r>
      <w:proofErr w:type="spellEnd"/>
      <w:r>
        <w:t xml:space="preserve"> of </w:t>
      </w:r>
      <w:proofErr w:type="spellStart"/>
      <w:r>
        <w:t>pitaya</w:t>
      </w:r>
      <w:proofErr w:type="spellEnd"/>
      <w:r>
        <w:t xml:space="preserve"> (</w:t>
      </w:r>
      <w:proofErr w:type="spellStart"/>
      <w:r>
        <w:rPr>
          <w:i/>
        </w:rPr>
        <w:t>Hylocereus</w:t>
      </w:r>
      <w:proofErr w:type="spellEnd"/>
      <w:r>
        <w:rPr>
          <w:i/>
        </w:rPr>
        <w:t xml:space="preserve"> </w:t>
      </w:r>
      <w:proofErr w:type="spellStart"/>
      <w:r>
        <w:rPr>
          <w:i/>
        </w:rPr>
        <w:t>undatus</w:t>
      </w:r>
      <w:proofErr w:type="spellEnd"/>
      <w:r>
        <w:t xml:space="preserve"> Britton </w:t>
      </w:r>
      <w:proofErr w:type="gramStart"/>
      <w:r>
        <w:t>et</w:t>
      </w:r>
      <w:proofErr w:type="gramEnd"/>
      <w:r>
        <w:t xml:space="preserve"> rose). </w:t>
      </w:r>
      <w:r>
        <w:rPr>
          <w:i/>
        </w:rPr>
        <w:t>In Vitro</w:t>
      </w:r>
      <w:r>
        <w:t xml:space="preserve"> Cellular and Developmental Biology-Plant, 38: 427-429.</w:t>
      </w:r>
      <w:r>
        <w:cr/>
      </w:r>
      <w:proofErr w:type="spellStart"/>
      <w:r>
        <w:t>Murashige</w:t>
      </w:r>
      <w:proofErr w:type="spellEnd"/>
      <w:r>
        <w:t xml:space="preserve"> T., </w:t>
      </w:r>
      <w:proofErr w:type="spellStart"/>
      <w:r>
        <w:t>Skoog</w:t>
      </w:r>
      <w:proofErr w:type="spellEnd"/>
      <w:r>
        <w:t xml:space="preserve"> F. (1962). A revised medium for rapid growth and bio assays with tobacco tissue cultures. </w:t>
      </w:r>
      <w:proofErr w:type="spellStart"/>
      <w:r>
        <w:t>Physiologia</w:t>
      </w:r>
      <w:proofErr w:type="spellEnd"/>
      <w:r>
        <w:t xml:space="preserve"> </w:t>
      </w:r>
      <w:proofErr w:type="spellStart"/>
      <w:r>
        <w:t>Plan</w:t>
      </w:r>
      <w:r>
        <w:t>tarum</w:t>
      </w:r>
      <w:proofErr w:type="spellEnd"/>
      <w:r>
        <w:t>, 4: 473-497.</w:t>
      </w:r>
      <w:r>
        <w:cr/>
        <w:t xml:space="preserve">Nava-Esparza V.C., </w:t>
      </w:r>
      <w:proofErr w:type="spellStart"/>
      <w:r>
        <w:t>Yáñez</w:t>
      </w:r>
      <w:proofErr w:type="spellEnd"/>
      <w:r>
        <w:t xml:space="preserve"> L. (1984). </w:t>
      </w:r>
      <w:proofErr w:type="spellStart"/>
      <w:proofErr w:type="gramStart"/>
      <w:r>
        <w:t>Propagación</w:t>
      </w:r>
      <w:proofErr w:type="spellEnd"/>
      <w:r>
        <w:t xml:space="preserve"> de</w:t>
      </w:r>
      <w:r>
        <w:rPr>
          <w:i/>
        </w:rPr>
        <w:t xml:space="preserve"> </w:t>
      </w:r>
      <w:proofErr w:type="spellStart"/>
      <w:r>
        <w:rPr>
          <w:i/>
        </w:rPr>
        <w:t>Cephalocereus</w:t>
      </w:r>
      <w:proofErr w:type="spellEnd"/>
      <w:r>
        <w:rPr>
          <w:i/>
        </w:rPr>
        <w:t xml:space="preserve"> </w:t>
      </w:r>
      <w:proofErr w:type="spellStart"/>
      <w:r>
        <w:rPr>
          <w:i/>
        </w:rPr>
        <w:t>senilis</w:t>
      </w:r>
      <w:proofErr w:type="spellEnd"/>
      <w:r>
        <w:t xml:space="preserve"> </w:t>
      </w:r>
      <w:proofErr w:type="spellStart"/>
      <w:r>
        <w:t>mediante</w:t>
      </w:r>
      <w:proofErr w:type="spellEnd"/>
      <w:r>
        <w:t xml:space="preserve"> </w:t>
      </w:r>
      <w:proofErr w:type="spellStart"/>
      <w:r>
        <w:t>cultivo</w:t>
      </w:r>
      <w:proofErr w:type="spellEnd"/>
      <w:r>
        <w:t xml:space="preserve"> de </w:t>
      </w:r>
      <w:proofErr w:type="spellStart"/>
      <w:r>
        <w:t>tejidos</w:t>
      </w:r>
      <w:proofErr w:type="spellEnd"/>
      <w:r>
        <w:t>.</w:t>
      </w:r>
      <w:proofErr w:type="gramEnd"/>
      <w:r>
        <w:t xml:space="preserve"> </w:t>
      </w:r>
      <w:proofErr w:type="spellStart"/>
      <w:r>
        <w:t>Cactáceas</w:t>
      </w:r>
      <w:proofErr w:type="spellEnd"/>
      <w:r>
        <w:t xml:space="preserve"> y </w:t>
      </w:r>
      <w:proofErr w:type="spellStart"/>
      <w:r>
        <w:t>Suculentas</w:t>
      </w:r>
      <w:proofErr w:type="spellEnd"/>
      <w:r>
        <w:t xml:space="preserve"> </w:t>
      </w:r>
      <w:proofErr w:type="spellStart"/>
      <w:r>
        <w:t>Mexicanas</w:t>
      </w:r>
      <w:proofErr w:type="spellEnd"/>
      <w:r>
        <w:t xml:space="preserve">, XXIX: 3-7. </w:t>
      </w:r>
      <w:r>
        <w:cr/>
        <w:t xml:space="preserve">Norma </w:t>
      </w:r>
      <w:proofErr w:type="spellStart"/>
      <w:r>
        <w:t>Oficial</w:t>
      </w:r>
      <w:proofErr w:type="spellEnd"/>
      <w:r>
        <w:t xml:space="preserve"> Mexicana (NOM-059-SEMARNAT-2010). </w:t>
      </w:r>
      <w:proofErr w:type="spellStart"/>
      <w:r>
        <w:t>Diario</w:t>
      </w:r>
      <w:proofErr w:type="spellEnd"/>
      <w:r>
        <w:t xml:space="preserve"> </w:t>
      </w:r>
      <w:proofErr w:type="spellStart"/>
      <w:r>
        <w:t>Oficial</w:t>
      </w:r>
      <w:proofErr w:type="spellEnd"/>
      <w:r>
        <w:t xml:space="preserve"> de la </w:t>
      </w:r>
      <w:proofErr w:type="spellStart"/>
      <w:r>
        <w:t>Federación</w:t>
      </w:r>
      <w:proofErr w:type="spellEnd"/>
      <w:r>
        <w:t xml:space="preserve">. </w:t>
      </w:r>
      <w:proofErr w:type="spellStart"/>
      <w:r>
        <w:t>Organo</w:t>
      </w:r>
      <w:proofErr w:type="spellEnd"/>
      <w:r>
        <w:t xml:space="preserve"> </w:t>
      </w:r>
      <w:proofErr w:type="gramStart"/>
      <w:r>
        <w:t>d</w:t>
      </w:r>
      <w:r>
        <w:t>el</w:t>
      </w:r>
      <w:proofErr w:type="gramEnd"/>
      <w:r>
        <w:t xml:space="preserve"> </w:t>
      </w:r>
      <w:proofErr w:type="spellStart"/>
      <w:r>
        <w:t>Gobierno</w:t>
      </w:r>
      <w:proofErr w:type="spellEnd"/>
      <w:r>
        <w:t xml:space="preserve"> </w:t>
      </w:r>
      <w:proofErr w:type="spellStart"/>
      <w:r>
        <w:t>Constitucional</w:t>
      </w:r>
      <w:proofErr w:type="spellEnd"/>
      <w:r>
        <w:t xml:space="preserve"> de los </w:t>
      </w:r>
      <w:proofErr w:type="spellStart"/>
      <w:r>
        <w:t>Estados</w:t>
      </w:r>
      <w:proofErr w:type="spellEnd"/>
      <w:r>
        <w:t xml:space="preserve"> </w:t>
      </w:r>
      <w:proofErr w:type="spellStart"/>
      <w:r>
        <w:t>Unidos</w:t>
      </w:r>
      <w:proofErr w:type="spellEnd"/>
      <w:r>
        <w:t xml:space="preserve"> </w:t>
      </w:r>
      <w:proofErr w:type="spellStart"/>
      <w:r>
        <w:t>Mexicanos</w:t>
      </w:r>
      <w:proofErr w:type="spellEnd"/>
      <w:r>
        <w:t xml:space="preserve">. </w:t>
      </w:r>
      <w:proofErr w:type="gramStart"/>
      <w:r>
        <w:t xml:space="preserve">México, D. F. </w:t>
      </w:r>
      <w:proofErr w:type="spellStart"/>
      <w:r>
        <w:t>jueves</w:t>
      </w:r>
      <w:proofErr w:type="spellEnd"/>
      <w:r>
        <w:t xml:space="preserve"> 30 de </w:t>
      </w:r>
      <w:proofErr w:type="spellStart"/>
      <w:r>
        <w:t>diciembre</w:t>
      </w:r>
      <w:proofErr w:type="spellEnd"/>
      <w:r>
        <w:t xml:space="preserve"> de 2010, Mexico.</w:t>
      </w:r>
      <w:proofErr w:type="gramEnd"/>
      <w:r>
        <w:cr/>
      </w:r>
      <w:proofErr w:type="spellStart"/>
      <w:proofErr w:type="gramStart"/>
      <w:r>
        <w:t>Pérez</w:t>
      </w:r>
      <w:proofErr w:type="spellEnd"/>
      <w:r>
        <w:t xml:space="preserve"> C.J., Flores R., </w:t>
      </w:r>
      <w:proofErr w:type="spellStart"/>
      <w:r>
        <w:t>Ortíz</w:t>
      </w:r>
      <w:proofErr w:type="spellEnd"/>
      <w:r>
        <w:t xml:space="preserve"> G. (1999).</w:t>
      </w:r>
      <w:proofErr w:type="gramEnd"/>
      <w:r>
        <w:t xml:space="preserve"> </w:t>
      </w:r>
      <w:proofErr w:type="spellStart"/>
      <w:r>
        <w:t>Reproducción</w:t>
      </w:r>
      <w:proofErr w:type="spellEnd"/>
      <w:r>
        <w:t xml:space="preserve"> </w:t>
      </w:r>
      <w:r>
        <w:rPr>
          <w:i/>
        </w:rPr>
        <w:t xml:space="preserve">in vitro </w:t>
      </w:r>
      <w:proofErr w:type="gramStart"/>
      <w:r>
        <w:t>del</w:t>
      </w:r>
      <w:proofErr w:type="gramEnd"/>
      <w:r>
        <w:t xml:space="preserve"> “Cactus de </w:t>
      </w:r>
      <w:proofErr w:type="spellStart"/>
      <w:r>
        <w:t>navidad</w:t>
      </w:r>
      <w:proofErr w:type="spellEnd"/>
      <w:r>
        <w:t xml:space="preserve">” </w:t>
      </w:r>
      <w:proofErr w:type="spellStart"/>
      <w:r>
        <w:rPr>
          <w:i/>
        </w:rPr>
        <w:t>Schlumbergera</w:t>
      </w:r>
      <w:proofErr w:type="spellEnd"/>
      <w:r>
        <w:rPr>
          <w:i/>
        </w:rPr>
        <w:t xml:space="preserve"> </w:t>
      </w:r>
      <w:proofErr w:type="spellStart"/>
      <w:r>
        <w:rPr>
          <w:i/>
        </w:rPr>
        <w:t>truncata</w:t>
      </w:r>
      <w:proofErr w:type="spellEnd"/>
      <w:r>
        <w:t xml:space="preserve"> (Haworth) </w:t>
      </w:r>
      <w:proofErr w:type="spellStart"/>
      <w:r>
        <w:t>Morán</w:t>
      </w:r>
      <w:proofErr w:type="spellEnd"/>
      <w:r>
        <w:t xml:space="preserve">. </w:t>
      </w:r>
      <w:proofErr w:type="spellStart"/>
      <w:r>
        <w:t>Cactáceas</w:t>
      </w:r>
      <w:proofErr w:type="spellEnd"/>
      <w:r>
        <w:t xml:space="preserve"> y </w:t>
      </w:r>
      <w:proofErr w:type="spellStart"/>
      <w:r>
        <w:t>Sucu</w:t>
      </w:r>
      <w:r>
        <w:t>lentas</w:t>
      </w:r>
      <w:proofErr w:type="spellEnd"/>
      <w:r>
        <w:t xml:space="preserve"> </w:t>
      </w:r>
      <w:proofErr w:type="spellStart"/>
      <w:r>
        <w:t>Mexicanas</w:t>
      </w:r>
      <w:proofErr w:type="spellEnd"/>
      <w:r>
        <w:t>, 44: 77-83.</w:t>
      </w:r>
      <w:r>
        <w:cr/>
      </w:r>
      <w:proofErr w:type="spellStart"/>
      <w:proofErr w:type="gramStart"/>
      <w:r>
        <w:t>Pérez</w:t>
      </w:r>
      <w:proofErr w:type="spellEnd"/>
      <w:r>
        <w:t>-</w:t>
      </w:r>
      <w:proofErr w:type="spellStart"/>
      <w:r>
        <w:t>Molphe</w:t>
      </w:r>
      <w:proofErr w:type="spellEnd"/>
      <w:r>
        <w:t xml:space="preserve">-Balch E., </w:t>
      </w:r>
      <w:proofErr w:type="spellStart"/>
      <w:r>
        <w:t>Dávila</w:t>
      </w:r>
      <w:proofErr w:type="spellEnd"/>
      <w:r>
        <w:t>-Figueroa C.A. (2002).</w:t>
      </w:r>
      <w:proofErr w:type="gramEnd"/>
      <w:r>
        <w:t xml:space="preserve"> </w:t>
      </w:r>
      <w:proofErr w:type="gramStart"/>
      <w:r>
        <w:rPr>
          <w:i/>
        </w:rPr>
        <w:t xml:space="preserve">In vitro </w:t>
      </w:r>
      <w:r>
        <w:t xml:space="preserve">propagation of </w:t>
      </w:r>
      <w:proofErr w:type="spellStart"/>
      <w:r>
        <w:rPr>
          <w:i/>
        </w:rPr>
        <w:t>Pelecyphora</w:t>
      </w:r>
      <w:proofErr w:type="spellEnd"/>
      <w:r>
        <w:rPr>
          <w:i/>
        </w:rPr>
        <w:t xml:space="preserve"> </w:t>
      </w:r>
      <w:proofErr w:type="spellStart"/>
      <w:r>
        <w:rPr>
          <w:i/>
        </w:rPr>
        <w:t>aselliformis</w:t>
      </w:r>
      <w:proofErr w:type="spellEnd"/>
      <w:r>
        <w:rPr>
          <w:i/>
        </w:rPr>
        <w:t xml:space="preserve"> </w:t>
      </w:r>
      <w:r>
        <w:t xml:space="preserve">Ehrenberg and </w:t>
      </w:r>
      <w:r>
        <w:rPr>
          <w:i/>
        </w:rPr>
        <w:t xml:space="preserve">P. </w:t>
      </w:r>
      <w:proofErr w:type="spellStart"/>
      <w:r>
        <w:rPr>
          <w:i/>
        </w:rPr>
        <w:t>Strobiliformis</w:t>
      </w:r>
      <w:proofErr w:type="spellEnd"/>
      <w:r>
        <w:rPr>
          <w:i/>
        </w:rPr>
        <w:t xml:space="preserve"> </w:t>
      </w:r>
      <w:proofErr w:type="spellStart"/>
      <w:r>
        <w:t>Werdermann</w:t>
      </w:r>
      <w:proofErr w:type="spellEnd"/>
      <w:r>
        <w:t xml:space="preserve"> (</w:t>
      </w:r>
      <w:proofErr w:type="spellStart"/>
      <w:r>
        <w:t>Cactaceae</w:t>
      </w:r>
      <w:proofErr w:type="spellEnd"/>
      <w:r>
        <w:t>).</w:t>
      </w:r>
      <w:proofErr w:type="gramEnd"/>
      <w:r>
        <w:t xml:space="preserve"> </w:t>
      </w:r>
      <w:r>
        <w:rPr>
          <w:i/>
        </w:rPr>
        <w:t>In Vitro</w:t>
      </w:r>
      <w:r>
        <w:t xml:space="preserve"> Cellular and Developmental Biology-Plant, 38: 73-78.  </w:t>
      </w:r>
      <w:r>
        <w:cr/>
      </w:r>
      <w:proofErr w:type="spellStart"/>
      <w:proofErr w:type="gramStart"/>
      <w:r>
        <w:lastRenderedPageBreak/>
        <w:t>Pérez</w:t>
      </w:r>
      <w:proofErr w:type="spellEnd"/>
      <w:r>
        <w:t>-</w:t>
      </w:r>
      <w:proofErr w:type="spellStart"/>
      <w:r>
        <w:t>Molphe</w:t>
      </w:r>
      <w:proofErr w:type="spellEnd"/>
      <w:r>
        <w:t xml:space="preserve">-Balch E., </w:t>
      </w:r>
      <w:proofErr w:type="spellStart"/>
      <w:r>
        <w:t>Pérez</w:t>
      </w:r>
      <w:proofErr w:type="spellEnd"/>
      <w:r>
        <w:t xml:space="preserve"> M.E., Meza E., </w:t>
      </w:r>
      <w:proofErr w:type="spellStart"/>
      <w:r>
        <w:t>Morones</w:t>
      </w:r>
      <w:proofErr w:type="spellEnd"/>
      <w:r>
        <w:t xml:space="preserve"> L.R., </w:t>
      </w:r>
      <w:proofErr w:type="spellStart"/>
      <w:r>
        <w:t>Lizalde</w:t>
      </w:r>
      <w:proofErr w:type="spellEnd"/>
      <w:r>
        <w:t xml:space="preserve"> H.J. (1998).</w:t>
      </w:r>
      <w:proofErr w:type="gramEnd"/>
      <w:r>
        <w:t xml:space="preserve"> </w:t>
      </w:r>
      <w:proofErr w:type="spellStart"/>
      <w:proofErr w:type="gramStart"/>
      <w:r>
        <w:t>Micropropagation</w:t>
      </w:r>
      <w:proofErr w:type="spellEnd"/>
      <w:r>
        <w:t xml:space="preserve"> of 21 species of Mexican cacti by </w:t>
      </w:r>
      <w:proofErr w:type="spellStart"/>
      <w:r>
        <w:t>axiliary</w:t>
      </w:r>
      <w:proofErr w:type="spellEnd"/>
      <w:r>
        <w:t xml:space="preserve"> proliferation.</w:t>
      </w:r>
      <w:proofErr w:type="gramEnd"/>
      <w:r>
        <w:t xml:space="preserve"> </w:t>
      </w:r>
      <w:r>
        <w:rPr>
          <w:i/>
        </w:rPr>
        <w:t>In Vitro</w:t>
      </w:r>
      <w:r>
        <w:t xml:space="preserve"> Cellular and Developmental Biology-Plant, 34: 131-135.</w:t>
      </w:r>
      <w:r>
        <w:cr/>
      </w:r>
      <w:proofErr w:type="spellStart"/>
      <w:r>
        <w:t>Pierik</w:t>
      </w:r>
      <w:proofErr w:type="spellEnd"/>
      <w:r>
        <w:t xml:space="preserve"> R.L.M. (1990). </w:t>
      </w:r>
      <w:proofErr w:type="spellStart"/>
      <w:proofErr w:type="gramStart"/>
      <w:r>
        <w:t>Cultivo</w:t>
      </w:r>
      <w:proofErr w:type="spellEnd"/>
      <w:r>
        <w:t xml:space="preserve"> </w:t>
      </w:r>
      <w:r>
        <w:rPr>
          <w:i/>
        </w:rPr>
        <w:t xml:space="preserve">in vitro </w:t>
      </w:r>
      <w:r>
        <w:t xml:space="preserve">de </w:t>
      </w:r>
      <w:proofErr w:type="spellStart"/>
      <w:r>
        <w:t>la</w:t>
      </w:r>
      <w:r>
        <w:t>s</w:t>
      </w:r>
      <w:proofErr w:type="spellEnd"/>
      <w:r>
        <w:t xml:space="preserve"> </w:t>
      </w:r>
      <w:proofErr w:type="spellStart"/>
      <w:r>
        <w:t>plantas</w:t>
      </w:r>
      <w:proofErr w:type="spellEnd"/>
      <w:r>
        <w:t xml:space="preserve"> </w:t>
      </w:r>
      <w:proofErr w:type="spellStart"/>
      <w:r>
        <w:t>superiores</w:t>
      </w:r>
      <w:proofErr w:type="spellEnd"/>
      <w:r>
        <w:t xml:space="preserve">, third ed. Mundi </w:t>
      </w:r>
      <w:proofErr w:type="spellStart"/>
      <w:r>
        <w:t>Prensa</w:t>
      </w:r>
      <w:proofErr w:type="spellEnd"/>
      <w:r>
        <w:t>, Madrid, Spain, 326 pp.</w:t>
      </w:r>
      <w:proofErr w:type="gramEnd"/>
      <w:r>
        <w:cr/>
      </w:r>
      <w:proofErr w:type="spellStart"/>
      <w:r>
        <w:t>Pilbeam</w:t>
      </w:r>
      <w:proofErr w:type="spellEnd"/>
      <w:r>
        <w:t xml:space="preserve"> J., </w:t>
      </w:r>
      <w:proofErr w:type="spellStart"/>
      <w:r>
        <w:t>Weightman</w:t>
      </w:r>
      <w:proofErr w:type="spellEnd"/>
      <w:r>
        <w:t xml:space="preserve"> B. (2006). </w:t>
      </w:r>
      <w:proofErr w:type="spellStart"/>
      <w:r>
        <w:rPr>
          <w:i/>
        </w:rPr>
        <w:t>Ariocarpus</w:t>
      </w:r>
      <w:proofErr w:type="spellEnd"/>
      <w:r>
        <w:t xml:space="preserve"> </w:t>
      </w:r>
      <w:r>
        <w:rPr>
          <w:i/>
        </w:rPr>
        <w:t>et cetera</w:t>
      </w:r>
      <w:r>
        <w:t xml:space="preserve">. </w:t>
      </w:r>
      <w:proofErr w:type="gramStart"/>
      <w:r>
        <w:t>The British Cactus and Succulent Society.</w:t>
      </w:r>
      <w:proofErr w:type="gramEnd"/>
      <w:r>
        <w:t xml:space="preserve"> Essex, UK, 140 pp.</w:t>
      </w:r>
    </w:p>
    <w:p w:rsidR="00000000" w:rsidRDefault="009E6419">
      <w:pPr>
        <w:pStyle w:val="Normln"/>
        <w:spacing w:line="360" w:lineRule="auto"/>
      </w:pPr>
      <w:proofErr w:type="spellStart"/>
      <w:r>
        <w:rPr>
          <w:sz w:val="26"/>
        </w:rPr>
        <w:t>Pospísilová</w:t>
      </w:r>
      <w:proofErr w:type="spellEnd"/>
      <w:r>
        <w:rPr>
          <w:sz w:val="26"/>
        </w:rPr>
        <w:t xml:space="preserve"> J., </w:t>
      </w:r>
      <w:proofErr w:type="spellStart"/>
      <w:r>
        <w:rPr>
          <w:sz w:val="26"/>
        </w:rPr>
        <w:t>Tichá</w:t>
      </w:r>
      <w:proofErr w:type="spellEnd"/>
      <w:r>
        <w:rPr>
          <w:sz w:val="26"/>
        </w:rPr>
        <w:t xml:space="preserve"> I., </w:t>
      </w:r>
      <w:proofErr w:type="spellStart"/>
      <w:r>
        <w:rPr>
          <w:sz w:val="26"/>
        </w:rPr>
        <w:t>Kadlecek</w:t>
      </w:r>
      <w:proofErr w:type="spellEnd"/>
      <w:r>
        <w:rPr>
          <w:sz w:val="26"/>
        </w:rPr>
        <w:t xml:space="preserve"> P., </w:t>
      </w:r>
      <w:proofErr w:type="spellStart"/>
      <w:r>
        <w:rPr>
          <w:sz w:val="26"/>
        </w:rPr>
        <w:t>Haisel</w:t>
      </w:r>
      <w:proofErr w:type="spellEnd"/>
      <w:r>
        <w:rPr>
          <w:sz w:val="26"/>
        </w:rPr>
        <w:t xml:space="preserve"> D., </w:t>
      </w:r>
      <w:proofErr w:type="spellStart"/>
      <w:r>
        <w:rPr>
          <w:sz w:val="26"/>
        </w:rPr>
        <w:t>Pilzaková</w:t>
      </w:r>
      <w:proofErr w:type="spellEnd"/>
      <w:r>
        <w:rPr>
          <w:sz w:val="26"/>
        </w:rPr>
        <w:t xml:space="preserve"> S. (1999). </w:t>
      </w:r>
      <w:proofErr w:type="spellStart"/>
      <w:r>
        <w:rPr>
          <w:sz w:val="26"/>
        </w:rPr>
        <w:t>Acclimatization</w:t>
      </w:r>
      <w:proofErr w:type="spellEnd"/>
      <w:r>
        <w:rPr>
          <w:sz w:val="26"/>
        </w:rPr>
        <w:t xml:space="preserve"> of </w:t>
      </w:r>
      <w:proofErr w:type="spellStart"/>
      <w:r>
        <w:rPr>
          <w:sz w:val="26"/>
        </w:rPr>
        <w:t>micropropagated</w:t>
      </w:r>
      <w:proofErr w:type="spellEnd"/>
      <w:r>
        <w:rPr>
          <w:sz w:val="26"/>
        </w:rPr>
        <w:t xml:space="preserve"> </w:t>
      </w:r>
      <w:proofErr w:type="spellStart"/>
      <w:r>
        <w:rPr>
          <w:sz w:val="26"/>
        </w:rPr>
        <w:t>plants</w:t>
      </w:r>
      <w:proofErr w:type="spellEnd"/>
      <w:r>
        <w:rPr>
          <w:sz w:val="26"/>
        </w:rPr>
        <w:t xml:space="preserve"> </w:t>
      </w:r>
      <w:proofErr w:type="spellStart"/>
      <w:r>
        <w:rPr>
          <w:sz w:val="26"/>
        </w:rPr>
        <w:t>to</w:t>
      </w:r>
      <w:proofErr w:type="spellEnd"/>
      <w:r>
        <w:rPr>
          <w:sz w:val="26"/>
        </w:rPr>
        <w:t xml:space="preserve"> </w:t>
      </w:r>
      <w:r>
        <w:rPr>
          <w:i/>
          <w:sz w:val="26"/>
        </w:rPr>
        <w:t>ex vitro</w:t>
      </w:r>
      <w:r>
        <w:rPr>
          <w:sz w:val="26"/>
        </w:rPr>
        <w:t xml:space="preserve"> </w:t>
      </w:r>
      <w:proofErr w:type="spellStart"/>
      <w:r>
        <w:rPr>
          <w:sz w:val="26"/>
        </w:rPr>
        <w:t>conditions</w:t>
      </w:r>
      <w:proofErr w:type="spellEnd"/>
      <w:r>
        <w:rPr>
          <w:sz w:val="26"/>
        </w:rPr>
        <w:t xml:space="preserve">. </w:t>
      </w:r>
      <w:proofErr w:type="spellStart"/>
      <w:r>
        <w:rPr>
          <w:sz w:val="26"/>
        </w:rPr>
        <w:t>Biologia</w:t>
      </w:r>
      <w:proofErr w:type="spellEnd"/>
      <w:r>
        <w:rPr>
          <w:sz w:val="26"/>
        </w:rPr>
        <w:t xml:space="preserve"> </w:t>
      </w:r>
      <w:proofErr w:type="spellStart"/>
      <w:r>
        <w:rPr>
          <w:sz w:val="26"/>
        </w:rPr>
        <w:t>Plantarum</w:t>
      </w:r>
      <w:proofErr w:type="spellEnd"/>
      <w:r>
        <w:rPr>
          <w:sz w:val="26"/>
        </w:rPr>
        <w:t>, 42: 481-497.</w:t>
      </w:r>
      <w:r>
        <w:cr/>
      </w:r>
      <w:proofErr w:type="spellStart"/>
      <w:r>
        <w:t>Preece</w:t>
      </w:r>
      <w:proofErr w:type="spellEnd"/>
      <w:r>
        <w:t xml:space="preserve"> J.E, </w:t>
      </w:r>
      <w:proofErr w:type="spellStart"/>
      <w:r>
        <w:t>Sutter</w:t>
      </w:r>
      <w:proofErr w:type="spellEnd"/>
      <w:r>
        <w:t xml:space="preserve"> E.G. (1991). </w:t>
      </w:r>
      <w:proofErr w:type="spellStart"/>
      <w:r>
        <w:t>Acclimatization</w:t>
      </w:r>
      <w:proofErr w:type="spellEnd"/>
      <w:r>
        <w:t xml:space="preserve"> of </w:t>
      </w:r>
      <w:proofErr w:type="spellStart"/>
      <w:r>
        <w:t>micropropagated</w:t>
      </w:r>
      <w:proofErr w:type="spellEnd"/>
      <w:r>
        <w:t xml:space="preserve"> </w:t>
      </w:r>
      <w:proofErr w:type="spellStart"/>
      <w:r>
        <w:t>plants</w:t>
      </w:r>
      <w:proofErr w:type="spellEnd"/>
      <w:r>
        <w:t xml:space="preserve"> </w:t>
      </w:r>
      <w:proofErr w:type="spellStart"/>
      <w:r>
        <w:t>to</w:t>
      </w:r>
      <w:proofErr w:type="spellEnd"/>
      <w:r>
        <w:t xml:space="preserve"> </w:t>
      </w:r>
      <w:proofErr w:type="spellStart"/>
      <w:r>
        <w:t>the</w:t>
      </w:r>
      <w:proofErr w:type="spellEnd"/>
      <w:r>
        <w:t xml:space="preserve"> </w:t>
      </w:r>
      <w:proofErr w:type="spellStart"/>
      <w:r>
        <w:t>greenhouse</w:t>
      </w:r>
      <w:proofErr w:type="spellEnd"/>
      <w:r>
        <w:t xml:space="preserve"> and </w:t>
      </w:r>
      <w:proofErr w:type="spellStart"/>
      <w:r>
        <w:t>field</w:t>
      </w:r>
      <w:proofErr w:type="spellEnd"/>
      <w:r>
        <w:t xml:space="preserve">, </w:t>
      </w:r>
      <w:r>
        <w:rPr>
          <w:i/>
        </w:rPr>
        <w:t>In</w:t>
      </w:r>
      <w:r>
        <w:t xml:space="preserve">: </w:t>
      </w:r>
      <w:proofErr w:type="spellStart"/>
      <w:r>
        <w:t>Debergh</w:t>
      </w:r>
      <w:proofErr w:type="spellEnd"/>
      <w:r>
        <w:t xml:space="preserve"> P. C., </w:t>
      </w:r>
      <w:proofErr w:type="spellStart"/>
      <w:r>
        <w:t>Zimmerman</w:t>
      </w:r>
      <w:proofErr w:type="spellEnd"/>
      <w:r>
        <w:t xml:space="preserve"> R. H. (Eds.), </w:t>
      </w:r>
      <w:proofErr w:type="spellStart"/>
      <w:r>
        <w:t>Micropropag</w:t>
      </w:r>
      <w:r>
        <w:t>ation</w:t>
      </w:r>
      <w:proofErr w:type="spellEnd"/>
      <w:r>
        <w:t xml:space="preserve"> </w:t>
      </w:r>
      <w:proofErr w:type="spellStart"/>
      <w:r>
        <w:t>Technology</w:t>
      </w:r>
      <w:proofErr w:type="spellEnd"/>
      <w:r>
        <w:t xml:space="preserve"> and </w:t>
      </w:r>
      <w:proofErr w:type="spellStart"/>
      <w:r>
        <w:t>Applications</w:t>
      </w:r>
      <w:proofErr w:type="spellEnd"/>
      <w:r>
        <w:t xml:space="preserve">. </w:t>
      </w:r>
      <w:proofErr w:type="spellStart"/>
      <w:r>
        <w:t>Kluwer</w:t>
      </w:r>
      <w:proofErr w:type="spellEnd"/>
      <w:r>
        <w:t xml:space="preserve"> </w:t>
      </w:r>
      <w:proofErr w:type="spellStart"/>
      <w:r>
        <w:t>Academic</w:t>
      </w:r>
      <w:proofErr w:type="spellEnd"/>
      <w:r>
        <w:t xml:space="preserve"> </w:t>
      </w:r>
      <w:proofErr w:type="spellStart"/>
      <w:r>
        <w:t>Publishers</w:t>
      </w:r>
      <w:proofErr w:type="spellEnd"/>
      <w:r>
        <w:t xml:space="preserve">, </w:t>
      </w:r>
      <w:proofErr w:type="spellStart"/>
      <w:r>
        <w:t>Dondrecht</w:t>
      </w:r>
      <w:proofErr w:type="spellEnd"/>
      <w:r>
        <w:t xml:space="preserve">, </w:t>
      </w:r>
      <w:proofErr w:type="spellStart"/>
      <w:r>
        <w:t>The</w:t>
      </w:r>
      <w:proofErr w:type="spellEnd"/>
      <w:r>
        <w:t xml:space="preserve"> </w:t>
      </w:r>
      <w:proofErr w:type="spellStart"/>
      <w:r>
        <w:t>Netherlands</w:t>
      </w:r>
      <w:proofErr w:type="spellEnd"/>
      <w:r>
        <w:t>, pp. 71-93.</w:t>
      </w:r>
    </w:p>
    <w:p w:rsidR="00000000" w:rsidRDefault="009E6419">
      <w:pPr>
        <w:spacing w:line="360" w:lineRule="auto"/>
      </w:pPr>
      <w:proofErr w:type="spellStart"/>
      <w:proofErr w:type="gramStart"/>
      <w:r>
        <w:t>Quiala</w:t>
      </w:r>
      <w:proofErr w:type="spellEnd"/>
      <w:r>
        <w:t xml:space="preserve"> E., Matos J., </w:t>
      </w:r>
      <w:proofErr w:type="spellStart"/>
      <w:r>
        <w:t>Montalvo</w:t>
      </w:r>
      <w:proofErr w:type="spellEnd"/>
      <w:r>
        <w:t xml:space="preserve"> G., De </w:t>
      </w:r>
      <w:proofErr w:type="spellStart"/>
      <w:r>
        <w:t>Feria</w:t>
      </w:r>
      <w:proofErr w:type="spellEnd"/>
      <w:r>
        <w:t xml:space="preserve"> M., Chavez M., Capote A., </w:t>
      </w:r>
      <w:proofErr w:type="spellStart"/>
      <w:r>
        <w:t>Pérez</w:t>
      </w:r>
      <w:proofErr w:type="spellEnd"/>
      <w:r>
        <w:t xml:space="preserve">, N., </w:t>
      </w:r>
      <w:proofErr w:type="spellStart"/>
      <w:r>
        <w:t>Barón</w:t>
      </w:r>
      <w:proofErr w:type="spellEnd"/>
      <w:r>
        <w:t xml:space="preserve"> R., Kowalski B. (2009).</w:t>
      </w:r>
      <w:proofErr w:type="gramEnd"/>
      <w:r>
        <w:t xml:space="preserve"> </w:t>
      </w:r>
      <w:r>
        <w:rPr>
          <w:i/>
        </w:rPr>
        <w:t xml:space="preserve">In vitro </w:t>
      </w:r>
      <w:r>
        <w:t xml:space="preserve">propagation of </w:t>
      </w:r>
      <w:proofErr w:type="spellStart"/>
      <w:r>
        <w:rPr>
          <w:i/>
        </w:rPr>
        <w:t>Pilosocereus</w:t>
      </w:r>
      <w:proofErr w:type="spellEnd"/>
      <w:r>
        <w:rPr>
          <w:i/>
        </w:rPr>
        <w:t xml:space="preserve"> </w:t>
      </w:r>
      <w:proofErr w:type="spellStart"/>
      <w:r>
        <w:rPr>
          <w:i/>
        </w:rPr>
        <w:t>robinii</w:t>
      </w:r>
      <w:proofErr w:type="spellEnd"/>
      <w:r>
        <w:rPr>
          <w:i/>
        </w:rPr>
        <w:t xml:space="preserve"> </w:t>
      </w:r>
      <w:r>
        <w:t>(</w:t>
      </w:r>
      <w:proofErr w:type="spellStart"/>
      <w:r>
        <w:t>Lemaire</w:t>
      </w:r>
      <w:proofErr w:type="spellEnd"/>
      <w:r>
        <w:t xml:space="preserve">) </w:t>
      </w:r>
      <w:proofErr w:type="spellStart"/>
      <w:r>
        <w:t>Byles</w:t>
      </w:r>
      <w:proofErr w:type="spellEnd"/>
      <w:r>
        <w:t xml:space="preserve"> </w:t>
      </w:r>
      <w:proofErr w:type="gramStart"/>
      <w:r>
        <w:rPr>
          <w:i/>
        </w:rPr>
        <w:t>et</w:t>
      </w:r>
      <w:proofErr w:type="gramEnd"/>
      <w:r>
        <w:rPr>
          <w:i/>
        </w:rPr>
        <w:t xml:space="preserve"> </w:t>
      </w:r>
      <w:r>
        <w:t>Rowley, endemic and endangered cactus. Journal of the Professional Association for Cactus Development,</w:t>
      </w:r>
      <w:r>
        <w:rPr>
          <w:i/>
        </w:rPr>
        <w:t xml:space="preserve"> </w:t>
      </w:r>
      <w:r>
        <w:t>11: 18-25.</w:t>
      </w:r>
    </w:p>
    <w:p w:rsidR="00000000" w:rsidRDefault="009E6419">
      <w:pPr>
        <w:spacing w:line="360" w:lineRule="auto"/>
      </w:pPr>
      <w:hyperlink r:id="rId5" w:history="1">
        <w:proofErr w:type="spellStart"/>
        <w:r>
          <w:rPr>
            <w:rFonts w:eastAsia="Times New Roman"/>
          </w:rPr>
          <w:t>R</w:t>
        </w:r>
        <w:r>
          <w:rPr>
            <w:rFonts w:eastAsia="Times New Roman"/>
          </w:rPr>
          <w:t>amírez-Malagón</w:t>
        </w:r>
        <w:proofErr w:type="spellEnd"/>
        <w:r>
          <w:rPr>
            <w:rFonts w:eastAsia="Times New Roman"/>
          </w:rPr>
          <w:t xml:space="preserve"> R.</w:t>
        </w:r>
      </w:hyperlink>
      <w:r>
        <w:rPr>
          <w:rFonts w:eastAsia="Times New Roman"/>
        </w:rPr>
        <w:t xml:space="preserve">, </w:t>
      </w:r>
      <w:hyperlink r:id="rId6" w:history="1">
        <w:r>
          <w:rPr>
            <w:rFonts w:eastAsia="Times New Roman"/>
          </w:rPr>
          <w:t>Aguilar-</w:t>
        </w:r>
        <w:proofErr w:type="spellStart"/>
        <w:r>
          <w:rPr>
            <w:rFonts w:eastAsia="Times New Roman"/>
          </w:rPr>
          <w:t>Ramírez</w:t>
        </w:r>
        <w:proofErr w:type="spellEnd"/>
        <w:r>
          <w:rPr>
            <w:rFonts w:eastAsia="Times New Roman"/>
          </w:rPr>
          <w:t xml:space="preserve"> I.</w:t>
        </w:r>
      </w:hyperlink>
      <w:r>
        <w:rPr>
          <w:rFonts w:eastAsia="Times New Roman"/>
        </w:rPr>
        <w:t xml:space="preserve">, </w:t>
      </w:r>
      <w:hyperlink r:id="rId7" w:history="1">
        <w:proofErr w:type="spellStart"/>
        <w:r>
          <w:rPr>
            <w:rFonts w:eastAsia="Times New Roman"/>
          </w:rPr>
          <w:t>Borodanenko</w:t>
        </w:r>
        <w:proofErr w:type="spellEnd"/>
        <w:r>
          <w:rPr>
            <w:rFonts w:eastAsia="Times New Roman"/>
          </w:rPr>
          <w:t xml:space="preserve"> A.</w:t>
        </w:r>
      </w:hyperlink>
      <w:r>
        <w:rPr>
          <w:rFonts w:eastAsia="Times New Roman"/>
        </w:rPr>
        <w:t xml:space="preserve">, </w:t>
      </w:r>
      <w:hyperlink r:id="rId8" w:history="1">
        <w:proofErr w:type="spellStart"/>
        <w:r>
          <w:rPr>
            <w:rFonts w:eastAsia="Times New Roman"/>
          </w:rPr>
          <w:t>Pérez</w:t>
        </w:r>
        <w:proofErr w:type="spellEnd"/>
        <w:r>
          <w:rPr>
            <w:rFonts w:eastAsia="Times New Roman"/>
          </w:rPr>
          <w:t>-Moreno L.</w:t>
        </w:r>
      </w:hyperlink>
      <w:r>
        <w:rPr>
          <w:rFonts w:eastAsia="Times New Roman"/>
        </w:rPr>
        <w:t xml:space="preserve">, </w:t>
      </w:r>
      <w:hyperlink r:id="rId9" w:history="1">
        <w:r>
          <w:rPr>
            <w:rFonts w:eastAsia="Times New Roman"/>
          </w:rPr>
          <w:t>Barrera-</w:t>
        </w:r>
        <w:proofErr w:type="spellStart"/>
        <w:r>
          <w:rPr>
            <w:rFonts w:eastAsia="Times New Roman"/>
          </w:rPr>
          <w:t>Guera</w:t>
        </w:r>
        <w:proofErr w:type="spellEnd"/>
        <w:r>
          <w:rPr>
            <w:rFonts w:eastAsia="Times New Roman"/>
          </w:rPr>
          <w:t xml:space="preserve"> J.L.</w:t>
        </w:r>
      </w:hyperlink>
      <w:r>
        <w:rPr>
          <w:rFonts w:eastAsia="Times New Roman"/>
        </w:rPr>
        <w:t xml:space="preserve">, </w:t>
      </w:r>
      <w:hyperlink r:id="rId10" w:history="1">
        <w:proofErr w:type="spellStart"/>
        <w:r>
          <w:rPr>
            <w:rFonts w:eastAsia="Times New Roman"/>
          </w:rPr>
          <w:t>Núñez-Palenius</w:t>
        </w:r>
        <w:proofErr w:type="spellEnd"/>
        <w:r>
          <w:rPr>
            <w:rFonts w:eastAsia="Times New Roman"/>
          </w:rPr>
          <w:t xml:space="preserve"> H.G.</w:t>
        </w:r>
      </w:hyperlink>
      <w:r>
        <w:rPr>
          <w:rFonts w:eastAsia="Times New Roman"/>
        </w:rPr>
        <w:t xml:space="preserve">, </w:t>
      </w:r>
      <w:hyperlink r:id="rId11" w:history="1">
        <w:r>
          <w:rPr>
            <w:rFonts w:eastAsia="Times New Roman"/>
          </w:rPr>
          <w:t>Ochoa-</w:t>
        </w:r>
        <w:proofErr w:type="spellStart"/>
        <w:r>
          <w:rPr>
            <w:rFonts w:eastAsia="Times New Roman"/>
          </w:rPr>
          <w:t>Alejo</w:t>
        </w:r>
        <w:proofErr w:type="spellEnd"/>
        <w:r>
          <w:rPr>
            <w:rFonts w:eastAsia="Times New Roman"/>
          </w:rPr>
          <w:t xml:space="preserve"> N.</w:t>
        </w:r>
      </w:hyperlink>
      <w:r>
        <w:rPr>
          <w:rFonts w:eastAsia="Times New Roman"/>
        </w:rPr>
        <w:t xml:space="preserve"> (2007</w:t>
      </w:r>
      <w:r>
        <w:rPr>
          <w:rFonts w:eastAsia="Times New Roman"/>
          <w:b/>
        </w:rPr>
        <w:t>)</w:t>
      </w:r>
      <w:r>
        <w:rPr>
          <w:rFonts w:eastAsia="Times New Roman"/>
        </w:rPr>
        <w:t xml:space="preserve">. </w:t>
      </w:r>
      <w:proofErr w:type="gramStart"/>
      <w:r>
        <w:rPr>
          <w:rFonts w:eastAsia="Times New Roman"/>
          <w:i/>
        </w:rPr>
        <w:t>In vitro</w:t>
      </w:r>
      <w:r>
        <w:rPr>
          <w:rFonts w:eastAsia="Times New Roman"/>
        </w:rPr>
        <w:t xml:space="preserve"> propagation of ten threatened species of </w:t>
      </w:r>
      <w:proofErr w:type="spellStart"/>
      <w:r>
        <w:rPr>
          <w:rFonts w:eastAsia="Times New Roman"/>
        </w:rPr>
        <w:t>Mammillaria</w:t>
      </w:r>
      <w:proofErr w:type="spellEnd"/>
      <w:r>
        <w:rPr>
          <w:rFonts w:eastAsia="Times New Roman"/>
        </w:rPr>
        <w:t xml:space="preserve"> (</w:t>
      </w:r>
      <w:proofErr w:type="spellStart"/>
      <w:r>
        <w:rPr>
          <w:rFonts w:eastAsia="Times New Roman"/>
        </w:rPr>
        <w:t>Cactaceae</w:t>
      </w:r>
      <w:proofErr w:type="spellEnd"/>
      <w:r>
        <w:rPr>
          <w:rFonts w:eastAsia="Times New Roman"/>
        </w:rPr>
        <w:t>).</w:t>
      </w:r>
      <w:proofErr w:type="gramEnd"/>
      <w:r>
        <w:rPr>
          <w:rFonts w:eastAsia="Times New Roman"/>
        </w:rPr>
        <w:t xml:space="preserve"> </w:t>
      </w:r>
      <w:r>
        <w:rPr>
          <w:i/>
        </w:rPr>
        <w:t>In Vitro</w:t>
      </w:r>
      <w:r>
        <w:t xml:space="preserve"> Cellular and Developmental Biology-Plant</w:t>
      </w:r>
      <w:r>
        <w:rPr>
          <w:rFonts w:eastAsia="Times New Roman"/>
        </w:rPr>
        <w:t xml:space="preserve">, 43: 660-665. </w:t>
      </w:r>
      <w:r>
        <w:cr/>
      </w:r>
      <w:proofErr w:type="spellStart"/>
      <w:proofErr w:type="gramStart"/>
      <w:r>
        <w:t>Rubluo</w:t>
      </w:r>
      <w:proofErr w:type="spellEnd"/>
      <w:r>
        <w:t xml:space="preserve"> A., Ma</w:t>
      </w:r>
      <w:r>
        <w:t xml:space="preserve">rin, H.T., Duval K., Vargas A., </w:t>
      </w:r>
      <w:proofErr w:type="spellStart"/>
      <w:r>
        <w:t>Márquez-Guzmán</w:t>
      </w:r>
      <w:proofErr w:type="spellEnd"/>
      <w:r>
        <w:t xml:space="preserve"> J. (2002).</w:t>
      </w:r>
      <w:proofErr w:type="gramEnd"/>
      <w:r>
        <w:t xml:space="preserve"> </w:t>
      </w:r>
      <w:proofErr w:type="spellStart"/>
      <w:r>
        <w:t>Auxin</w:t>
      </w:r>
      <w:proofErr w:type="spellEnd"/>
      <w:r>
        <w:t xml:space="preserve"> induced morphogenetic responses in long-term </w:t>
      </w:r>
      <w:r>
        <w:rPr>
          <w:i/>
        </w:rPr>
        <w:t xml:space="preserve">in vitro </w:t>
      </w:r>
      <w:proofErr w:type="spellStart"/>
      <w:r>
        <w:t>subcultured</w:t>
      </w:r>
      <w:proofErr w:type="spellEnd"/>
      <w:r>
        <w:t xml:space="preserve"> </w:t>
      </w:r>
      <w:proofErr w:type="spellStart"/>
      <w:r>
        <w:rPr>
          <w:i/>
        </w:rPr>
        <w:t>Mammillaria</w:t>
      </w:r>
      <w:proofErr w:type="spellEnd"/>
      <w:r>
        <w:rPr>
          <w:i/>
        </w:rPr>
        <w:t xml:space="preserve"> san </w:t>
      </w:r>
      <w:proofErr w:type="spellStart"/>
      <w:r>
        <w:rPr>
          <w:i/>
        </w:rPr>
        <w:t>angelensis</w:t>
      </w:r>
      <w:proofErr w:type="spellEnd"/>
      <w:r>
        <w:rPr>
          <w:i/>
        </w:rPr>
        <w:t xml:space="preserve"> </w:t>
      </w:r>
      <w:proofErr w:type="spellStart"/>
      <w:r>
        <w:t>Sánchez-Mejorada</w:t>
      </w:r>
      <w:proofErr w:type="spellEnd"/>
      <w:r>
        <w:t xml:space="preserve"> (</w:t>
      </w:r>
      <w:proofErr w:type="spellStart"/>
      <w:r>
        <w:t>Cactaceae</w:t>
      </w:r>
      <w:proofErr w:type="spellEnd"/>
      <w:r>
        <w:t xml:space="preserve">). </w:t>
      </w:r>
      <w:proofErr w:type="spellStart"/>
      <w:r>
        <w:t>Scientia</w:t>
      </w:r>
      <w:proofErr w:type="spellEnd"/>
      <w:r>
        <w:t xml:space="preserve"> </w:t>
      </w:r>
      <w:proofErr w:type="spellStart"/>
      <w:r>
        <w:t>Horticulturae</w:t>
      </w:r>
      <w:proofErr w:type="spellEnd"/>
      <w:r>
        <w:t xml:space="preserve">, 95: 341-349.   </w:t>
      </w:r>
      <w:r>
        <w:cr/>
      </w:r>
      <w:proofErr w:type="spellStart"/>
      <w:proofErr w:type="gramStart"/>
      <w:r>
        <w:t>Ruvalcaba-Ruíz</w:t>
      </w:r>
      <w:proofErr w:type="spellEnd"/>
      <w:r>
        <w:t xml:space="preserve"> D., Rojas-Brav</w:t>
      </w:r>
      <w:r>
        <w:t>o D., Valencia-</w:t>
      </w:r>
      <w:proofErr w:type="spellStart"/>
      <w:r>
        <w:t>Botin</w:t>
      </w:r>
      <w:proofErr w:type="spellEnd"/>
      <w:r>
        <w:t xml:space="preserve"> A.J. (2010).</w:t>
      </w:r>
      <w:proofErr w:type="gramEnd"/>
      <w:r>
        <w:t xml:space="preserve"> </w:t>
      </w:r>
      <w:proofErr w:type="spellStart"/>
      <w:r>
        <w:t>Propagación</w:t>
      </w:r>
      <w:proofErr w:type="spellEnd"/>
      <w:r>
        <w:t xml:space="preserve"> </w:t>
      </w:r>
      <w:r>
        <w:rPr>
          <w:i/>
        </w:rPr>
        <w:t>in vitro</w:t>
      </w:r>
      <w:r>
        <w:t xml:space="preserve"> de </w:t>
      </w:r>
      <w:proofErr w:type="spellStart"/>
      <w:r>
        <w:rPr>
          <w:i/>
        </w:rPr>
        <w:t>Coryphantha</w:t>
      </w:r>
      <w:proofErr w:type="spellEnd"/>
      <w:r>
        <w:rPr>
          <w:i/>
        </w:rPr>
        <w:t xml:space="preserve"> </w:t>
      </w:r>
      <w:proofErr w:type="spellStart"/>
      <w:r>
        <w:rPr>
          <w:i/>
        </w:rPr>
        <w:t>retusa</w:t>
      </w:r>
      <w:proofErr w:type="spellEnd"/>
      <w:r>
        <w:t xml:space="preserve"> (Britton &amp; Rose) </w:t>
      </w:r>
      <w:proofErr w:type="gramStart"/>
      <w:r>
        <w:t>un</w:t>
      </w:r>
      <w:proofErr w:type="gramEnd"/>
      <w:r>
        <w:t xml:space="preserve"> cactus </w:t>
      </w:r>
      <w:proofErr w:type="spellStart"/>
      <w:r>
        <w:t>endémico</w:t>
      </w:r>
      <w:proofErr w:type="spellEnd"/>
      <w:r>
        <w:t xml:space="preserve"> y </w:t>
      </w:r>
      <w:proofErr w:type="spellStart"/>
      <w:r>
        <w:t>amenazado</w:t>
      </w:r>
      <w:proofErr w:type="spellEnd"/>
      <w:r>
        <w:t xml:space="preserve">. Tropical and Subtropical </w:t>
      </w:r>
      <w:proofErr w:type="spellStart"/>
      <w:r>
        <w:t>Agroecosystems</w:t>
      </w:r>
      <w:proofErr w:type="spellEnd"/>
      <w:r>
        <w:t>,</w:t>
      </w:r>
      <w:r>
        <w:rPr>
          <w:i/>
        </w:rPr>
        <w:t xml:space="preserve"> </w:t>
      </w:r>
      <w:r>
        <w:t>12: 139-143.</w:t>
      </w:r>
    </w:p>
    <w:p w:rsidR="00000000" w:rsidRDefault="009E6419">
      <w:pPr>
        <w:spacing w:line="360" w:lineRule="auto"/>
      </w:pPr>
      <w:proofErr w:type="spellStart"/>
      <w:r>
        <w:t>Sachar</w:t>
      </w:r>
      <w:proofErr w:type="spellEnd"/>
      <w:r>
        <w:t xml:space="preserve"> R.C., </w:t>
      </w:r>
      <w:proofErr w:type="spellStart"/>
      <w:r>
        <w:t>Iyer</w:t>
      </w:r>
      <w:proofErr w:type="spellEnd"/>
      <w:r>
        <w:t xml:space="preserve"> R.D. (1959). </w:t>
      </w:r>
      <w:proofErr w:type="gramStart"/>
      <w:r>
        <w:t>Effect  of</w:t>
      </w:r>
      <w:proofErr w:type="gramEnd"/>
      <w:r>
        <w:t xml:space="preserve">  </w:t>
      </w:r>
      <w:proofErr w:type="spellStart"/>
      <w:r>
        <w:t>auxin</w:t>
      </w:r>
      <w:proofErr w:type="spellEnd"/>
      <w:r>
        <w:t xml:space="preserve">, kinetin and </w:t>
      </w:r>
      <w:proofErr w:type="spellStart"/>
      <w:r>
        <w:t>gibberellin</w:t>
      </w:r>
      <w:proofErr w:type="spellEnd"/>
      <w:r>
        <w:t xml:space="preserve"> on</w:t>
      </w:r>
      <w:r>
        <w:t xml:space="preserve"> the placental tissue of</w:t>
      </w:r>
      <w:r>
        <w:rPr>
          <w:i/>
        </w:rPr>
        <w:t xml:space="preserve"> </w:t>
      </w:r>
      <w:proofErr w:type="spellStart"/>
      <w:r>
        <w:rPr>
          <w:i/>
        </w:rPr>
        <w:t>Opuntia</w:t>
      </w:r>
      <w:proofErr w:type="spellEnd"/>
      <w:r>
        <w:rPr>
          <w:i/>
        </w:rPr>
        <w:t xml:space="preserve"> </w:t>
      </w:r>
      <w:proofErr w:type="spellStart"/>
      <w:r>
        <w:rPr>
          <w:i/>
        </w:rPr>
        <w:t>dillenii</w:t>
      </w:r>
      <w:proofErr w:type="spellEnd"/>
      <w:r>
        <w:t xml:space="preserve"> Haw., cultured</w:t>
      </w:r>
      <w:r>
        <w:rPr>
          <w:i/>
        </w:rPr>
        <w:t xml:space="preserve"> in vitro</w:t>
      </w:r>
      <w:r>
        <w:t xml:space="preserve">. </w:t>
      </w:r>
      <w:proofErr w:type="spellStart"/>
      <w:r>
        <w:t>Phytomorphology</w:t>
      </w:r>
      <w:proofErr w:type="spellEnd"/>
      <w:r>
        <w:t>, 9(1): 1-3.</w:t>
      </w:r>
      <w:r>
        <w:cr/>
      </w:r>
      <w:proofErr w:type="gramStart"/>
      <w:r>
        <w:t>Salisbury F.B., Ross C.W. (1994).</w:t>
      </w:r>
      <w:proofErr w:type="gramEnd"/>
      <w:r>
        <w:t xml:space="preserve"> </w:t>
      </w:r>
      <w:proofErr w:type="spellStart"/>
      <w:proofErr w:type="gramStart"/>
      <w:r>
        <w:t>Fisiología</w:t>
      </w:r>
      <w:proofErr w:type="spellEnd"/>
      <w:r>
        <w:t xml:space="preserve"> Vegetal.</w:t>
      </w:r>
      <w:proofErr w:type="gramEnd"/>
      <w:r>
        <w:t xml:space="preserve"> </w:t>
      </w:r>
      <w:proofErr w:type="spellStart"/>
      <w:r>
        <w:t>Grupo</w:t>
      </w:r>
      <w:proofErr w:type="spellEnd"/>
      <w:r>
        <w:t xml:space="preserve"> Editorial </w:t>
      </w:r>
      <w:proofErr w:type="spellStart"/>
      <w:r>
        <w:t>Iberoamérica</w:t>
      </w:r>
      <w:proofErr w:type="spellEnd"/>
      <w:r>
        <w:t xml:space="preserve">, </w:t>
      </w:r>
      <w:r>
        <w:lastRenderedPageBreak/>
        <w:t>México, D.F., Mexico, 759 pp.</w:t>
      </w:r>
      <w:r>
        <w:cr/>
      </w:r>
      <w:proofErr w:type="gramStart"/>
      <w:r>
        <w:t>Starling R. (1985).</w:t>
      </w:r>
      <w:proofErr w:type="gramEnd"/>
      <w:r>
        <w:rPr>
          <w:i/>
        </w:rPr>
        <w:t xml:space="preserve"> </w:t>
      </w:r>
      <w:proofErr w:type="gramStart"/>
      <w:r>
        <w:rPr>
          <w:i/>
        </w:rPr>
        <w:t>In vitro</w:t>
      </w:r>
      <w:r>
        <w:t xml:space="preserve"> propagation of</w:t>
      </w:r>
      <w:r>
        <w:rPr>
          <w:i/>
        </w:rPr>
        <w:t xml:space="preserve"> </w:t>
      </w:r>
      <w:proofErr w:type="spellStart"/>
      <w:r>
        <w:rPr>
          <w:i/>
        </w:rPr>
        <w:t>Leu</w:t>
      </w:r>
      <w:r>
        <w:rPr>
          <w:i/>
        </w:rPr>
        <w:t>chtenbergia</w:t>
      </w:r>
      <w:proofErr w:type="spellEnd"/>
      <w:r>
        <w:rPr>
          <w:i/>
        </w:rPr>
        <w:t xml:space="preserve"> </w:t>
      </w:r>
      <w:proofErr w:type="spellStart"/>
      <w:r>
        <w:rPr>
          <w:i/>
        </w:rPr>
        <w:t>principis</w:t>
      </w:r>
      <w:proofErr w:type="spellEnd"/>
      <w:r>
        <w:t>.</w:t>
      </w:r>
      <w:proofErr w:type="gramEnd"/>
      <w:r>
        <w:t xml:space="preserve"> Cactus and Succulent Journal (U.S.), 57: 114-115. </w:t>
      </w:r>
      <w:r>
        <w:cr/>
      </w:r>
      <w:proofErr w:type="spellStart"/>
      <w:r>
        <w:t>Stuppy</w:t>
      </w:r>
      <w:proofErr w:type="spellEnd"/>
      <w:r>
        <w:t xml:space="preserve"> W., </w:t>
      </w:r>
      <w:proofErr w:type="spellStart"/>
      <w:r>
        <w:t>Nagl</w:t>
      </w:r>
      <w:proofErr w:type="spellEnd"/>
      <w:r>
        <w:t xml:space="preserve"> W. (1992). Regeneration and propagation of</w:t>
      </w:r>
      <w:r>
        <w:rPr>
          <w:i/>
        </w:rPr>
        <w:t xml:space="preserve"> </w:t>
      </w:r>
      <w:proofErr w:type="spellStart"/>
      <w:r>
        <w:rPr>
          <w:i/>
        </w:rPr>
        <w:t>Ariocarpus</w:t>
      </w:r>
      <w:proofErr w:type="spellEnd"/>
      <w:r>
        <w:rPr>
          <w:i/>
        </w:rPr>
        <w:t xml:space="preserve"> </w:t>
      </w:r>
      <w:proofErr w:type="spellStart"/>
      <w:r>
        <w:rPr>
          <w:i/>
        </w:rPr>
        <w:t>retusus</w:t>
      </w:r>
      <w:proofErr w:type="spellEnd"/>
      <w:r>
        <w:rPr>
          <w:i/>
        </w:rPr>
        <w:t xml:space="preserve"> </w:t>
      </w:r>
      <w:proofErr w:type="spellStart"/>
      <w:proofErr w:type="gramStart"/>
      <w:r>
        <w:t>Scheidw</w:t>
      </w:r>
      <w:proofErr w:type="spellEnd"/>
      <w:r>
        <w:t>.,</w:t>
      </w:r>
      <w:proofErr w:type="gramEnd"/>
      <w:r>
        <w:t xml:space="preserve"> (</w:t>
      </w:r>
      <w:proofErr w:type="spellStart"/>
      <w:r>
        <w:t>Cactaceae</w:t>
      </w:r>
      <w:proofErr w:type="spellEnd"/>
      <w:r>
        <w:t xml:space="preserve">) via somatic embryogenesis. </w:t>
      </w:r>
      <w:proofErr w:type="spellStart"/>
      <w:r>
        <w:t>Bradleya</w:t>
      </w:r>
      <w:proofErr w:type="spellEnd"/>
      <w:r>
        <w:t xml:space="preserve">, 10: 85-88. </w:t>
      </w:r>
      <w:r>
        <w:cr/>
      </w:r>
      <w:proofErr w:type="spellStart"/>
      <w:r>
        <w:t>Taiz</w:t>
      </w:r>
      <w:proofErr w:type="spellEnd"/>
      <w:r>
        <w:t xml:space="preserve"> L., </w:t>
      </w:r>
      <w:proofErr w:type="spellStart"/>
      <w:r>
        <w:t>Zeiger</w:t>
      </w:r>
      <w:proofErr w:type="spellEnd"/>
      <w:r>
        <w:t xml:space="preserve"> E. (2010). </w:t>
      </w:r>
      <w:proofErr w:type="gramStart"/>
      <w:r>
        <w:t xml:space="preserve">Plant </w:t>
      </w:r>
      <w:r>
        <w:t xml:space="preserve">Physiology, third ed. </w:t>
      </w:r>
      <w:proofErr w:type="spellStart"/>
      <w:r>
        <w:t>Sinauer</w:t>
      </w:r>
      <w:proofErr w:type="spellEnd"/>
      <w:r>
        <w:t xml:space="preserve"> Associates Inc., Massachusetts, 690 pp.</w:t>
      </w:r>
      <w:proofErr w:type="gramEnd"/>
      <w:r>
        <w:cr/>
      </w:r>
      <w:proofErr w:type="spellStart"/>
      <w:r>
        <w:t>Utkarsha</w:t>
      </w:r>
      <w:proofErr w:type="spellEnd"/>
      <w:r>
        <w:t xml:space="preserve"> U.S., </w:t>
      </w:r>
      <w:proofErr w:type="spellStart"/>
      <w:r>
        <w:t>Vinayak</w:t>
      </w:r>
      <w:proofErr w:type="spellEnd"/>
      <w:r>
        <w:t xml:space="preserve"> S.A., </w:t>
      </w:r>
      <w:proofErr w:type="spellStart"/>
      <w:r>
        <w:t>Jyoti</w:t>
      </w:r>
      <w:proofErr w:type="spellEnd"/>
      <w:r>
        <w:t xml:space="preserve"> P. J., </w:t>
      </w:r>
      <w:proofErr w:type="spellStart"/>
      <w:r>
        <w:t>Vishwas</w:t>
      </w:r>
      <w:proofErr w:type="spellEnd"/>
      <w:r>
        <w:t xml:space="preserve"> A.B. (2010). </w:t>
      </w:r>
      <w:proofErr w:type="spellStart"/>
      <w:r>
        <w:t>Opuntia</w:t>
      </w:r>
      <w:proofErr w:type="spellEnd"/>
      <w:r>
        <w:t xml:space="preserve"> and Other Cacti: Applications and Biotechnological Insights. Tropical Plant Biology, 3: 136-150.</w:t>
      </w:r>
      <w:r>
        <w:cr/>
      </w:r>
      <w:proofErr w:type="spellStart"/>
      <w:r>
        <w:t>Varma</w:t>
      </w:r>
      <w:proofErr w:type="spellEnd"/>
      <w:r>
        <w:t xml:space="preserve"> A., </w:t>
      </w:r>
      <w:proofErr w:type="spellStart"/>
      <w:r>
        <w:t>Schuepp</w:t>
      </w:r>
      <w:proofErr w:type="spellEnd"/>
      <w:r>
        <w:t xml:space="preserve"> </w:t>
      </w:r>
      <w:r>
        <w:t xml:space="preserve">H. (1995). </w:t>
      </w:r>
      <w:proofErr w:type="spellStart"/>
      <w:proofErr w:type="gramStart"/>
      <w:r>
        <w:t>Mycorrhization</w:t>
      </w:r>
      <w:proofErr w:type="spellEnd"/>
      <w:r>
        <w:t xml:space="preserve"> of the commercially important </w:t>
      </w:r>
      <w:proofErr w:type="spellStart"/>
      <w:r>
        <w:t>micropropagated</w:t>
      </w:r>
      <w:proofErr w:type="spellEnd"/>
      <w:r>
        <w:t xml:space="preserve"> plants.</w:t>
      </w:r>
      <w:proofErr w:type="gramEnd"/>
      <w:r>
        <w:t xml:space="preserve"> Critical Reviews in Biotechnology, 15: 313–328.</w:t>
      </w:r>
      <w:r>
        <w:cr/>
      </w:r>
      <w:proofErr w:type="gramStart"/>
      <w:r>
        <w:t>Velázquez-</w:t>
      </w:r>
      <w:proofErr w:type="spellStart"/>
      <w:r>
        <w:t>Enciso</w:t>
      </w:r>
      <w:proofErr w:type="spellEnd"/>
      <w:r>
        <w:t xml:space="preserve"> L.E., </w:t>
      </w:r>
      <w:proofErr w:type="spellStart"/>
      <w:r>
        <w:t>Soltero</w:t>
      </w:r>
      <w:proofErr w:type="spellEnd"/>
      <w:r>
        <w:t>-Quintana R. (2001).</w:t>
      </w:r>
      <w:proofErr w:type="gramEnd"/>
      <w:r>
        <w:t xml:space="preserve"> </w:t>
      </w:r>
      <w:proofErr w:type="spellStart"/>
      <w:r>
        <w:t>Micropropagación</w:t>
      </w:r>
      <w:proofErr w:type="spellEnd"/>
      <w:r>
        <w:t xml:space="preserve"> de </w:t>
      </w:r>
      <w:proofErr w:type="spellStart"/>
      <w:r>
        <w:rPr>
          <w:i/>
        </w:rPr>
        <w:t>Epithelantha</w:t>
      </w:r>
      <w:proofErr w:type="spellEnd"/>
      <w:r>
        <w:rPr>
          <w:i/>
        </w:rPr>
        <w:t xml:space="preserve"> </w:t>
      </w:r>
      <w:proofErr w:type="spellStart"/>
      <w:r>
        <w:rPr>
          <w:i/>
        </w:rPr>
        <w:t>micromeris</w:t>
      </w:r>
      <w:proofErr w:type="spellEnd"/>
      <w:r>
        <w:rPr>
          <w:i/>
        </w:rPr>
        <w:t xml:space="preserve"> </w:t>
      </w:r>
      <w:r>
        <w:t xml:space="preserve">(Eng.) Weber </w:t>
      </w:r>
      <w:r>
        <w:rPr>
          <w:i/>
        </w:rPr>
        <w:t>ex</w:t>
      </w:r>
      <w:r>
        <w:t xml:space="preserve"> Britton </w:t>
      </w:r>
      <w:proofErr w:type="gramStart"/>
      <w:r>
        <w:rPr>
          <w:i/>
        </w:rPr>
        <w:t>et</w:t>
      </w:r>
      <w:proofErr w:type="gramEnd"/>
      <w:r>
        <w:t xml:space="preserve"> Rose, </w:t>
      </w:r>
      <w:r>
        <w:t xml:space="preserve">var. </w:t>
      </w:r>
      <w:proofErr w:type="spellStart"/>
      <w:r>
        <w:rPr>
          <w:i/>
        </w:rPr>
        <w:t>micromeris</w:t>
      </w:r>
      <w:proofErr w:type="spellEnd"/>
      <w:r>
        <w:t xml:space="preserve">, </w:t>
      </w:r>
      <w:proofErr w:type="spellStart"/>
      <w:r>
        <w:t>Cactaceae</w:t>
      </w:r>
      <w:proofErr w:type="spellEnd"/>
      <w:r>
        <w:t xml:space="preserve">. </w:t>
      </w:r>
      <w:proofErr w:type="spellStart"/>
      <w:r>
        <w:t>Cactáceas</w:t>
      </w:r>
      <w:proofErr w:type="spellEnd"/>
      <w:r>
        <w:t xml:space="preserve"> y </w:t>
      </w:r>
      <w:proofErr w:type="spellStart"/>
      <w:r>
        <w:t>Suculentas</w:t>
      </w:r>
      <w:proofErr w:type="spellEnd"/>
      <w:r>
        <w:t xml:space="preserve"> </w:t>
      </w:r>
      <w:proofErr w:type="spellStart"/>
      <w:r>
        <w:t>Mexicanas</w:t>
      </w:r>
      <w:proofErr w:type="spellEnd"/>
      <w:r>
        <w:t xml:space="preserve">, 46: 56-62. </w:t>
      </w:r>
      <w:r>
        <w:cr/>
        <w:t xml:space="preserve">Villalobos A.V.M., Thorpe T.A. (1985). La </w:t>
      </w:r>
      <w:proofErr w:type="spellStart"/>
      <w:r>
        <w:t>Micropropagación</w:t>
      </w:r>
      <w:proofErr w:type="spellEnd"/>
      <w:r>
        <w:t xml:space="preserve">: </w:t>
      </w:r>
      <w:proofErr w:type="spellStart"/>
      <w:r>
        <w:t>conceptos</w:t>
      </w:r>
      <w:proofErr w:type="spellEnd"/>
      <w:r>
        <w:t xml:space="preserve">, </w:t>
      </w:r>
      <w:proofErr w:type="spellStart"/>
      <w:r>
        <w:t>metodología</w:t>
      </w:r>
      <w:proofErr w:type="spellEnd"/>
      <w:r>
        <w:t xml:space="preserve"> y </w:t>
      </w:r>
      <w:proofErr w:type="spellStart"/>
      <w:r>
        <w:t>resultados</w:t>
      </w:r>
      <w:proofErr w:type="spellEnd"/>
      <w:r>
        <w:t xml:space="preserve">, in: Roca W. (Ed.), </w:t>
      </w:r>
      <w:proofErr w:type="spellStart"/>
      <w:r>
        <w:t>Fundamentos</w:t>
      </w:r>
      <w:proofErr w:type="spellEnd"/>
      <w:r>
        <w:t xml:space="preserve"> y </w:t>
      </w:r>
      <w:proofErr w:type="spellStart"/>
      <w:r>
        <w:t>aplicaciones</w:t>
      </w:r>
      <w:proofErr w:type="spellEnd"/>
      <w:r>
        <w:t xml:space="preserve"> </w:t>
      </w:r>
      <w:proofErr w:type="gramStart"/>
      <w:r>
        <w:t>del</w:t>
      </w:r>
      <w:proofErr w:type="gramEnd"/>
      <w:r>
        <w:t xml:space="preserve"> </w:t>
      </w:r>
      <w:proofErr w:type="spellStart"/>
      <w:r>
        <w:t>cultivo</w:t>
      </w:r>
      <w:proofErr w:type="spellEnd"/>
      <w:r>
        <w:t xml:space="preserve"> de </w:t>
      </w:r>
      <w:proofErr w:type="spellStart"/>
      <w:r>
        <w:t>tejidos</w:t>
      </w:r>
      <w:proofErr w:type="spellEnd"/>
      <w:r>
        <w:t xml:space="preserve"> en la </w:t>
      </w:r>
      <w:proofErr w:type="spellStart"/>
      <w:r>
        <w:t>agricultur</w:t>
      </w:r>
      <w:r>
        <w:t>a</w:t>
      </w:r>
      <w:proofErr w:type="spellEnd"/>
      <w:r>
        <w:t>. CIAT, Colombia.</w:t>
      </w:r>
      <w:r>
        <w:cr/>
      </w:r>
      <w:proofErr w:type="spellStart"/>
      <w:r>
        <w:t>Vyskot</w:t>
      </w:r>
      <w:proofErr w:type="spellEnd"/>
      <w:r>
        <w:t xml:space="preserve"> B., </w:t>
      </w:r>
      <w:proofErr w:type="spellStart"/>
      <w:r>
        <w:t>Jará</w:t>
      </w:r>
      <w:proofErr w:type="spellEnd"/>
      <w:r>
        <w:t xml:space="preserve"> Z. (1984). </w:t>
      </w:r>
      <w:proofErr w:type="spellStart"/>
      <w:proofErr w:type="gramStart"/>
      <w:r>
        <w:t>Clonal</w:t>
      </w:r>
      <w:proofErr w:type="spellEnd"/>
      <w:r>
        <w:t xml:space="preserve"> propagation of cacti through </w:t>
      </w:r>
      <w:proofErr w:type="spellStart"/>
      <w:r>
        <w:t>axillary</w:t>
      </w:r>
      <w:proofErr w:type="spellEnd"/>
      <w:r>
        <w:t xml:space="preserve"> buds </w:t>
      </w:r>
      <w:r>
        <w:rPr>
          <w:i/>
        </w:rPr>
        <w:t>in vitro.</w:t>
      </w:r>
      <w:proofErr w:type="gramEnd"/>
      <w:r>
        <w:rPr>
          <w:i/>
        </w:rPr>
        <w:t xml:space="preserve"> </w:t>
      </w:r>
      <w:r>
        <w:t>Journal of Horticultural Sciences, 59: 449-452.</w:t>
      </w:r>
    </w:p>
    <w:p w:rsidR="00000000" w:rsidRDefault="009E6419">
      <w:pPr>
        <w:spacing w:line="360" w:lineRule="auto"/>
        <w:rPr>
          <w:rFonts w:ascii="Times New Roman" w:hAnsi="Times New Roman"/>
        </w:rPr>
      </w:pPr>
      <w:proofErr w:type="spellStart"/>
      <w:r>
        <w:t>Weightman</w:t>
      </w:r>
      <w:proofErr w:type="spellEnd"/>
      <w:r>
        <w:t xml:space="preserve"> B. (2004). </w:t>
      </w:r>
      <w:proofErr w:type="spellStart"/>
      <w:proofErr w:type="gramStart"/>
      <w:r>
        <w:rPr>
          <w:i/>
        </w:rPr>
        <w:t>Ortegocactus</w:t>
      </w:r>
      <w:proofErr w:type="spellEnd"/>
      <w:r>
        <w:rPr>
          <w:i/>
        </w:rPr>
        <w:t xml:space="preserve"> </w:t>
      </w:r>
      <w:proofErr w:type="spellStart"/>
      <w:r>
        <w:rPr>
          <w:i/>
        </w:rPr>
        <w:t>macdougallii</w:t>
      </w:r>
      <w:proofErr w:type="spellEnd"/>
      <w:r>
        <w:t>.</w:t>
      </w:r>
      <w:proofErr w:type="gramEnd"/>
      <w:r>
        <w:t xml:space="preserve"> British Cactus and Succulent Journal, 22: 69-71.</w:t>
      </w:r>
      <w:r>
        <w:cr/>
      </w:r>
      <w:proofErr w:type="spellStart"/>
      <w:r>
        <w:t>Wyka</w:t>
      </w:r>
      <w:proofErr w:type="spellEnd"/>
      <w:r>
        <w:t xml:space="preserve"> </w:t>
      </w:r>
      <w:r>
        <w:t>T.P. (2008).</w:t>
      </w:r>
      <w:r>
        <w:rPr>
          <w:i/>
        </w:rPr>
        <w:t xml:space="preserve"> </w:t>
      </w:r>
      <w:proofErr w:type="gramStart"/>
      <w:r>
        <w:rPr>
          <w:i/>
        </w:rPr>
        <w:t>In vitro</w:t>
      </w:r>
      <w:r>
        <w:t xml:space="preserve"> reversion of </w:t>
      </w:r>
      <w:proofErr w:type="spellStart"/>
      <w:r>
        <w:t>cephalial</w:t>
      </w:r>
      <w:proofErr w:type="spellEnd"/>
      <w:r>
        <w:t xml:space="preserve"> tissue to vegetative growth in </w:t>
      </w:r>
      <w:proofErr w:type="spellStart"/>
      <w:r>
        <w:rPr>
          <w:i/>
        </w:rPr>
        <w:t>Melocactus</w:t>
      </w:r>
      <w:proofErr w:type="spellEnd"/>
      <w:r>
        <w:rPr>
          <w:i/>
        </w:rPr>
        <w:t xml:space="preserve"> </w:t>
      </w:r>
      <w:proofErr w:type="spellStart"/>
      <w:r>
        <w:rPr>
          <w:i/>
        </w:rPr>
        <w:t>matanzanus</w:t>
      </w:r>
      <w:proofErr w:type="spellEnd"/>
      <w:r>
        <w:rPr>
          <w:i/>
        </w:rPr>
        <w:t>.</w:t>
      </w:r>
      <w:proofErr w:type="gramEnd"/>
      <w:r>
        <w:t xml:space="preserve"> </w:t>
      </w:r>
      <w:proofErr w:type="spellStart"/>
      <w:r>
        <w:t>Haseltonia</w:t>
      </w:r>
      <w:proofErr w:type="spellEnd"/>
      <w:r>
        <w:t>, 14: 185-188.</w:t>
      </w:r>
      <w:r>
        <w:rPr>
          <w:b/>
        </w:rPr>
        <w:cr/>
      </w:r>
      <w:proofErr w:type="spellStart"/>
      <w:r>
        <w:rPr>
          <w:rFonts w:ascii="Times New Roman" w:hAnsi="Times New Roman"/>
        </w:rPr>
        <w:t>Wyka</w:t>
      </w:r>
      <w:proofErr w:type="spellEnd"/>
      <w:r>
        <w:rPr>
          <w:rFonts w:ascii="Times New Roman" w:hAnsi="Times New Roman"/>
        </w:rPr>
        <w:t xml:space="preserve"> T. P., </w:t>
      </w:r>
      <w:proofErr w:type="spellStart"/>
      <w:r>
        <w:rPr>
          <w:rFonts w:ascii="Times New Roman" w:hAnsi="Times New Roman"/>
        </w:rPr>
        <w:t>Hamerska</w:t>
      </w:r>
      <w:proofErr w:type="spellEnd"/>
      <w:r>
        <w:rPr>
          <w:rFonts w:ascii="Times New Roman" w:hAnsi="Times New Roman"/>
        </w:rPr>
        <w:t xml:space="preserve"> M., </w:t>
      </w:r>
      <w:proofErr w:type="spellStart"/>
      <w:r>
        <w:rPr>
          <w:rFonts w:ascii="Times New Roman" w:hAnsi="Times New Roman"/>
        </w:rPr>
        <w:t>Wróblewska</w:t>
      </w:r>
      <w:proofErr w:type="spellEnd"/>
      <w:r>
        <w:rPr>
          <w:rFonts w:ascii="Times New Roman" w:hAnsi="Times New Roman"/>
        </w:rPr>
        <w:t xml:space="preserve"> M. (2006). </w:t>
      </w:r>
      <w:proofErr w:type="gramStart"/>
      <w:r>
        <w:rPr>
          <w:rFonts w:ascii="Times New Roman" w:hAnsi="Times New Roman"/>
        </w:rPr>
        <w:t xml:space="preserve">Organogenesis of vegetative shoots from </w:t>
      </w:r>
      <w:r>
        <w:rPr>
          <w:rFonts w:ascii="Times New Roman" w:hAnsi="Times New Roman"/>
          <w:i/>
        </w:rPr>
        <w:t>in vitro</w:t>
      </w:r>
      <w:r>
        <w:rPr>
          <w:rFonts w:ascii="Times New Roman" w:hAnsi="Times New Roman"/>
        </w:rPr>
        <w:t xml:space="preserve"> cultured flower buds of </w:t>
      </w:r>
      <w:proofErr w:type="spellStart"/>
      <w:r>
        <w:rPr>
          <w:rFonts w:ascii="Times New Roman" w:hAnsi="Times New Roman"/>
          <w:i/>
        </w:rPr>
        <w:t>Mammillaria</w:t>
      </w:r>
      <w:proofErr w:type="spellEnd"/>
      <w:r>
        <w:rPr>
          <w:rFonts w:ascii="Times New Roman" w:hAnsi="Times New Roman"/>
          <w:i/>
        </w:rPr>
        <w:t xml:space="preserve"> </w:t>
      </w:r>
      <w:proofErr w:type="spellStart"/>
      <w:r>
        <w:rPr>
          <w:rFonts w:ascii="Times New Roman" w:hAnsi="Times New Roman"/>
          <w:i/>
        </w:rPr>
        <w:t>albicoma</w:t>
      </w:r>
      <w:proofErr w:type="spellEnd"/>
      <w:r>
        <w:rPr>
          <w:rFonts w:ascii="Times New Roman" w:hAnsi="Times New Roman"/>
        </w:rPr>
        <w:t xml:space="preserve"> (</w:t>
      </w:r>
      <w:proofErr w:type="spellStart"/>
      <w:r>
        <w:rPr>
          <w:rFonts w:ascii="Times New Roman" w:hAnsi="Times New Roman"/>
        </w:rPr>
        <w:t>Cactaceae</w:t>
      </w:r>
      <w:proofErr w:type="spellEnd"/>
      <w:r>
        <w:rPr>
          <w:rFonts w:ascii="Times New Roman" w:hAnsi="Times New Roman"/>
        </w:rPr>
        <w:t>).</w:t>
      </w:r>
      <w:proofErr w:type="gramEnd"/>
      <w:r>
        <w:rPr>
          <w:rFonts w:ascii="Times New Roman" w:hAnsi="Times New Roman"/>
        </w:rPr>
        <w:t xml:space="preserve"> Plant Cell Tissue and Organ Culture, 87: 27–32.</w:t>
      </w:r>
    </w:p>
    <w:p w:rsidR="00000000" w:rsidRDefault="009E6419">
      <w:pPr>
        <w:spacing w:line="360" w:lineRule="auto"/>
        <w:rPr>
          <w:b/>
        </w:rPr>
      </w:pPr>
      <w:r>
        <w:rPr>
          <w:rFonts w:ascii="Times New Roman" w:hAnsi="Times New Roman"/>
          <w:color w:val="000000"/>
        </w:rPr>
        <w:br w:type="page"/>
      </w:r>
      <w:proofErr w:type="gramStart"/>
      <w:r>
        <w:rPr>
          <w:b/>
        </w:rPr>
        <w:lastRenderedPageBreak/>
        <w:t>Table 1.</w:t>
      </w:r>
      <w:proofErr w:type="gramEnd"/>
      <w:r>
        <w:t xml:space="preserve"> </w:t>
      </w:r>
      <w:proofErr w:type="gramStart"/>
      <w:r>
        <w:t xml:space="preserve">Effect of </w:t>
      </w:r>
      <w:proofErr w:type="spellStart"/>
      <w:r>
        <w:t>cytokinin</w:t>
      </w:r>
      <w:proofErr w:type="spellEnd"/>
      <w:r>
        <w:t xml:space="preserve"> and </w:t>
      </w:r>
      <w:proofErr w:type="spellStart"/>
      <w:r>
        <w:t>auxin</w:t>
      </w:r>
      <w:proofErr w:type="spellEnd"/>
      <w:r>
        <w:t xml:space="preserve"> on </w:t>
      </w:r>
      <w:r>
        <w:rPr>
          <w:i/>
        </w:rPr>
        <w:t>in vitro</w:t>
      </w:r>
      <w:r>
        <w:t xml:space="preserve"> cultured explants of </w:t>
      </w:r>
      <w:proofErr w:type="spellStart"/>
      <w:r>
        <w:rPr>
          <w:i/>
        </w:rPr>
        <w:t>Ortegocactus</w:t>
      </w:r>
      <w:proofErr w:type="spellEnd"/>
      <w:r>
        <w:rPr>
          <w:i/>
        </w:rPr>
        <w:t xml:space="preserve"> </w:t>
      </w:r>
      <w:proofErr w:type="spellStart"/>
      <w:r>
        <w:rPr>
          <w:i/>
        </w:rPr>
        <w:t>macdougallii</w:t>
      </w:r>
      <w:proofErr w:type="spellEnd"/>
      <w:r>
        <w:rPr>
          <w:i/>
        </w:rPr>
        <w:t xml:space="preserve"> </w:t>
      </w:r>
      <w:r>
        <w:t>A.</w:t>
      </w:r>
      <w:r>
        <w:rPr>
          <w:i/>
        </w:rPr>
        <w:t xml:space="preserve"> </w:t>
      </w:r>
      <w:r>
        <w:t>116 days after the establishment of initial cultures.</w:t>
      </w:r>
      <w:proofErr w:type="gramEnd"/>
    </w:p>
    <w:p w:rsidR="00000000" w:rsidRDefault="009E6419">
      <w:pPr>
        <w:pStyle w:val="BodyText"/>
        <w:rPr>
          <w:b w:val="0"/>
          <w:sz w:val="18"/>
        </w:rPr>
      </w:pPr>
    </w:p>
    <w:tbl>
      <w:tblPr>
        <w:tblW w:w="8567" w:type="dxa"/>
        <w:tblBorders>
          <w:top w:val="single" w:sz="12" w:space="0" w:color="008000"/>
          <w:left w:val="nil"/>
          <w:bottom w:val="single" w:sz="12" w:space="0" w:color="008000"/>
          <w:right w:val="nil"/>
          <w:insideH w:val="nil"/>
          <w:insideV w:val="nil"/>
        </w:tblBorders>
        <w:tblCellMar>
          <w:left w:w="70" w:type="dxa"/>
          <w:right w:w="70" w:type="dxa"/>
        </w:tblCellMar>
        <w:tblLook w:val="00AF"/>
      </w:tblPr>
      <w:tblGrid>
        <w:gridCol w:w="2210"/>
        <w:gridCol w:w="2120"/>
        <w:gridCol w:w="2120"/>
        <w:gridCol w:w="2117"/>
      </w:tblGrid>
      <w:tr w:rsidR="00000000">
        <w:tblPrEx>
          <w:tblCellMar>
            <w:top w:w="0" w:type="dxa"/>
            <w:bottom w:w="0" w:type="dxa"/>
          </w:tblCellMar>
        </w:tblPrEx>
        <w:tc>
          <w:tcPr>
            <w:tcW w:w="2210" w:type="dxa"/>
            <w:tcBorders>
              <w:bottom w:val="single" w:sz="6" w:space="0" w:color="008000"/>
            </w:tcBorders>
          </w:tcPr>
          <w:p w:rsidR="00000000" w:rsidRDefault="009E6419">
            <w:pPr>
              <w:pStyle w:val="Heading3"/>
              <w:rPr>
                <w:rFonts w:ascii="Times" w:hAnsi="Times"/>
                <w:b w:val="0"/>
                <w:lang w:val="en-US"/>
              </w:rPr>
            </w:pPr>
            <w:r>
              <w:rPr>
                <w:rFonts w:ascii="Times" w:hAnsi="Times"/>
                <w:b w:val="0"/>
                <w:lang w:val="en-US"/>
              </w:rPr>
              <w:t>Treatment</w:t>
            </w:r>
          </w:p>
          <w:p w:rsidR="00000000" w:rsidRDefault="009E6419">
            <w:pPr>
              <w:jc w:val="center"/>
            </w:pPr>
            <w:r>
              <w:t>(</w:t>
            </w:r>
            <w:r>
              <w:rPr>
                <w:i/>
              </w:rPr>
              <w:sym w:font="Symbol" w:char="F06D"/>
            </w:r>
            <w:r>
              <w:t>M)</w:t>
            </w:r>
          </w:p>
        </w:tc>
        <w:tc>
          <w:tcPr>
            <w:tcW w:w="2120" w:type="dxa"/>
            <w:tcBorders>
              <w:bottom w:val="single" w:sz="6" w:space="0" w:color="008000"/>
            </w:tcBorders>
          </w:tcPr>
          <w:p w:rsidR="00000000" w:rsidRDefault="009E6419">
            <w:pPr>
              <w:jc w:val="center"/>
            </w:pPr>
            <w:proofErr w:type="spellStart"/>
            <w:r>
              <w:t>Calli</w:t>
            </w:r>
            <w:proofErr w:type="spellEnd"/>
            <w:r>
              <w:t xml:space="preserve"> Producti</w:t>
            </w:r>
            <w:r>
              <w:t>on</w:t>
            </w:r>
          </w:p>
          <w:p w:rsidR="00000000" w:rsidRDefault="009E6419">
            <w:pPr>
              <w:jc w:val="center"/>
            </w:pPr>
            <w:r>
              <w:t>(%)</w:t>
            </w:r>
          </w:p>
        </w:tc>
        <w:tc>
          <w:tcPr>
            <w:tcW w:w="2120" w:type="dxa"/>
            <w:tcBorders>
              <w:bottom w:val="single" w:sz="6" w:space="0" w:color="008000"/>
            </w:tcBorders>
          </w:tcPr>
          <w:p w:rsidR="00000000" w:rsidRDefault="009E6419">
            <w:pPr>
              <w:pStyle w:val="Heading1"/>
              <w:rPr>
                <w:rFonts w:ascii="Times" w:hAnsi="Times"/>
                <w:b w:val="0"/>
                <w:sz w:val="24"/>
                <w:lang w:val="en-US"/>
              </w:rPr>
            </w:pPr>
            <w:r>
              <w:rPr>
                <w:rFonts w:ascii="Times" w:hAnsi="Times"/>
                <w:b w:val="0"/>
                <w:sz w:val="24"/>
                <w:lang w:val="en-US"/>
              </w:rPr>
              <w:t>Root</w:t>
            </w:r>
          </w:p>
          <w:p w:rsidR="00000000" w:rsidRDefault="009E6419">
            <w:pPr>
              <w:jc w:val="center"/>
            </w:pPr>
            <w:r>
              <w:t>Number</w:t>
            </w:r>
          </w:p>
        </w:tc>
        <w:tc>
          <w:tcPr>
            <w:tcW w:w="2117" w:type="dxa"/>
            <w:tcBorders>
              <w:bottom w:val="single" w:sz="6" w:space="0" w:color="008000"/>
            </w:tcBorders>
          </w:tcPr>
          <w:p w:rsidR="00000000" w:rsidRDefault="009E6419">
            <w:pPr>
              <w:pStyle w:val="Heading3"/>
              <w:rPr>
                <w:rFonts w:ascii="Times" w:hAnsi="Times"/>
                <w:b w:val="0"/>
                <w:lang w:val="en-US"/>
              </w:rPr>
            </w:pPr>
            <w:r>
              <w:rPr>
                <w:rFonts w:ascii="Times" w:hAnsi="Times"/>
                <w:b w:val="0"/>
                <w:lang w:val="en-US"/>
              </w:rPr>
              <w:t>Root Length</w:t>
            </w:r>
          </w:p>
          <w:p w:rsidR="00000000" w:rsidRDefault="009E6419">
            <w:pPr>
              <w:jc w:val="center"/>
            </w:pPr>
            <w:r>
              <w:t>(mm)</w:t>
            </w:r>
          </w:p>
        </w:tc>
      </w:tr>
      <w:tr w:rsidR="00000000">
        <w:tblPrEx>
          <w:tblCellMar>
            <w:top w:w="0" w:type="dxa"/>
            <w:bottom w:w="0" w:type="dxa"/>
          </w:tblCellMar>
        </w:tblPrEx>
        <w:tc>
          <w:tcPr>
            <w:tcW w:w="2210" w:type="dxa"/>
            <w:tcBorders>
              <w:top w:val="single" w:sz="6" w:space="0" w:color="008000"/>
            </w:tcBorders>
          </w:tcPr>
          <w:p w:rsidR="00000000" w:rsidRDefault="009E6419">
            <w:r>
              <w:t>BA 1.3 + NAA 0.0</w:t>
            </w:r>
          </w:p>
        </w:tc>
        <w:tc>
          <w:tcPr>
            <w:tcW w:w="2120" w:type="dxa"/>
            <w:tcBorders>
              <w:top w:val="single" w:sz="6" w:space="0" w:color="008000"/>
            </w:tcBorders>
          </w:tcPr>
          <w:p w:rsidR="00000000" w:rsidRDefault="009E6419">
            <w:r>
              <w:t>0.00 ± 0.00 b</w:t>
            </w:r>
          </w:p>
        </w:tc>
        <w:tc>
          <w:tcPr>
            <w:tcW w:w="2120" w:type="dxa"/>
            <w:tcBorders>
              <w:top w:val="single" w:sz="6" w:space="0" w:color="008000"/>
            </w:tcBorders>
          </w:tcPr>
          <w:p w:rsidR="00000000" w:rsidRDefault="009E6419">
            <w:r>
              <w:t>5.00 ± 0.71 b</w:t>
            </w:r>
          </w:p>
        </w:tc>
        <w:tc>
          <w:tcPr>
            <w:tcW w:w="2117" w:type="dxa"/>
            <w:tcBorders>
              <w:top w:val="single" w:sz="6" w:space="0" w:color="008000"/>
            </w:tcBorders>
          </w:tcPr>
          <w:p w:rsidR="00000000" w:rsidRDefault="009E6419">
            <w:r>
              <w:t>11.33 ± 2.60 a</w:t>
            </w:r>
          </w:p>
        </w:tc>
      </w:tr>
      <w:tr w:rsidR="00000000">
        <w:tblPrEx>
          <w:tblCellMar>
            <w:top w:w="0" w:type="dxa"/>
            <w:bottom w:w="0" w:type="dxa"/>
          </w:tblCellMar>
        </w:tblPrEx>
        <w:tc>
          <w:tcPr>
            <w:tcW w:w="2210" w:type="dxa"/>
          </w:tcPr>
          <w:p w:rsidR="00000000" w:rsidRDefault="009E6419">
            <w:pPr>
              <w:pStyle w:val="Heading2"/>
              <w:rPr>
                <w:rFonts w:ascii="Times" w:hAnsi="Times"/>
                <w:i w:val="0"/>
                <w:sz w:val="24"/>
                <w:lang w:val="en-US"/>
              </w:rPr>
            </w:pPr>
            <w:r>
              <w:rPr>
                <w:rFonts w:ascii="Times" w:hAnsi="Times"/>
                <w:i w:val="0"/>
                <w:sz w:val="24"/>
                <w:lang w:val="en-US"/>
              </w:rPr>
              <w:t>BA 4.4 + NAA 0.0</w:t>
            </w:r>
          </w:p>
        </w:tc>
        <w:tc>
          <w:tcPr>
            <w:tcW w:w="2120" w:type="dxa"/>
          </w:tcPr>
          <w:p w:rsidR="00000000" w:rsidRDefault="009E6419">
            <w:r>
              <w:t>0.00 ± 0.00 b</w:t>
            </w:r>
          </w:p>
        </w:tc>
        <w:tc>
          <w:tcPr>
            <w:tcW w:w="2120" w:type="dxa"/>
          </w:tcPr>
          <w:p w:rsidR="00000000" w:rsidRDefault="009E6419">
            <w:r>
              <w:t>9.00 ± 1.47 a</w:t>
            </w:r>
          </w:p>
        </w:tc>
        <w:tc>
          <w:tcPr>
            <w:tcW w:w="2117" w:type="dxa"/>
          </w:tcPr>
          <w:p w:rsidR="00000000" w:rsidRDefault="009E6419">
            <w:r>
              <w:t xml:space="preserve">10.28 ± 1.25 </w:t>
            </w:r>
            <w:proofErr w:type="spellStart"/>
            <w:r>
              <w:t>ab</w:t>
            </w:r>
            <w:proofErr w:type="spellEnd"/>
          </w:p>
        </w:tc>
      </w:tr>
      <w:tr w:rsidR="00000000">
        <w:tblPrEx>
          <w:tblCellMar>
            <w:top w:w="0" w:type="dxa"/>
            <w:bottom w:w="0" w:type="dxa"/>
          </w:tblCellMar>
        </w:tblPrEx>
        <w:tc>
          <w:tcPr>
            <w:tcW w:w="2210" w:type="dxa"/>
          </w:tcPr>
          <w:p w:rsidR="00000000" w:rsidRDefault="009E6419">
            <w:pPr>
              <w:pStyle w:val="Heading2"/>
              <w:rPr>
                <w:rFonts w:ascii="Times" w:hAnsi="Times"/>
                <w:i w:val="0"/>
                <w:sz w:val="24"/>
                <w:lang w:val="en-US"/>
              </w:rPr>
            </w:pPr>
            <w:r>
              <w:rPr>
                <w:rFonts w:ascii="Times" w:hAnsi="Times"/>
                <w:i w:val="0"/>
                <w:sz w:val="24"/>
                <w:lang w:val="en-US"/>
              </w:rPr>
              <w:t>BA 13.3 + NAA 0.0</w:t>
            </w:r>
          </w:p>
        </w:tc>
        <w:tc>
          <w:tcPr>
            <w:tcW w:w="2120" w:type="dxa"/>
          </w:tcPr>
          <w:p w:rsidR="00000000" w:rsidRDefault="009E6419">
            <w:r>
              <w:t>0.00 ± 0.00 b</w:t>
            </w:r>
          </w:p>
        </w:tc>
        <w:tc>
          <w:tcPr>
            <w:tcW w:w="2120" w:type="dxa"/>
          </w:tcPr>
          <w:p w:rsidR="00000000" w:rsidRDefault="009E6419">
            <w:r>
              <w:t>4.25 ± 0.95 b</w:t>
            </w:r>
          </w:p>
        </w:tc>
        <w:tc>
          <w:tcPr>
            <w:tcW w:w="2117" w:type="dxa"/>
          </w:tcPr>
          <w:p w:rsidR="00000000" w:rsidRDefault="009E6419">
            <w:r>
              <w:t xml:space="preserve">4.48 ± 1.11 </w:t>
            </w:r>
            <w:proofErr w:type="spellStart"/>
            <w:r>
              <w:t>cd</w:t>
            </w:r>
            <w:proofErr w:type="spellEnd"/>
          </w:p>
        </w:tc>
      </w:tr>
      <w:tr w:rsidR="00000000">
        <w:tblPrEx>
          <w:tblCellMar>
            <w:top w:w="0" w:type="dxa"/>
            <w:bottom w:w="0" w:type="dxa"/>
          </w:tblCellMar>
        </w:tblPrEx>
        <w:tc>
          <w:tcPr>
            <w:tcW w:w="2210" w:type="dxa"/>
          </w:tcPr>
          <w:p w:rsidR="00000000" w:rsidRDefault="009E6419">
            <w:r>
              <w:t>BA 1.3 + NAA 1.3</w:t>
            </w:r>
          </w:p>
        </w:tc>
        <w:tc>
          <w:tcPr>
            <w:tcW w:w="2120" w:type="dxa"/>
          </w:tcPr>
          <w:p w:rsidR="00000000" w:rsidRDefault="009E6419">
            <w:r>
              <w:t>50.00 ± 28.87 a</w:t>
            </w:r>
          </w:p>
        </w:tc>
        <w:tc>
          <w:tcPr>
            <w:tcW w:w="2120" w:type="dxa"/>
          </w:tcPr>
          <w:p w:rsidR="00000000" w:rsidRDefault="009E6419">
            <w:r>
              <w:t>0</w:t>
            </w:r>
            <w:r>
              <w:t>.00 ± 0.00 c</w:t>
            </w:r>
          </w:p>
        </w:tc>
        <w:tc>
          <w:tcPr>
            <w:tcW w:w="2117" w:type="dxa"/>
          </w:tcPr>
          <w:p w:rsidR="00000000" w:rsidRDefault="009E6419">
            <w:r>
              <w:t>0.00 ± 0.00 d</w:t>
            </w:r>
          </w:p>
        </w:tc>
      </w:tr>
      <w:tr w:rsidR="00000000">
        <w:tblPrEx>
          <w:tblCellMar>
            <w:top w:w="0" w:type="dxa"/>
            <w:bottom w:w="0" w:type="dxa"/>
          </w:tblCellMar>
        </w:tblPrEx>
        <w:tc>
          <w:tcPr>
            <w:tcW w:w="2210" w:type="dxa"/>
          </w:tcPr>
          <w:p w:rsidR="00000000" w:rsidRDefault="009E6419">
            <w:r>
              <w:t>BA 4.4 + NAA 1.3</w:t>
            </w:r>
          </w:p>
        </w:tc>
        <w:tc>
          <w:tcPr>
            <w:tcW w:w="2120" w:type="dxa"/>
          </w:tcPr>
          <w:p w:rsidR="00000000" w:rsidRDefault="009E6419">
            <w:r>
              <w:t>75.00 ± 25.00 a</w:t>
            </w:r>
          </w:p>
        </w:tc>
        <w:tc>
          <w:tcPr>
            <w:tcW w:w="2120" w:type="dxa"/>
          </w:tcPr>
          <w:p w:rsidR="00000000" w:rsidRDefault="009E6419">
            <w:r>
              <w:t>0.00 ± 0.00 c</w:t>
            </w:r>
          </w:p>
        </w:tc>
        <w:tc>
          <w:tcPr>
            <w:tcW w:w="2117" w:type="dxa"/>
          </w:tcPr>
          <w:p w:rsidR="00000000" w:rsidRDefault="009E6419">
            <w:r>
              <w:t>0.00 ± 0.00 d</w:t>
            </w:r>
          </w:p>
        </w:tc>
      </w:tr>
      <w:tr w:rsidR="00000000">
        <w:tblPrEx>
          <w:tblCellMar>
            <w:top w:w="0" w:type="dxa"/>
            <w:bottom w:w="0" w:type="dxa"/>
          </w:tblCellMar>
        </w:tblPrEx>
        <w:tc>
          <w:tcPr>
            <w:tcW w:w="2210" w:type="dxa"/>
          </w:tcPr>
          <w:p w:rsidR="00000000" w:rsidRDefault="009E6419">
            <w:pPr>
              <w:pStyle w:val="Heading2"/>
              <w:rPr>
                <w:rFonts w:ascii="Times" w:hAnsi="Times"/>
                <w:i w:val="0"/>
                <w:sz w:val="24"/>
                <w:lang w:val="en-US"/>
              </w:rPr>
            </w:pPr>
            <w:r>
              <w:rPr>
                <w:rFonts w:ascii="Times" w:hAnsi="Times"/>
                <w:i w:val="0"/>
                <w:sz w:val="24"/>
                <w:lang w:val="en-US"/>
              </w:rPr>
              <w:t>BA 13.3 + NAA 1.3</w:t>
            </w:r>
          </w:p>
        </w:tc>
        <w:tc>
          <w:tcPr>
            <w:tcW w:w="2120" w:type="dxa"/>
          </w:tcPr>
          <w:p w:rsidR="00000000" w:rsidRDefault="009E6419">
            <w:r>
              <w:t>100.00 ± 0.00 a</w:t>
            </w:r>
          </w:p>
        </w:tc>
        <w:tc>
          <w:tcPr>
            <w:tcW w:w="2120" w:type="dxa"/>
          </w:tcPr>
          <w:p w:rsidR="00000000" w:rsidRDefault="009E6419">
            <w:r>
              <w:t>0.00 ± 0.00 c</w:t>
            </w:r>
          </w:p>
        </w:tc>
        <w:tc>
          <w:tcPr>
            <w:tcW w:w="2117" w:type="dxa"/>
          </w:tcPr>
          <w:p w:rsidR="00000000" w:rsidRDefault="009E6419">
            <w:r>
              <w:t>0.00 ± 0.00 d</w:t>
            </w:r>
          </w:p>
        </w:tc>
      </w:tr>
      <w:tr w:rsidR="00000000">
        <w:tblPrEx>
          <w:tblCellMar>
            <w:top w:w="0" w:type="dxa"/>
            <w:bottom w:w="0" w:type="dxa"/>
          </w:tblCellMar>
        </w:tblPrEx>
        <w:tc>
          <w:tcPr>
            <w:tcW w:w="2210" w:type="dxa"/>
          </w:tcPr>
          <w:p w:rsidR="00000000" w:rsidRDefault="009E6419">
            <w:pPr>
              <w:pStyle w:val="Heading2"/>
              <w:rPr>
                <w:rFonts w:ascii="Times" w:hAnsi="Times"/>
                <w:i w:val="0"/>
                <w:sz w:val="24"/>
                <w:lang w:val="en-US"/>
              </w:rPr>
            </w:pPr>
            <w:r>
              <w:rPr>
                <w:rFonts w:ascii="Times" w:hAnsi="Times"/>
                <w:i w:val="0"/>
                <w:sz w:val="24"/>
                <w:lang w:val="en-US"/>
              </w:rPr>
              <w:t>BA 1.3 + NAA 4.4</w:t>
            </w:r>
          </w:p>
        </w:tc>
        <w:tc>
          <w:tcPr>
            <w:tcW w:w="2120" w:type="dxa"/>
          </w:tcPr>
          <w:p w:rsidR="00000000" w:rsidRDefault="009E6419">
            <w:r>
              <w:t>100.00 ± 0.00 a</w:t>
            </w:r>
          </w:p>
        </w:tc>
        <w:tc>
          <w:tcPr>
            <w:tcW w:w="2120" w:type="dxa"/>
          </w:tcPr>
          <w:p w:rsidR="00000000" w:rsidRDefault="009E6419">
            <w:r>
              <w:t xml:space="preserve">8.25 ± 0.63 a </w:t>
            </w:r>
          </w:p>
        </w:tc>
        <w:tc>
          <w:tcPr>
            <w:tcW w:w="2117" w:type="dxa"/>
          </w:tcPr>
          <w:p w:rsidR="00000000" w:rsidRDefault="009E6419">
            <w:r>
              <w:t xml:space="preserve">4.10 ± 0.90 </w:t>
            </w:r>
            <w:proofErr w:type="spellStart"/>
            <w:r>
              <w:t>cd</w:t>
            </w:r>
            <w:proofErr w:type="spellEnd"/>
          </w:p>
        </w:tc>
      </w:tr>
      <w:tr w:rsidR="00000000">
        <w:tblPrEx>
          <w:tblCellMar>
            <w:top w:w="0" w:type="dxa"/>
            <w:bottom w:w="0" w:type="dxa"/>
          </w:tblCellMar>
        </w:tblPrEx>
        <w:tc>
          <w:tcPr>
            <w:tcW w:w="2210" w:type="dxa"/>
          </w:tcPr>
          <w:p w:rsidR="00000000" w:rsidRDefault="009E6419">
            <w:r>
              <w:t>BA 4.4 + NAA 4.4</w:t>
            </w:r>
          </w:p>
        </w:tc>
        <w:tc>
          <w:tcPr>
            <w:tcW w:w="2120" w:type="dxa"/>
          </w:tcPr>
          <w:p w:rsidR="00000000" w:rsidRDefault="009E6419">
            <w:r>
              <w:t>100.00 ± 0.00 a</w:t>
            </w:r>
          </w:p>
        </w:tc>
        <w:tc>
          <w:tcPr>
            <w:tcW w:w="2120" w:type="dxa"/>
          </w:tcPr>
          <w:p w:rsidR="00000000" w:rsidRDefault="009E6419">
            <w:r>
              <w:t>0.00 ±</w:t>
            </w:r>
            <w:r>
              <w:t xml:space="preserve"> 0.00 c</w:t>
            </w:r>
          </w:p>
        </w:tc>
        <w:tc>
          <w:tcPr>
            <w:tcW w:w="2117" w:type="dxa"/>
          </w:tcPr>
          <w:p w:rsidR="00000000" w:rsidRDefault="009E6419">
            <w:r>
              <w:t>0.00 ± 0.00 d</w:t>
            </w:r>
          </w:p>
        </w:tc>
      </w:tr>
      <w:tr w:rsidR="00000000">
        <w:tblPrEx>
          <w:tblCellMar>
            <w:top w:w="0" w:type="dxa"/>
            <w:bottom w:w="0" w:type="dxa"/>
          </w:tblCellMar>
        </w:tblPrEx>
        <w:tc>
          <w:tcPr>
            <w:tcW w:w="2210" w:type="dxa"/>
          </w:tcPr>
          <w:p w:rsidR="00000000" w:rsidRDefault="009E6419">
            <w:r>
              <w:t>BA 13.3 + NAA 4.4</w:t>
            </w:r>
          </w:p>
        </w:tc>
        <w:tc>
          <w:tcPr>
            <w:tcW w:w="2120" w:type="dxa"/>
          </w:tcPr>
          <w:p w:rsidR="00000000" w:rsidRDefault="009E6419">
            <w:r>
              <w:t>100.00 ± 0.00 a</w:t>
            </w:r>
          </w:p>
        </w:tc>
        <w:tc>
          <w:tcPr>
            <w:tcW w:w="2120" w:type="dxa"/>
          </w:tcPr>
          <w:p w:rsidR="00000000" w:rsidRDefault="009E6419">
            <w:r>
              <w:t>0.00 ± 0.00 c</w:t>
            </w:r>
          </w:p>
        </w:tc>
        <w:tc>
          <w:tcPr>
            <w:tcW w:w="2117" w:type="dxa"/>
          </w:tcPr>
          <w:p w:rsidR="00000000" w:rsidRDefault="009E6419">
            <w:r>
              <w:t>0.00 ± 0.00 d</w:t>
            </w:r>
          </w:p>
        </w:tc>
      </w:tr>
      <w:tr w:rsidR="00000000">
        <w:tblPrEx>
          <w:tblCellMar>
            <w:top w:w="0" w:type="dxa"/>
            <w:bottom w:w="0" w:type="dxa"/>
          </w:tblCellMar>
        </w:tblPrEx>
        <w:tc>
          <w:tcPr>
            <w:tcW w:w="2210" w:type="dxa"/>
          </w:tcPr>
          <w:p w:rsidR="00000000" w:rsidRDefault="009E6419">
            <w:pPr>
              <w:pStyle w:val="Heading2"/>
              <w:rPr>
                <w:rFonts w:ascii="Times" w:hAnsi="Times"/>
                <w:i w:val="0"/>
                <w:sz w:val="24"/>
                <w:lang w:val="en-US"/>
              </w:rPr>
            </w:pPr>
            <w:r>
              <w:rPr>
                <w:rFonts w:ascii="Times" w:hAnsi="Times"/>
                <w:i w:val="0"/>
                <w:sz w:val="24"/>
                <w:lang w:val="en-US"/>
              </w:rPr>
              <w:t>BA 1.3 + NAA 13.3</w:t>
            </w:r>
          </w:p>
        </w:tc>
        <w:tc>
          <w:tcPr>
            <w:tcW w:w="2120" w:type="dxa"/>
          </w:tcPr>
          <w:p w:rsidR="00000000" w:rsidRDefault="009E6419">
            <w:r>
              <w:t>50.00 ± 28.87 a</w:t>
            </w:r>
          </w:p>
        </w:tc>
        <w:tc>
          <w:tcPr>
            <w:tcW w:w="2120" w:type="dxa"/>
          </w:tcPr>
          <w:p w:rsidR="00000000" w:rsidRDefault="009E6419">
            <w:r>
              <w:t>8.50 ± 0.96 a</w:t>
            </w:r>
          </w:p>
        </w:tc>
        <w:tc>
          <w:tcPr>
            <w:tcW w:w="2117" w:type="dxa"/>
          </w:tcPr>
          <w:p w:rsidR="00000000" w:rsidRDefault="009E6419">
            <w:r>
              <w:t xml:space="preserve">6.38 ± 0.90 </w:t>
            </w:r>
            <w:proofErr w:type="spellStart"/>
            <w:r>
              <w:t>bc</w:t>
            </w:r>
            <w:proofErr w:type="spellEnd"/>
          </w:p>
        </w:tc>
      </w:tr>
      <w:tr w:rsidR="00000000">
        <w:tblPrEx>
          <w:tblCellMar>
            <w:top w:w="0" w:type="dxa"/>
            <w:bottom w:w="0" w:type="dxa"/>
          </w:tblCellMar>
        </w:tblPrEx>
        <w:tc>
          <w:tcPr>
            <w:tcW w:w="2210" w:type="dxa"/>
          </w:tcPr>
          <w:p w:rsidR="00000000" w:rsidRDefault="009E6419">
            <w:pPr>
              <w:pStyle w:val="Heading2"/>
              <w:rPr>
                <w:rFonts w:ascii="Times" w:hAnsi="Times"/>
                <w:i w:val="0"/>
                <w:sz w:val="24"/>
                <w:lang w:val="en-US"/>
              </w:rPr>
            </w:pPr>
            <w:r>
              <w:rPr>
                <w:rFonts w:ascii="Times" w:hAnsi="Times"/>
                <w:i w:val="0"/>
                <w:sz w:val="24"/>
                <w:lang w:val="en-US"/>
              </w:rPr>
              <w:t>BA 4.4 + NAA 13.3</w:t>
            </w:r>
          </w:p>
        </w:tc>
        <w:tc>
          <w:tcPr>
            <w:tcW w:w="2120" w:type="dxa"/>
          </w:tcPr>
          <w:p w:rsidR="00000000" w:rsidRDefault="009E6419">
            <w:r>
              <w:t>100.00 ± 0.00 a</w:t>
            </w:r>
          </w:p>
        </w:tc>
        <w:tc>
          <w:tcPr>
            <w:tcW w:w="2120" w:type="dxa"/>
          </w:tcPr>
          <w:p w:rsidR="00000000" w:rsidRDefault="009E6419">
            <w:r>
              <w:t>0.00 ± 0.00 c</w:t>
            </w:r>
          </w:p>
        </w:tc>
        <w:tc>
          <w:tcPr>
            <w:tcW w:w="2117" w:type="dxa"/>
          </w:tcPr>
          <w:p w:rsidR="00000000" w:rsidRDefault="009E6419">
            <w:r>
              <w:t>0.00 ± 0.00 d</w:t>
            </w:r>
          </w:p>
        </w:tc>
      </w:tr>
      <w:tr w:rsidR="00000000">
        <w:tblPrEx>
          <w:tblCellMar>
            <w:top w:w="0" w:type="dxa"/>
            <w:bottom w:w="0" w:type="dxa"/>
          </w:tblCellMar>
        </w:tblPrEx>
        <w:tc>
          <w:tcPr>
            <w:tcW w:w="2210" w:type="dxa"/>
          </w:tcPr>
          <w:p w:rsidR="00000000" w:rsidRDefault="009E6419">
            <w:r>
              <w:t>BA 13.3 + NAA 13.3</w:t>
            </w:r>
          </w:p>
        </w:tc>
        <w:tc>
          <w:tcPr>
            <w:tcW w:w="2120" w:type="dxa"/>
          </w:tcPr>
          <w:p w:rsidR="00000000" w:rsidRDefault="009E6419">
            <w:r>
              <w:t>100.00 ± 0.00 a</w:t>
            </w:r>
          </w:p>
        </w:tc>
        <w:tc>
          <w:tcPr>
            <w:tcW w:w="2120" w:type="dxa"/>
          </w:tcPr>
          <w:p w:rsidR="00000000" w:rsidRDefault="009E6419">
            <w:r>
              <w:t>0.00 ± 0</w:t>
            </w:r>
            <w:r>
              <w:t>.00 c</w:t>
            </w:r>
          </w:p>
        </w:tc>
        <w:tc>
          <w:tcPr>
            <w:tcW w:w="2117" w:type="dxa"/>
          </w:tcPr>
          <w:p w:rsidR="00000000" w:rsidRDefault="009E6419">
            <w:r>
              <w:t>0.00 ± 0.00 d</w:t>
            </w:r>
          </w:p>
        </w:tc>
      </w:tr>
      <w:tr w:rsidR="00000000">
        <w:tblPrEx>
          <w:tblCellMar>
            <w:top w:w="0" w:type="dxa"/>
            <w:bottom w:w="0" w:type="dxa"/>
          </w:tblCellMar>
        </w:tblPrEx>
        <w:tc>
          <w:tcPr>
            <w:tcW w:w="2210" w:type="dxa"/>
          </w:tcPr>
          <w:p w:rsidR="00000000" w:rsidRDefault="009E6419">
            <w:r>
              <w:t>MSD*</w:t>
            </w:r>
          </w:p>
        </w:tc>
        <w:tc>
          <w:tcPr>
            <w:tcW w:w="2120" w:type="dxa"/>
          </w:tcPr>
          <w:p w:rsidR="00000000" w:rsidRDefault="009E6419">
            <w:r>
              <w:t>23.7203</w:t>
            </w:r>
          </w:p>
        </w:tc>
        <w:tc>
          <w:tcPr>
            <w:tcW w:w="2120" w:type="dxa"/>
          </w:tcPr>
          <w:p w:rsidR="00000000" w:rsidRDefault="009E6419">
            <w:r>
              <w:t>3.1334</w:t>
            </w:r>
          </w:p>
        </w:tc>
        <w:tc>
          <w:tcPr>
            <w:tcW w:w="2117" w:type="dxa"/>
          </w:tcPr>
          <w:p w:rsidR="00000000" w:rsidRDefault="009E6419">
            <w:r>
              <w:t>3.1582</w:t>
            </w:r>
          </w:p>
        </w:tc>
      </w:tr>
    </w:tbl>
    <w:p w:rsidR="00000000" w:rsidRDefault="009E6419">
      <w:pPr>
        <w:pStyle w:val="BodyText2"/>
        <w:rPr>
          <w:rFonts w:ascii="Times" w:hAnsi="Times"/>
        </w:rPr>
      </w:pPr>
    </w:p>
    <w:p w:rsidR="00000000" w:rsidRDefault="009E6419">
      <w:pPr>
        <w:pStyle w:val="BodyText2"/>
        <w:spacing w:line="360" w:lineRule="auto"/>
        <w:rPr>
          <w:rFonts w:ascii="Times" w:hAnsi="Times"/>
          <w:color w:val="auto"/>
        </w:rPr>
      </w:pPr>
      <w:r>
        <w:rPr>
          <w:rFonts w:ascii="Times" w:hAnsi="Times"/>
          <w:color w:val="auto"/>
        </w:rPr>
        <w:t xml:space="preserve">*Minimum significant difference. Means with the same letter are not significantly different according to the </w:t>
      </w:r>
      <w:proofErr w:type="spellStart"/>
      <w:r>
        <w:rPr>
          <w:rFonts w:ascii="Times" w:hAnsi="Times"/>
          <w:color w:val="auto"/>
        </w:rPr>
        <w:t>Tukey</w:t>
      </w:r>
      <w:proofErr w:type="spellEnd"/>
      <w:r>
        <w:rPr>
          <w:rFonts w:ascii="Times" w:hAnsi="Times"/>
          <w:color w:val="auto"/>
        </w:rPr>
        <w:t xml:space="preserve"> mean separation test (</w:t>
      </w:r>
      <w:r>
        <w:rPr>
          <w:rFonts w:ascii="Times" w:hAnsi="Times"/>
          <w:color w:val="auto"/>
        </w:rPr>
        <w:sym w:font="Symbol" w:char="F0B5"/>
      </w:r>
      <w:r>
        <w:rPr>
          <w:rFonts w:ascii="Times" w:hAnsi="Times"/>
          <w:color w:val="auto"/>
        </w:rPr>
        <w:t>= 0.05). Mean ± SE.</w:t>
      </w:r>
    </w:p>
    <w:p w:rsidR="00000000" w:rsidRDefault="009E6419">
      <w:pPr>
        <w:pStyle w:val="BodyText2"/>
        <w:spacing w:line="360" w:lineRule="auto"/>
        <w:rPr>
          <w:rFonts w:ascii="Times" w:hAnsi="Times"/>
          <w:color w:val="auto"/>
        </w:rPr>
      </w:pPr>
      <w:r>
        <w:rPr>
          <w:rFonts w:ascii="Times" w:hAnsi="Times"/>
          <w:color w:val="auto"/>
        </w:rPr>
        <w:t xml:space="preserve">n = 6. </w:t>
      </w:r>
    </w:p>
    <w:p w:rsidR="00000000" w:rsidRDefault="009E6419"/>
    <w:p w:rsidR="00000000" w:rsidRDefault="009E6419"/>
    <w:p w:rsidR="00000000" w:rsidRDefault="009E6419"/>
    <w:p w:rsidR="00000000" w:rsidRDefault="009E6419"/>
    <w:p w:rsidR="00000000" w:rsidRDefault="009E6419"/>
    <w:p w:rsidR="00000000" w:rsidRDefault="009E6419"/>
    <w:p w:rsidR="00000000" w:rsidRDefault="009E6419"/>
    <w:p w:rsidR="00000000" w:rsidRDefault="009E6419"/>
    <w:p w:rsidR="00000000" w:rsidRDefault="009E6419"/>
    <w:p w:rsidR="00000000" w:rsidRDefault="009E6419">
      <w:pPr>
        <w:spacing w:line="360" w:lineRule="auto"/>
      </w:pPr>
      <w:proofErr w:type="gramStart"/>
      <w:r>
        <w:rPr>
          <w:b/>
        </w:rPr>
        <w:t>Table 2.</w:t>
      </w:r>
      <w:proofErr w:type="gramEnd"/>
      <w:r>
        <w:t xml:space="preserve"> </w:t>
      </w:r>
      <w:proofErr w:type="gramStart"/>
      <w:r>
        <w:t xml:space="preserve">Effect of </w:t>
      </w:r>
      <w:proofErr w:type="spellStart"/>
      <w:r>
        <w:t>cytokinin</w:t>
      </w:r>
      <w:proofErr w:type="spellEnd"/>
      <w:r>
        <w:t xml:space="preserve"> an</w:t>
      </w:r>
      <w:r>
        <w:t xml:space="preserve">d </w:t>
      </w:r>
      <w:proofErr w:type="spellStart"/>
      <w:r>
        <w:t>auxin</w:t>
      </w:r>
      <w:proofErr w:type="spellEnd"/>
      <w:r>
        <w:t xml:space="preserve"> on shoot proliferation subcultures of </w:t>
      </w:r>
      <w:proofErr w:type="spellStart"/>
      <w:r>
        <w:rPr>
          <w:i/>
        </w:rPr>
        <w:t>Ortegocactus</w:t>
      </w:r>
      <w:proofErr w:type="spellEnd"/>
      <w:r>
        <w:rPr>
          <w:i/>
        </w:rPr>
        <w:t xml:space="preserve"> </w:t>
      </w:r>
      <w:proofErr w:type="spellStart"/>
      <w:r>
        <w:rPr>
          <w:i/>
        </w:rPr>
        <w:t>macdougallii</w:t>
      </w:r>
      <w:proofErr w:type="spellEnd"/>
      <w:r>
        <w:rPr>
          <w:i/>
        </w:rPr>
        <w:t xml:space="preserve"> </w:t>
      </w:r>
      <w:r>
        <w:t xml:space="preserve">A., 110 days after </w:t>
      </w:r>
      <w:r>
        <w:rPr>
          <w:i/>
        </w:rPr>
        <w:t>in vitro</w:t>
      </w:r>
      <w:r>
        <w:t xml:space="preserve"> culture.</w:t>
      </w:r>
      <w:proofErr w:type="gramEnd"/>
    </w:p>
    <w:tbl>
      <w:tblPr>
        <w:tblW w:w="0" w:type="auto"/>
        <w:tblBorders>
          <w:top w:val="single" w:sz="12" w:space="0" w:color="008000"/>
          <w:left w:val="nil"/>
          <w:bottom w:val="single" w:sz="12" w:space="0" w:color="008000"/>
          <w:right w:val="nil"/>
          <w:insideH w:val="nil"/>
          <w:insideV w:val="nil"/>
        </w:tblBorders>
        <w:tblCellMar>
          <w:left w:w="70" w:type="dxa"/>
          <w:right w:w="70" w:type="dxa"/>
        </w:tblCellMar>
        <w:tblLook w:val="00AF"/>
      </w:tblPr>
      <w:tblGrid>
        <w:gridCol w:w="2338"/>
        <w:gridCol w:w="1843"/>
        <w:gridCol w:w="2126"/>
        <w:gridCol w:w="2337"/>
      </w:tblGrid>
      <w:tr w:rsidR="00000000">
        <w:tblPrEx>
          <w:tblCellMar>
            <w:top w:w="0" w:type="dxa"/>
            <w:bottom w:w="0" w:type="dxa"/>
          </w:tblCellMar>
        </w:tblPrEx>
        <w:tc>
          <w:tcPr>
            <w:tcW w:w="2338" w:type="dxa"/>
            <w:tcBorders>
              <w:bottom w:val="single" w:sz="6" w:space="0" w:color="008000"/>
            </w:tcBorders>
          </w:tcPr>
          <w:p w:rsidR="00000000" w:rsidRDefault="009E6419">
            <w:pPr>
              <w:pStyle w:val="Heading3"/>
              <w:rPr>
                <w:rFonts w:ascii="Times" w:hAnsi="Times"/>
                <w:b w:val="0"/>
                <w:lang w:val="en-US"/>
              </w:rPr>
            </w:pPr>
            <w:r>
              <w:rPr>
                <w:rFonts w:ascii="Times" w:hAnsi="Times"/>
                <w:b w:val="0"/>
                <w:lang w:val="en-US"/>
              </w:rPr>
              <w:t>Treatment</w:t>
            </w:r>
          </w:p>
          <w:p w:rsidR="00000000" w:rsidRDefault="009E6419">
            <w:pPr>
              <w:spacing w:line="360" w:lineRule="auto"/>
              <w:jc w:val="center"/>
            </w:pPr>
            <w:r>
              <w:t>(</w:t>
            </w:r>
            <w:r>
              <w:rPr>
                <w:i/>
              </w:rPr>
              <w:sym w:font="Symbol" w:char="F06D"/>
            </w:r>
            <w:r>
              <w:t>M)</w:t>
            </w:r>
          </w:p>
        </w:tc>
        <w:tc>
          <w:tcPr>
            <w:tcW w:w="1843" w:type="dxa"/>
            <w:tcBorders>
              <w:bottom w:val="single" w:sz="6" w:space="0" w:color="008000"/>
            </w:tcBorders>
          </w:tcPr>
          <w:p w:rsidR="00000000" w:rsidRDefault="009E6419">
            <w:pPr>
              <w:pStyle w:val="Heading1"/>
              <w:rPr>
                <w:rFonts w:ascii="Times" w:hAnsi="Times"/>
                <w:b w:val="0"/>
                <w:sz w:val="24"/>
                <w:lang w:val="en-US"/>
              </w:rPr>
            </w:pPr>
            <w:r>
              <w:rPr>
                <w:rFonts w:ascii="Times" w:hAnsi="Times"/>
                <w:b w:val="0"/>
                <w:sz w:val="24"/>
                <w:lang w:val="en-US"/>
              </w:rPr>
              <w:t>Shoot</w:t>
            </w:r>
          </w:p>
          <w:p w:rsidR="00000000" w:rsidRDefault="009E6419">
            <w:pPr>
              <w:spacing w:line="360" w:lineRule="auto"/>
              <w:jc w:val="center"/>
            </w:pPr>
            <w:r>
              <w:t>Number</w:t>
            </w:r>
          </w:p>
        </w:tc>
        <w:tc>
          <w:tcPr>
            <w:tcW w:w="2126" w:type="dxa"/>
            <w:tcBorders>
              <w:bottom w:val="single" w:sz="6" w:space="0" w:color="008000"/>
            </w:tcBorders>
          </w:tcPr>
          <w:p w:rsidR="00000000" w:rsidRDefault="009E6419">
            <w:pPr>
              <w:pStyle w:val="Heading3"/>
              <w:rPr>
                <w:rFonts w:ascii="Times" w:hAnsi="Times"/>
                <w:b w:val="0"/>
                <w:lang w:val="en-US"/>
              </w:rPr>
            </w:pPr>
            <w:r>
              <w:rPr>
                <w:rFonts w:ascii="Times" w:hAnsi="Times"/>
                <w:b w:val="0"/>
                <w:lang w:val="en-US"/>
              </w:rPr>
              <w:t>Shoot Length</w:t>
            </w:r>
          </w:p>
          <w:p w:rsidR="00000000" w:rsidRDefault="009E6419">
            <w:pPr>
              <w:spacing w:line="360" w:lineRule="auto"/>
              <w:jc w:val="center"/>
            </w:pPr>
            <w:r>
              <w:t>(mm)</w:t>
            </w:r>
          </w:p>
        </w:tc>
        <w:tc>
          <w:tcPr>
            <w:tcW w:w="2337" w:type="dxa"/>
            <w:tcBorders>
              <w:bottom w:val="single" w:sz="6" w:space="0" w:color="008000"/>
            </w:tcBorders>
          </w:tcPr>
          <w:p w:rsidR="00000000" w:rsidRDefault="009E6419">
            <w:pPr>
              <w:pStyle w:val="Heading3"/>
              <w:rPr>
                <w:rFonts w:ascii="Times" w:hAnsi="Times"/>
                <w:b w:val="0"/>
                <w:lang w:val="en-US"/>
              </w:rPr>
            </w:pPr>
            <w:r>
              <w:rPr>
                <w:rFonts w:ascii="Times" w:hAnsi="Times"/>
                <w:b w:val="0"/>
                <w:lang w:val="en-US"/>
              </w:rPr>
              <w:t>Shoot Fresh Weight</w:t>
            </w:r>
          </w:p>
          <w:p w:rsidR="00000000" w:rsidRDefault="009E6419">
            <w:pPr>
              <w:spacing w:line="360" w:lineRule="auto"/>
              <w:jc w:val="center"/>
            </w:pPr>
            <w:r>
              <w:t>(mg)</w:t>
            </w:r>
          </w:p>
        </w:tc>
      </w:tr>
      <w:tr w:rsidR="00000000">
        <w:tblPrEx>
          <w:tblCellMar>
            <w:top w:w="0" w:type="dxa"/>
            <w:bottom w:w="0" w:type="dxa"/>
          </w:tblCellMar>
        </w:tblPrEx>
        <w:tc>
          <w:tcPr>
            <w:tcW w:w="2338" w:type="dxa"/>
            <w:tcBorders>
              <w:top w:val="single" w:sz="6" w:space="0" w:color="008000"/>
            </w:tcBorders>
          </w:tcPr>
          <w:p w:rsidR="00000000" w:rsidRDefault="009E6419">
            <w:pPr>
              <w:spacing w:line="360" w:lineRule="auto"/>
            </w:pPr>
            <w:r>
              <w:t xml:space="preserve">BA 13.3 + NAA 4.4 </w:t>
            </w:r>
          </w:p>
        </w:tc>
        <w:tc>
          <w:tcPr>
            <w:tcW w:w="1843" w:type="dxa"/>
            <w:tcBorders>
              <w:top w:val="single" w:sz="6" w:space="0" w:color="008000"/>
            </w:tcBorders>
          </w:tcPr>
          <w:p w:rsidR="00000000" w:rsidRDefault="009E6419">
            <w:pPr>
              <w:spacing w:line="360" w:lineRule="auto"/>
            </w:pPr>
            <w:r>
              <w:t>5.67 ± 0.49 a</w:t>
            </w:r>
          </w:p>
        </w:tc>
        <w:tc>
          <w:tcPr>
            <w:tcW w:w="2126" w:type="dxa"/>
            <w:tcBorders>
              <w:top w:val="single" w:sz="6" w:space="0" w:color="008000"/>
            </w:tcBorders>
          </w:tcPr>
          <w:p w:rsidR="00000000" w:rsidRDefault="009E6419">
            <w:pPr>
              <w:spacing w:line="360" w:lineRule="auto"/>
            </w:pPr>
            <w:r>
              <w:t>4.78 ± 0.17 a</w:t>
            </w:r>
          </w:p>
        </w:tc>
        <w:tc>
          <w:tcPr>
            <w:tcW w:w="2337" w:type="dxa"/>
            <w:tcBorders>
              <w:top w:val="single" w:sz="6" w:space="0" w:color="008000"/>
            </w:tcBorders>
          </w:tcPr>
          <w:p w:rsidR="00000000" w:rsidRDefault="009E6419">
            <w:pPr>
              <w:spacing w:line="360" w:lineRule="auto"/>
            </w:pPr>
            <w:r>
              <w:t>340.48 ± 47.06 a</w:t>
            </w:r>
          </w:p>
        </w:tc>
      </w:tr>
      <w:tr w:rsidR="00000000">
        <w:tblPrEx>
          <w:tblCellMar>
            <w:top w:w="0" w:type="dxa"/>
            <w:bottom w:w="0" w:type="dxa"/>
          </w:tblCellMar>
        </w:tblPrEx>
        <w:tc>
          <w:tcPr>
            <w:tcW w:w="2338" w:type="dxa"/>
          </w:tcPr>
          <w:p w:rsidR="00000000" w:rsidRDefault="009E6419">
            <w:pPr>
              <w:spacing w:line="360" w:lineRule="auto"/>
            </w:pPr>
            <w:r>
              <w:t>BA 19.9 + N</w:t>
            </w:r>
            <w:r>
              <w:t xml:space="preserve">AA 4.4 </w:t>
            </w:r>
          </w:p>
        </w:tc>
        <w:tc>
          <w:tcPr>
            <w:tcW w:w="1843" w:type="dxa"/>
          </w:tcPr>
          <w:p w:rsidR="00000000" w:rsidRDefault="009E6419">
            <w:pPr>
              <w:spacing w:line="360" w:lineRule="auto"/>
            </w:pPr>
            <w:r>
              <w:t>5.83 ± 0.65 a</w:t>
            </w:r>
          </w:p>
        </w:tc>
        <w:tc>
          <w:tcPr>
            <w:tcW w:w="2126" w:type="dxa"/>
          </w:tcPr>
          <w:p w:rsidR="00000000" w:rsidRDefault="009E6419">
            <w:pPr>
              <w:spacing w:line="360" w:lineRule="auto"/>
            </w:pPr>
            <w:r>
              <w:t>3.93 ± 0.26 b</w:t>
            </w:r>
          </w:p>
        </w:tc>
        <w:tc>
          <w:tcPr>
            <w:tcW w:w="2337" w:type="dxa"/>
          </w:tcPr>
          <w:p w:rsidR="00000000" w:rsidRDefault="009E6419">
            <w:pPr>
              <w:spacing w:line="360" w:lineRule="auto"/>
            </w:pPr>
            <w:r>
              <w:t>388.62 ± 36.79 a</w:t>
            </w:r>
          </w:p>
        </w:tc>
      </w:tr>
      <w:tr w:rsidR="00000000">
        <w:tblPrEx>
          <w:tblCellMar>
            <w:top w:w="0" w:type="dxa"/>
            <w:bottom w:w="0" w:type="dxa"/>
          </w:tblCellMar>
        </w:tblPrEx>
        <w:tc>
          <w:tcPr>
            <w:tcW w:w="2338" w:type="dxa"/>
          </w:tcPr>
          <w:p w:rsidR="00000000" w:rsidRDefault="009E6419">
            <w:pPr>
              <w:spacing w:line="360" w:lineRule="auto"/>
            </w:pPr>
            <w:r>
              <w:t xml:space="preserve">BA 26.6 + NAA 4.4 </w:t>
            </w:r>
          </w:p>
        </w:tc>
        <w:tc>
          <w:tcPr>
            <w:tcW w:w="1843" w:type="dxa"/>
          </w:tcPr>
          <w:p w:rsidR="00000000" w:rsidRDefault="009E6419">
            <w:pPr>
              <w:spacing w:line="360" w:lineRule="auto"/>
            </w:pPr>
            <w:r>
              <w:t>5.33 ± 0.72 a</w:t>
            </w:r>
          </w:p>
        </w:tc>
        <w:tc>
          <w:tcPr>
            <w:tcW w:w="2126" w:type="dxa"/>
          </w:tcPr>
          <w:p w:rsidR="00000000" w:rsidRDefault="009E6419">
            <w:pPr>
              <w:spacing w:line="360" w:lineRule="auto"/>
            </w:pPr>
            <w:r>
              <w:t>3.67 ± 0.15 b</w:t>
            </w:r>
          </w:p>
        </w:tc>
        <w:tc>
          <w:tcPr>
            <w:tcW w:w="2337" w:type="dxa"/>
          </w:tcPr>
          <w:p w:rsidR="00000000" w:rsidRDefault="009E6419">
            <w:pPr>
              <w:spacing w:line="360" w:lineRule="auto"/>
            </w:pPr>
            <w:r>
              <w:t>327.64 ± 26.17 a</w:t>
            </w:r>
          </w:p>
        </w:tc>
      </w:tr>
      <w:tr w:rsidR="00000000">
        <w:tblPrEx>
          <w:tblCellMar>
            <w:top w:w="0" w:type="dxa"/>
            <w:bottom w:w="0" w:type="dxa"/>
          </w:tblCellMar>
        </w:tblPrEx>
        <w:tc>
          <w:tcPr>
            <w:tcW w:w="2338" w:type="dxa"/>
          </w:tcPr>
          <w:p w:rsidR="00000000" w:rsidRDefault="009E6419">
            <w:pPr>
              <w:spacing w:line="360" w:lineRule="auto"/>
            </w:pPr>
            <w:r>
              <w:t>MSD*</w:t>
            </w:r>
          </w:p>
        </w:tc>
        <w:tc>
          <w:tcPr>
            <w:tcW w:w="1843" w:type="dxa"/>
          </w:tcPr>
          <w:p w:rsidR="00000000" w:rsidRDefault="009E6419">
            <w:pPr>
              <w:spacing w:line="360" w:lineRule="auto"/>
            </w:pPr>
            <w:r>
              <w:t>2.3051</w:t>
            </w:r>
          </w:p>
        </w:tc>
        <w:tc>
          <w:tcPr>
            <w:tcW w:w="2126" w:type="dxa"/>
          </w:tcPr>
          <w:p w:rsidR="00000000" w:rsidRDefault="009E6419">
            <w:pPr>
              <w:spacing w:line="360" w:lineRule="auto"/>
            </w:pPr>
            <w:r>
              <w:t>0.7309</w:t>
            </w:r>
          </w:p>
        </w:tc>
        <w:tc>
          <w:tcPr>
            <w:tcW w:w="2337" w:type="dxa"/>
          </w:tcPr>
          <w:p w:rsidR="00000000" w:rsidRDefault="009E6419">
            <w:pPr>
              <w:spacing w:line="360" w:lineRule="auto"/>
            </w:pPr>
            <w:r>
              <w:t>138.17</w:t>
            </w:r>
          </w:p>
        </w:tc>
      </w:tr>
    </w:tbl>
    <w:p w:rsidR="00000000" w:rsidRDefault="009E6419">
      <w:pPr>
        <w:rPr>
          <w:rFonts w:eastAsia="Times New Roman"/>
        </w:rPr>
      </w:pPr>
    </w:p>
    <w:p w:rsidR="00000000" w:rsidRDefault="009E6419">
      <w:pPr>
        <w:spacing w:line="360" w:lineRule="auto"/>
        <w:rPr>
          <w:rFonts w:eastAsia="Times New Roman"/>
        </w:rPr>
      </w:pPr>
      <w:r>
        <w:rPr>
          <w:rFonts w:eastAsia="Times New Roman"/>
        </w:rPr>
        <w:t xml:space="preserve">*Minimum significant difference. Means with the same letter are not significantly different according to the </w:t>
      </w:r>
      <w:proofErr w:type="spellStart"/>
      <w:r>
        <w:rPr>
          <w:rFonts w:eastAsia="Times New Roman"/>
        </w:rPr>
        <w:t>Tukey</w:t>
      </w:r>
      <w:proofErr w:type="spellEnd"/>
      <w:r>
        <w:rPr>
          <w:rFonts w:eastAsia="Times New Roman"/>
        </w:rPr>
        <w:t xml:space="preserve"> mean separation test (</w:t>
      </w:r>
      <w:r>
        <w:sym w:font="Symbol" w:char="F0B5"/>
      </w:r>
      <w:r>
        <w:rPr>
          <w:rFonts w:eastAsia="Times New Roman"/>
        </w:rPr>
        <w:t xml:space="preserve">= 0.05). </w:t>
      </w:r>
      <w:r>
        <w:t xml:space="preserve">Mean ± SE. </w:t>
      </w:r>
      <w:r>
        <w:rPr>
          <w:rFonts w:eastAsia="Times New Roman"/>
        </w:rPr>
        <w:t>n = 6.</w:t>
      </w:r>
    </w:p>
    <w:p w:rsidR="00000000" w:rsidRDefault="009E6419">
      <w:pPr>
        <w:rPr>
          <w:rFonts w:eastAsia="Times New Roman"/>
        </w:rPr>
      </w:pPr>
    </w:p>
    <w:p w:rsidR="00000000" w:rsidRDefault="009E6419">
      <w:pPr>
        <w:rPr>
          <w:rFonts w:eastAsia="Times New Roman"/>
          <w:sz w:val="18"/>
        </w:rPr>
      </w:pPr>
    </w:p>
    <w:p w:rsidR="00000000" w:rsidRDefault="009E6419">
      <w:pPr>
        <w:spacing w:line="360" w:lineRule="auto"/>
        <w:rPr>
          <w:b/>
        </w:rPr>
      </w:pPr>
      <w:proofErr w:type="gramStart"/>
      <w:r>
        <w:rPr>
          <w:b/>
        </w:rPr>
        <w:t>Table 3.</w:t>
      </w:r>
      <w:proofErr w:type="gramEnd"/>
      <w:r>
        <w:t xml:space="preserve"> </w:t>
      </w:r>
      <w:proofErr w:type="gramStart"/>
      <w:r>
        <w:t xml:space="preserve">Effect of </w:t>
      </w:r>
      <w:proofErr w:type="spellStart"/>
      <w:r>
        <w:t>cytokinin</w:t>
      </w:r>
      <w:proofErr w:type="spellEnd"/>
      <w:r>
        <w:t xml:space="preserve"> and </w:t>
      </w:r>
      <w:proofErr w:type="spellStart"/>
      <w:r>
        <w:t>auxin</w:t>
      </w:r>
      <w:proofErr w:type="spellEnd"/>
      <w:r>
        <w:t xml:space="preserve"> during proliferation subcultures on adventitious root formation of regenerated shoots of </w:t>
      </w:r>
      <w:proofErr w:type="spellStart"/>
      <w:r>
        <w:rPr>
          <w:i/>
        </w:rPr>
        <w:t>Ortegocactus</w:t>
      </w:r>
      <w:proofErr w:type="spellEnd"/>
      <w:r>
        <w:rPr>
          <w:i/>
        </w:rPr>
        <w:t xml:space="preserve"> </w:t>
      </w:r>
      <w:proofErr w:type="spellStart"/>
      <w:r>
        <w:rPr>
          <w:i/>
        </w:rPr>
        <w:t>macdougallii</w:t>
      </w:r>
      <w:proofErr w:type="spellEnd"/>
      <w:r>
        <w:rPr>
          <w:i/>
        </w:rPr>
        <w:t xml:space="preserve"> </w:t>
      </w:r>
      <w:r>
        <w:t>A.</w:t>
      </w:r>
      <w:r>
        <w:rPr>
          <w:i/>
        </w:rPr>
        <w:t>,</w:t>
      </w:r>
      <w:r>
        <w:t xml:space="preserve"> 110 days after </w:t>
      </w:r>
      <w:r>
        <w:rPr>
          <w:i/>
        </w:rPr>
        <w:t>in vitro</w:t>
      </w:r>
      <w:r>
        <w:t xml:space="preserve"> of culture.</w:t>
      </w:r>
      <w:proofErr w:type="gramEnd"/>
    </w:p>
    <w:p w:rsidR="00000000" w:rsidRDefault="009E6419">
      <w:pPr>
        <w:pStyle w:val="BodyText"/>
        <w:rPr>
          <w:b w:val="0"/>
          <w:sz w:val="18"/>
        </w:rPr>
      </w:pPr>
    </w:p>
    <w:tbl>
      <w:tblPr>
        <w:tblW w:w="8575" w:type="dxa"/>
        <w:tblBorders>
          <w:top w:val="single" w:sz="12" w:space="0" w:color="008000"/>
          <w:left w:val="nil"/>
          <w:bottom w:val="single" w:sz="12" w:space="0" w:color="008000"/>
          <w:right w:val="nil"/>
          <w:insideH w:val="nil"/>
          <w:insideV w:val="nil"/>
        </w:tblBorders>
        <w:tblCellMar>
          <w:left w:w="70" w:type="dxa"/>
          <w:right w:w="70" w:type="dxa"/>
        </w:tblCellMar>
        <w:tblLook w:val="00AF"/>
      </w:tblPr>
      <w:tblGrid>
        <w:gridCol w:w="2858"/>
        <w:gridCol w:w="2858"/>
        <w:gridCol w:w="2859"/>
      </w:tblGrid>
      <w:tr w:rsidR="00000000">
        <w:tblPrEx>
          <w:tblCellMar>
            <w:top w:w="0" w:type="dxa"/>
            <w:bottom w:w="0" w:type="dxa"/>
          </w:tblCellMar>
        </w:tblPrEx>
        <w:tc>
          <w:tcPr>
            <w:tcW w:w="2858" w:type="dxa"/>
            <w:tcBorders>
              <w:bottom w:val="single" w:sz="6" w:space="0" w:color="008000"/>
            </w:tcBorders>
          </w:tcPr>
          <w:p w:rsidR="00000000" w:rsidRDefault="009E6419">
            <w:pPr>
              <w:pStyle w:val="Heading3"/>
              <w:rPr>
                <w:rFonts w:ascii="Times" w:hAnsi="Times"/>
                <w:b w:val="0"/>
                <w:lang w:val="en-US"/>
              </w:rPr>
            </w:pPr>
            <w:r>
              <w:rPr>
                <w:rFonts w:ascii="Times" w:hAnsi="Times"/>
                <w:b w:val="0"/>
                <w:lang w:val="en-US"/>
              </w:rPr>
              <w:t>Tre</w:t>
            </w:r>
            <w:r>
              <w:rPr>
                <w:rFonts w:ascii="Times" w:hAnsi="Times"/>
                <w:b w:val="0"/>
                <w:lang w:val="en-US"/>
              </w:rPr>
              <w:t>atment</w:t>
            </w:r>
          </w:p>
          <w:p w:rsidR="00000000" w:rsidRDefault="009E6419">
            <w:pPr>
              <w:jc w:val="center"/>
            </w:pPr>
            <w:r>
              <w:t>(</w:t>
            </w:r>
            <w:r>
              <w:rPr>
                <w:i/>
              </w:rPr>
              <w:sym w:font="Symbol" w:char="F06D"/>
            </w:r>
            <w:r>
              <w:t>M)</w:t>
            </w:r>
          </w:p>
        </w:tc>
        <w:tc>
          <w:tcPr>
            <w:tcW w:w="2858" w:type="dxa"/>
            <w:tcBorders>
              <w:bottom w:val="single" w:sz="6" w:space="0" w:color="008000"/>
            </w:tcBorders>
          </w:tcPr>
          <w:p w:rsidR="00000000" w:rsidRDefault="009E6419">
            <w:pPr>
              <w:pStyle w:val="Heading1"/>
              <w:rPr>
                <w:rFonts w:ascii="Times" w:hAnsi="Times"/>
                <w:b w:val="0"/>
                <w:sz w:val="24"/>
                <w:lang w:val="en-US"/>
              </w:rPr>
            </w:pPr>
            <w:r>
              <w:rPr>
                <w:rFonts w:ascii="Times" w:hAnsi="Times"/>
                <w:b w:val="0"/>
                <w:sz w:val="24"/>
                <w:lang w:val="en-US"/>
              </w:rPr>
              <w:t>Root</w:t>
            </w:r>
          </w:p>
          <w:p w:rsidR="00000000" w:rsidRDefault="009E6419">
            <w:pPr>
              <w:jc w:val="center"/>
            </w:pPr>
            <w:r>
              <w:t>Number</w:t>
            </w:r>
          </w:p>
        </w:tc>
        <w:tc>
          <w:tcPr>
            <w:tcW w:w="2859" w:type="dxa"/>
            <w:tcBorders>
              <w:bottom w:val="single" w:sz="6" w:space="0" w:color="008000"/>
            </w:tcBorders>
          </w:tcPr>
          <w:p w:rsidR="00000000" w:rsidRDefault="009E6419">
            <w:pPr>
              <w:pStyle w:val="Heading3"/>
              <w:rPr>
                <w:rFonts w:ascii="Times" w:hAnsi="Times"/>
                <w:b w:val="0"/>
                <w:lang w:val="en-US"/>
              </w:rPr>
            </w:pPr>
            <w:r>
              <w:rPr>
                <w:rFonts w:ascii="Times" w:hAnsi="Times"/>
                <w:b w:val="0"/>
                <w:lang w:val="en-US"/>
              </w:rPr>
              <w:t>Root Length</w:t>
            </w:r>
          </w:p>
          <w:p w:rsidR="00000000" w:rsidRDefault="009E6419">
            <w:pPr>
              <w:jc w:val="center"/>
            </w:pPr>
            <w:r>
              <w:t>(mm)</w:t>
            </w:r>
          </w:p>
        </w:tc>
      </w:tr>
      <w:tr w:rsidR="00000000">
        <w:tblPrEx>
          <w:tblCellMar>
            <w:top w:w="0" w:type="dxa"/>
            <w:bottom w:w="0" w:type="dxa"/>
          </w:tblCellMar>
        </w:tblPrEx>
        <w:tc>
          <w:tcPr>
            <w:tcW w:w="2858" w:type="dxa"/>
            <w:tcBorders>
              <w:top w:val="single" w:sz="6" w:space="0" w:color="008000"/>
            </w:tcBorders>
          </w:tcPr>
          <w:p w:rsidR="00000000" w:rsidRDefault="009E6419">
            <w:r>
              <w:t xml:space="preserve">BA 13.3 + NAA 4.4 </w:t>
            </w:r>
          </w:p>
        </w:tc>
        <w:tc>
          <w:tcPr>
            <w:tcW w:w="2858" w:type="dxa"/>
            <w:tcBorders>
              <w:top w:val="single" w:sz="6" w:space="0" w:color="008000"/>
            </w:tcBorders>
          </w:tcPr>
          <w:p w:rsidR="00000000" w:rsidRDefault="009E6419">
            <w:r>
              <w:t>1.25 ± 0.24 a</w:t>
            </w:r>
          </w:p>
        </w:tc>
        <w:tc>
          <w:tcPr>
            <w:tcW w:w="2859" w:type="dxa"/>
            <w:tcBorders>
              <w:top w:val="single" w:sz="6" w:space="0" w:color="008000"/>
            </w:tcBorders>
          </w:tcPr>
          <w:p w:rsidR="00000000" w:rsidRDefault="009E6419">
            <w:r>
              <w:t>7.71 ± 1.15 a</w:t>
            </w:r>
          </w:p>
        </w:tc>
      </w:tr>
      <w:tr w:rsidR="00000000">
        <w:tblPrEx>
          <w:tblCellMar>
            <w:top w:w="0" w:type="dxa"/>
            <w:bottom w:w="0" w:type="dxa"/>
          </w:tblCellMar>
        </w:tblPrEx>
        <w:trPr>
          <w:trHeight w:val="90"/>
        </w:trPr>
        <w:tc>
          <w:tcPr>
            <w:tcW w:w="2858" w:type="dxa"/>
          </w:tcPr>
          <w:p w:rsidR="00000000" w:rsidRDefault="009E6419">
            <w:pPr>
              <w:pStyle w:val="Heading2"/>
              <w:rPr>
                <w:rFonts w:ascii="Times" w:hAnsi="Times"/>
                <w:i w:val="0"/>
                <w:sz w:val="24"/>
                <w:lang w:val="en-US"/>
              </w:rPr>
            </w:pPr>
            <w:r>
              <w:rPr>
                <w:rFonts w:ascii="Times" w:hAnsi="Times"/>
                <w:i w:val="0"/>
                <w:sz w:val="24"/>
                <w:lang w:val="en-US"/>
              </w:rPr>
              <w:t xml:space="preserve">BA 19.9 + NAA 4.4 </w:t>
            </w:r>
          </w:p>
        </w:tc>
        <w:tc>
          <w:tcPr>
            <w:tcW w:w="2858" w:type="dxa"/>
          </w:tcPr>
          <w:p w:rsidR="00000000" w:rsidRDefault="009E6419">
            <w:r>
              <w:t>0.00 ± 0.00 b</w:t>
            </w:r>
          </w:p>
        </w:tc>
        <w:tc>
          <w:tcPr>
            <w:tcW w:w="2859" w:type="dxa"/>
          </w:tcPr>
          <w:p w:rsidR="00000000" w:rsidRDefault="009E6419">
            <w:r>
              <w:t>0.00 ± 0.00 b</w:t>
            </w:r>
          </w:p>
        </w:tc>
      </w:tr>
      <w:tr w:rsidR="00000000">
        <w:tblPrEx>
          <w:tblCellMar>
            <w:top w:w="0" w:type="dxa"/>
            <w:bottom w:w="0" w:type="dxa"/>
          </w:tblCellMar>
        </w:tblPrEx>
        <w:tc>
          <w:tcPr>
            <w:tcW w:w="2858" w:type="dxa"/>
          </w:tcPr>
          <w:p w:rsidR="00000000" w:rsidRDefault="009E6419">
            <w:pPr>
              <w:pStyle w:val="Heading2"/>
              <w:rPr>
                <w:rFonts w:ascii="Times" w:hAnsi="Times"/>
                <w:i w:val="0"/>
                <w:sz w:val="24"/>
                <w:lang w:val="en-US"/>
              </w:rPr>
            </w:pPr>
            <w:r>
              <w:rPr>
                <w:rFonts w:ascii="Times" w:hAnsi="Times"/>
                <w:i w:val="0"/>
                <w:sz w:val="24"/>
                <w:lang w:val="en-US"/>
              </w:rPr>
              <w:t xml:space="preserve">BA 26.6 + NAA 4.4 </w:t>
            </w:r>
          </w:p>
        </w:tc>
        <w:tc>
          <w:tcPr>
            <w:tcW w:w="2858" w:type="dxa"/>
          </w:tcPr>
          <w:p w:rsidR="00000000" w:rsidRDefault="009E6419">
            <w:r>
              <w:t>0.00 ± 0.00 b</w:t>
            </w:r>
          </w:p>
        </w:tc>
        <w:tc>
          <w:tcPr>
            <w:tcW w:w="2859" w:type="dxa"/>
          </w:tcPr>
          <w:p w:rsidR="00000000" w:rsidRDefault="009E6419">
            <w:r>
              <w:t>0.00 ± 0.00 b</w:t>
            </w:r>
          </w:p>
        </w:tc>
      </w:tr>
      <w:tr w:rsidR="00000000">
        <w:tblPrEx>
          <w:tblCellMar>
            <w:top w:w="0" w:type="dxa"/>
            <w:bottom w:w="0" w:type="dxa"/>
          </w:tblCellMar>
        </w:tblPrEx>
        <w:tc>
          <w:tcPr>
            <w:tcW w:w="2858" w:type="dxa"/>
          </w:tcPr>
          <w:p w:rsidR="00000000" w:rsidRDefault="009E6419">
            <w:pPr>
              <w:pStyle w:val="Heading2"/>
              <w:rPr>
                <w:rFonts w:ascii="Times" w:hAnsi="Times"/>
                <w:i w:val="0"/>
                <w:sz w:val="24"/>
                <w:lang w:val="en-US"/>
              </w:rPr>
            </w:pPr>
            <w:r>
              <w:rPr>
                <w:rFonts w:ascii="Times" w:hAnsi="Times"/>
                <w:i w:val="0"/>
                <w:sz w:val="24"/>
                <w:lang w:val="en-US"/>
              </w:rPr>
              <w:t>MSD*</w:t>
            </w:r>
          </w:p>
        </w:tc>
        <w:tc>
          <w:tcPr>
            <w:tcW w:w="2858" w:type="dxa"/>
          </w:tcPr>
          <w:p w:rsidR="00000000" w:rsidRDefault="009E6419">
            <w:r>
              <w:t>0.5125</w:t>
            </w:r>
          </w:p>
        </w:tc>
        <w:tc>
          <w:tcPr>
            <w:tcW w:w="2859" w:type="dxa"/>
          </w:tcPr>
          <w:p w:rsidR="00000000" w:rsidRDefault="009E6419">
            <w:r>
              <w:t>2.4408</w:t>
            </w:r>
          </w:p>
        </w:tc>
      </w:tr>
    </w:tbl>
    <w:p w:rsidR="00000000" w:rsidRDefault="009E6419">
      <w:pPr>
        <w:rPr>
          <w:rFonts w:eastAsia="Times New Roman"/>
        </w:rPr>
      </w:pPr>
    </w:p>
    <w:p w:rsidR="00000000" w:rsidRDefault="009E6419">
      <w:pPr>
        <w:spacing w:line="360" w:lineRule="auto"/>
        <w:rPr>
          <w:rFonts w:eastAsia="Times New Roman"/>
        </w:rPr>
      </w:pPr>
      <w:r>
        <w:rPr>
          <w:rFonts w:eastAsia="Times New Roman"/>
        </w:rPr>
        <w:t>*Minimum significant difference. Means with the s</w:t>
      </w:r>
      <w:r>
        <w:rPr>
          <w:rFonts w:eastAsia="Times New Roman"/>
        </w:rPr>
        <w:t xml:space="preserve">ame letter are not significantly different according to the </w:t>
      </w:r>
      <w:proofErr w:type="spellStart"/>
      <w:r>
        <w:rPr>
          <w:rFonts w:eastAsia="Times New Roman"/>
        </w:rPr>
        <w:t>Tukey</w:t>
      </w:r>
      <w:proofErr w:type="spellEnd"/>
      <w:r>
        <w:rPr>
          <w:rFonts w:eastAsia="Times New Roman"/>
        </w:rPr>
        <w:t xml:space="preserve"> mean separation test (</w:t>
      </w:r>
      <w:r>
        <w:sym w:font="Symbol" w:char="F0B5"/>
      </w:r>
      <w:r>
        <w:rPr>
          <w:rFonts w:eastAsia="Times New Roman"/>
        </w:rPr>
        <w:t xml:space="preserve"> = 0.05). </w:t>
      </w:r>
      <w:r>
        <w:t xml:space="preserve">Mean ± SE. </w:t>
      </w:r>
      <w:r>
        <w:rPr>
          <w:rFonts w:eastAsia="Times New Roman"/>
        </w:rPr>
        <w:t xml:space="preserve">n = 8 </w:t>
      </w:r>
      <w:r>
        <w:t>± SE</w:t>
      </w:r>
      <w:r>
        <w:rPr>
          <w:rFonts w:eastAsia="Times New Roman"/>
        </w:rPr>
        <w:t>.</w:t>
      </w: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rPr>
          <w:rFonts w:eastAsia="Times New Roman"/>
          <w:sz w:val="18"/>
        </w:rPr>
      </w:pPr>
    </w:p>
    <w:p w:rsidR="00000000" w:rsidRDefault="009E6419">
      <w:pPr>
        <w:spacing w:line="360" w:lineRule="auto"/>
        <w:rPr>
          <w:b/>
        </w:rPr>
      </w:pPr>
      <w:proofErr w:type="gramStart"/>
      <w:r>
        <w:rPr>
          <w:b/>
        </w:rPr>
        <w:t>Table 4.</w:t>
      </w:r>
      <w:proofErr w:type="gramEnd"/>
      <w:r>
        <w:t xml:space="preserve"> </w:t>
      </w:r>
      <w:proofErr w:type="gramStart"/>
      <w:r>
        <w:t xml:space="preserve">Effect of culture media and </w:t>
      </w:r>
      <w:proofErr w:type="spellStart"/>
      <w:r>
        <w:t>auxin</w:t>
      </w:r>
      <w:proofErr w:type="spellEnd"/>
      <w:r>
        <w:t xml:space="preserve"> concentration on adventitious root formation of regenerated shoots of </w:t>
      </w:r>
      <w:proofErr w:type="spellStart"/>
      <w:r>
        <w:rPr>
          <w:i/>
        </w:rPr>
        <w:t>Orteg</w:t>
      </w:r>
      <w:r>
        <w:rPr>
          <w:i/>
        </w:rPr>
        <w:t>ocactus</w:t>
      </w:r>
      <w:proofErr w:type="spellEnd"/>
      <w:r>
        <w:rPr>
          <w:i/>
        </w:rPr>
        <w:t xml:space="preserve"> </w:t>
      </w:r>
      <w:proofErr w:type="spellStart"/>
      <w:r>
        <w:rPr>
          <w:i/>
        </w:rPr>
        <w:t>macdougallii</w:t>
      </w:r>
      <w:proofErr w:type="spellEnd"/>
      <w:r>
        <w:rPr>
          <w:i/>
        </w:rPr>
        <w:t xml:space="preserve"> </w:t>
      </w:r>
      <w:r>
        <w:t>A.</w:t>
      </w:r>
      <w:r>
        <w:rPr>
          <w:i/>
        </w:rPr>
        <w:t>,</w:t>
      </w:r>
      <w:r>
        <w:t xml:space="preserve"> 50 days after </w:t>
      </w:r>
      <w:r>
        <w:rPr>
          <w:i/>
        </w:rPr>
        <w:t>in vitro</w:t>
      </w:r>
      <w:r>
        <w:t xml:space="preserve"> of culture.</w:t>
      </w:r>
      <w:proofErr w:type="gramEnd"/>
    </w:p>
    <w:p w:rsidR="00000000" w:rsidRDefault="009E6419">
      <w:pPr>
        <w:pStyle w:val="BodyText"/>
        <w:rPr>
          <w:b w:val="0"/>
          <w:sz w:val="18"/>
        </w:rPr>
      </w:pPr>
    </w:p>
    <w:tbl>
      <w:tblPr>
        <w:tblW w:w="8575" w:type="dxa"/>
        <w:tblBorders>
          <w:top w:val="single" w:sz="12" w:space="0" w:color="008000"/>
          <w:left w:val="nil"/>
          <w:bottom w:val="single" w:sz="12" w:space="0" w:color="008000"/>
          <w:right w:val="nil"/>
          <w:insideH w:val="nil"/>
          <w:insideV w:val="nil"/>
        </w:tblBorders>
        <w:tblCellMar>
          <w:left w:w="70" w:type="dxa"/>
          <w:right w:w="70" w:type="dxa"/>
        </w:tblCellMar>
        <w:tblLook w:val="00AF"/>
      </w:tblPr>
      <w:tblGrid>
        <w:gridCol w:w="2143"/>
        <w:gridCol w:w="2144"/>
        <w:gridCol w:w="2144"/>
        <w:gridCol w:w="2144"/>
      </w:tblGrid>
      <w:tr w:rsidR="00000000">
        <w:tblPrEx>
          <w:tblCellMar>
            <w:top w:w="0" w:type="dxa"/>
            <w:bottom w:w="0" w:type="dxa"/>
          </w:tblCellMar>
        </w:tblPrEx>
        <w:tc>
          <w:tcPr>
            <w:tcW w:w="2143" w:type="dxa"/>
            <w:tcBorders>
              <w:bottom w:val="single" w:sz="6" w:space="0" w:color="008000"/>
            </w:tcBorders>
          </w:tcPr>
          <w:p w:rsidR="00000000" w:rsidRDefault="009E6419">
            <w:pPr>
              <w:jc w:val="center"/>
            </w:pPr>
          </w:p>
          <w:p w:rsidR="00000000" w:rsidRDefault="009E6419">
            <w:pPr>
              <w:jc w:val="center"/>
            </w:pPr>
            <w:r>
              <w:t>Treatment</w:t>
            </w:r>
          </w:p>
        </w:tc>
        <w:tc>
          <w:tcPr>
            <w:tcW w:w="2144" w:type="dxa"/>
            <w:tcBorders>
              <w:bottom w:val="single" w:sz="6" w:space="0" w:color="008000"/>
            </w:tcBorders>
          </w:tcPr>
          <w:p w:rsidR="00000000" w:rsidRDefault="009E6419">
            <w:pPr>
              <w:jc w:val="center"/>
            </w:pPr>
            <w:r>
              <w:t>Root Formation</w:t>
            </w:r>
          </w:p>
          <w:p w:rsidR="00000000" w:rsidRDefault="009E6419">
            <w:pPr>
              <w:jc w:val="center"/>
            </w:pPr>
            <w:r>
              <w:t>(%)</w:t>
            </w:r>
          </w:p>
        </w:tc>
        <w:tc>
          <w:tcPr>
            <w:tcW w:w="2144" w:type="dxa"/>
            <w:tcBorders>
              <w:bottom w:val="single" w:sz="6" w:space="0" w:color="008000"/>
            </w:tcBorders>
          </w:tcPr>
          <w:p w:rsidR="00000000" w:rsidRDefault="009E6419">
            <w:pPr>
              <w:pStyle w:val="Heading1"/>
              <w:rPr>
                <w:rFonts w:ascii="Times" w:hAnsi="Times"/>
                <w:b w:val="0"/>
                <w:sz w:val="24"/>
                <w:lang w:val="en-US"/>
              </w:rPr>
            </w:pPr>
            <w:r>
              <w:rPr>
                <w:rFonts w:ascii="Times" w:hAnsi="Times"/>
                <w:b w:val="0"/>
                <w:sz w:val="24"/>
                <w:lang w:val="en-US"/>
              </w:rPr>
              <w:t>Root</w:t>
            </w:r>
          </w:p>
          <w:p w:rsidR="00000000" w:rsidRDefault="009E6419">
            <w:pPr>
              <w:jc w:val="center"/>
            </w:pPr>
            <w:r>
              <w:t>Number</w:t>
            </w:r>
          </w:p>
        </w:tc>
        <w:tc>
          <w:tcPr>
            <w:tcW w:w="2144" w:type="dxa"/>
            <w:tcBorders>
              <w:bottom w:val="single" w:sz="6" w:space="0" w:color="008000"/>
            </w:tcBorders>
          </w:tcPr>
          <w:p w:rsidR="00000000" w:rsidRDefault="009E6419">
            <w:pPr>
              <w:pStyle w:val="Heading3"/>
              <w:rPr>
                <w:rFonts w:ascii="Times" w:hAnsi="Times"/>
                <w:b w:val="0"/>
                <w:lang w:val="en-US"/>
              </w:rPr>
            </w:pPr>
            <w:r>
              <w:rPr>
                <w:rFonts w:ascii="Times" w:hAnsi="Times"/>
                <w:b w:val="0"/>
                <w:lang w:val="en-US"/>
              </w:rPr>
              <w:t>Root Length</w:t>
            </w:r>
          </w:p>
          <w:p w:rsidR="00000000" w:rsidRDefault="009E6419">
            <w:pPr>
              <w:jc w:val="center"/>
            </w:pPr>
            <w:r>
              <w:t>(mm)</w:t>
            </w:r>
          </w:p>
        </w:tc>
      </w:tr>
      <w:tr w:rsidR="00000000">
        <w:tblPrEx>
          <w:tblCellMar>
            <w:top w:w="0" w:type="dxa"/>
            <w:bottom w:w="0" w:type="dxa"/>
          </w:tblCellMar>
        </w:tblPrEx>
        <w:tc>
          <w:tcPr>
            <w:tcW w:w="2143" w:type="dxa"/>
            <w:tcBorders>
              <w:top w:val="single" w:sz="6" w:space="0" w:color="008000"/>
            </w:tcBorders>
          </w:tcPr>
          <w:p w:rsidR="00000000" w:rsidRDefault="009E6419">
            <w:r>
              <w:t>MS25</w:t>
            </w:r>
            <w:r>
              <w:rPr>
                <w:vertAlign w:val="superscript"/>
              </w:rPr>
              <w:sym w:font="Symbol" w:char="F02B"/>
            </w:r>
          </w:p>
        </w:tc>
        <w:tc>
          <w:tcPr>
            <w:tcW w:w="2144" w:type="dxa"/>
            <w:tcBorders>
              <w:top w:val="single" w:sz="6" w:space="0" w:color="008000"/>
            </w:tcBorders>
          </w:tcPr>
          <w:p w:rsidR="00000000" w:rsidRDefault="009E6419">
            <w:r>
              <w:t xml:space="preserve">58.34 ± 8.34 </w:t>
            </w:r>
            <w:proofErr w:type="spellStart"/>
            <w:r>
              <w:t>ab</w:t>
            </w:r>
            <w:proofErr w:type="spellEnd"/>
          </w:p>
        </w:tc>
        <w:tc>
          <w:tcPr>
            <w:tcW w:w="2144" w:type="dxa"/>
            <w:tcBorders>
              <w:top w:val="single" w:sz="6" w:space="0" w:color="008000"/>
            </w:tcBorders>
          </w:tcPr>
          <w:p w:rsidR="00000000" w:rsidRDefault="009E6419">
            <w:r>
              <w:t>4.17 ± 0.48 b</w:t>
            </w:r>
          </w:p>
        </w:tc>
        <w:tc>
          <w:tcPr>
            <w:tcW w:w="2144" w:type="dxa"/>
            <w:tcBorders>
              <w:top w:val="single" w:sz="6" w:space="0" w:color="008000"/>
            </w:tcBorders>
          </w:tcPr>
          <w:p w:rsidR="00000000" w:rsidRDefault="009E6419">
            <w:r>
              <w:t>11.32 ± 1.95 a</w:t>
            </w:r>
          </w:p>
        </w:tc>
      </w:tr>
      <w:tr w:rsidR="00000000">
        <w:tblPrEx>
          <w:tblCellMar>
            <w:top w:w="0" w:type="dxa"/>
            <w:bottom w:w="0" w:type="dxa"/>
          </w:tblCellMar>
        </w:tblPrEx>
        <w:tc>
          <w:tcPr>
            <w:tcW w:w="2143" w:type="dxa"/>
          </w:tcPr>
          <w:p w:rsidR="00000000" w:rsidRDefault="009E6419">
            <w:pPr>
              <w:pStyle w:val="Heading2"/>
              <w:rPr>
                <w:rFonts w:ascii="Times" w:hAnsi="Times"/>
                <w:i w:val="0"/>
                <w:sz w:val="24"/>
                <w:lang w:val="en-US"/>
              </w:rPr>
            </w:pPr>
            <w:r>
              <w:rPr>
                <w:rFonts w:ascii="Times" w:hAnsi="Times"/>
                <w:i w:val="0"/>
                <w:sz w:val="24"/>
                <w:lang w:val="en-US"/>
              </w:rPr>
              <w:t>MS50</w:t>
            </w:r>
            <w:r>
              <w:rPr>
                <w:rFonts w:ascii="Times" w:hAnsi="Times"/>
                <w:i w:val="0"/>
                <w:sz w:val="24"/>
                <w:vertAlign w:val="superscript"/>
                <w:lang w:val="en-US"/>
              </w:rPr>
              <w:sym w:font="Symbol" w:char="F0B7"/>
            </w:r>
          </w:p>
        </w:tc>
        <w:tc>
          <w:tcPr>
            <w:tcW w:w="2144" w:type="dxa"/>
          </w:tcPr>
          <w:p w:rsidR="00000000" w:rsidRDefault="009E6419">
            <w:r>
              <w:t>37.49 ± 11.68 b</w:t>
            </w:r>
          </w:p>
        </w:tc>
        <w:tc>
          <w:tcPr>
            <w:tcW w:w="2144" w:type="dxa"/>
          </w:tcPr>
          <w:p w:rsidR="00000000" w:rsidRDefault="009E6419">
            <w:r>
              <w:t>5.00 ± 1.37 b</w:t>
            </w:r>
          </w:p>
        </w:tc>
        <w:tc>
          <w:tcPr>
            <w:tcW w:w="2144" w:type="dxa"/>
          </w:tcPr>
          <w:p w:rsidR="00000000" w:rsidRDefault="009E6419">
            <w:r>
              <w:t>9.96 ± 3.05 a</w:t>
            </w:r>
          </w:p>
        </w:tc>
      </w:tr>
      <w:tr w:rsidR="00000000">
        <w:tblPrEx>
          <w:tblCellMar>
            <w:top w:w="0" w:type="dxa"/>
            <w:bottom w:w="0" w:type="dxa"/>
          </w:tblCellMar>
        </w:tblPrEx>
        <w:tc>
          <w:tcPr>
            <w:tcW w:w="2143" w:type="dxa"/>
          </w:tcPr>
          <w:p w:rsidR="00000000" w:rsidRDefault="009E6419">
            <w:pPr>
              <w:pStyle w:val="Heading2"/>
              <w:rPr>
                <w:rFonts w:ascii="Times" w:hAnsi="Times"/>
                <w:i w:val="0"/>
                <w:sz w:val="24"/>
                <w:lang w:val="en-US"/>
              </w:rPr>
            </w:pPr>
            <w:r>
              <w:rPr>
                <w:rFonts w:ascii="Times" w:hAnsi="Times"/>
                <w:i w:val="0"/>
                <w:sz w:val="24"/>
                <w:lang w:val="en-US"/>
              </w:rPr>
              <w:t>MS50-IBA 1.6</w:t>
            </w:r>
            <w:r>
              <w:rPr>
                <w:rFonts w:ascii="Times" w:hAnsi="Times"/>
                <w:i w:val="0"/>
                <w:sz w:val="24"/>
                <w:vertAlign w:val="superscript"/>
                <w:lang w:val="en-US"/>
              </w:rPr>
              <w:sym w:font="Symbol" w:char="F0C5"/>
            </w:r>
          </w:p>
        </w:tc>
        <w:tc>
          <w:tcPr>
            <w:tcW w:w="2144" w:type="dxa"/>
          </w:tcPr>
          <w:p w:rsidR="00000000" w:rsidRDefault="009E6419">
            <w:r>
              <w:t xml:space="preserve">45.83 ± 6.11 </w:t>
            </w:r>
            <w:proofErr w:type="spellStart"/>
            <w:r>
              <w:t>ab</w:t>
            </w:r>
            <w:proofErr w:type="spellEnd"/>
          </w:p>
        </w:tc>
        <w:tc>
          <w:tcPr>
            <w:tcW w:w="2144" w:type="dxa"/>
          </w:tcPr>
          <w:p w:rsidR="00000000" w:rsidRDefault="009E6419">
            <w:r>
              <w:t>6.</w:t>
            </w:r>
            <w:r>
              <w:t xml:space="preserve">33 ± 0.77 </w:t>
            </w:r>
            <w:proofErr w:type="spellStart"/>
            <w:r>
              <w:t>ab</w:t>
            </w:r>
            <w:proofErr w:type="spellEnd"/>
          </w:p>
        </w:tc>
        <w:tc>
          <w:tcPr>
            <w:tcW w:w="2144" w:type="dxa"/>
          </w:tcPr>
          <w:p w:rsidR="00000000" w:rsidRDefault="009E6419">
            <w:r>
              <w:t>8.99 ± 0.91 a</w:t>
            </w:r>
          </w:p>
        </w:tc>
      </w:tr>
      <w:tr w:rsidR="00000000">
        <w:tblPrEx>
          <w:tblCellMar>
            <w:top w:w="0" w:type="dxa"/>
            <w:bottom w:w="0" w:type="dxa"/>
          </w:tblCellMar>
        </w:tblPrEx>
        <w:tc>
          <w:tcPr>
            <w:tcW w:w="2143" w:type="dxa"/>
          </w:tcPr>
          <w:p w:rsidR="00000000" w:rsidRDefault="009E6419">
            <w:r>
              <w:t>MS50-IBA 4.9º</w:t>
            </w:r>
          </w:p>
        </w:tc>
        <w:tc>
          <w:tcPr>
            <w:tcW w:w="2144" w:type="dxa"/>
          </w:tcPr>
          <w:p w:rsidR="00000000" w:rsidRDefault="009E6419">
            <w:r>
              <w:t>75.03 ± 5.45 a</w:t>
            </w:r>
          </w:p>
        </w:tc>
        <w:tc>
          <w:tcPr>
            <w:tcW w:w="2144" w:type="dxa"/>
          </w:tcPr>
          <w:p w:rsidR="00000000" w:rsidRDefault="009E6419">
            <w:r>
              <w:t>9.92 ± 1.91 a</w:t>
            </w:r>
          </w:p>
        </w:tc>
        <w:tc>
          <w:tcPr>
            <w:tcW w:w="2144" w:type="dxa"/>
          </w:tcPr>
          <w:p w:rsidR="00000000" w:rsidRDefault="009E6419">
            <w:r>
              <w:t>8.37 ± 1.56 a</w:t>
            </w:r>
          </w:p>
        </w:tc>
      </w:tr>
      <w:tr w:rsidR="00000000">
        <w:tblPrEx>
          <w:tblCellMar>
            <w:top w:w="0" w:type="dxa"/>
            <w:bottom w:w="0" w:type="dxa"/>
          </w:tblCellMar>
        </w:tblPrEx>
        <w:tc>
          <w:tcPr>
            <w:tcW w:w="2143" w:type="dxa"/>
          </w:tcPr>
          <w:p w:rsidR="00000000" w:rsidRDefault="009E6419">
            <w:r>
              <w:t>MSD</w:t>
            </w:r>
            <w:r>
              <w:rPr>
                <w:rFonts w:eastAsia="Times New Roman"/>
              </w:rPr>
              <w:t>*</w:t>
            </w:r>
          </w:p>
        </w:tc>
        <w:tc>
          <w:tcPr>
            <w:tcW w:w="2144" w:type="dxa"/>
          </w:tcPr>
          <w:p w:rsidR="00000000" w:rsidRDefault="009E6419">
            <w:r>
              <w:t>3.9990</w:t>
            </w:r>
          </w:p>
        </w:tc>
        <w:tc>
          <w:tcPr>
            <w:tcW w:w="2144" w:type="dxa"/>
          </w:tcPr>
          <w:p w:rsidR="00000000" w:rsidRDefault="009E6419">
            <w:r>
              <w:t>4.9854</w:t>
            </w:r>
          </w:p>
        </w:tc>
        <w:tc>
          <w:tcPr>
            <w:tcW w:w="2144" w:type="dxa"/>
          </w:tcPr>
          <w:p w:rsidR="00000000" w:rsidRDefault="009E6419">
            <w:r>
              <w:t>7.9985</w:t>
            </w:r>
          </w:p>
        </w:tc>
      </w:tr>
    </w:tbl>
    <w:p w:rsidR="00000000" w:rsidRDefault="009E6419">
      <w:pPr>
        <w:rPr>
          <w:b/>
          <w:vertAlign w:val="superscript"/>
        </w:rPr>
      </w:pPr>
    </w:p>
    <w:p w:rsidR="00000000" w:rsidRDefault="009E6419">
      <w:pPr>
        <w:spacing w:line="360" w:lineRule="auto"/>
        <w:rPr>
          <w:rFonts w:eastAsia="Times New Roman"/>
        </w:rPr>
      </w:pPr>
      <w:r>
        <w:rPr>
          <w:b/>
          <w:vertAlign w:val="superscript"/>
        </w:rPr>
        <w:sym w:font="Symbol" w:char="F02B"/>
      </w:r>
      <w:r>
        <w:t xml:space="preserve">MS culture medium at 25% of original concentration; </w:t>
      </w:r>
      <w:r>
        <w:rPr>
          <w:b/>
          <w:vertAlign w:val="superscript"/>
        </w:rPr>
        <w:sym w:font="Symbol" w:char="F0B7"/>
      </w:r>
      <w:r>
        <w:t xml:space="preserve">MS culture medium at 50% of original concentration; </w:t>
      </w:r>
      <w:r>
        <w:rPr>
          <w:vertAlign w:val="superscript"/>
        </w:rPr>
        <w:sym w:font="Symbol" w:char="F0C5"/>
      </w:r>
      <w:r>
        <w:t>MS culture medium at 50% of origina</w:t>
      </w:r>
      <w:r>
        <w:t>l concentration plus 1.6</w:t>
      </w:r>
      <w:r>
        <w:rPr>
          <w:i/>
        </w:rPr>
        <w:sym w:font="Symbol" w:char="F06D"/>
      </w:r>
      <w:r>
        <w:t>M IBA; º MS culture medium at 50% of original concentration plus 4.9</w:t>
      </w:r>
      <w:r>
        <w:rPr>
          <w:i/>
        </w:rPr>
        <w:sym w:font="Symbol" w:char="F06D"/>
      </w:r>
      <w:r>
        <w:t>M IBA.</w:t>
      </w:r>
      <w:r>
        <w:rPr>
          <w:rFonts w:eastAsia="Times New Roman"/>
        </w:rPr>
        <w:t xml:space="preserve"> *Minimum significant difference. Means with the same letter are not significantly different according to the </w:t>
      </w:r>
      <w:proofErr w:type="spellStart"/>
      <w:r>
        <w:rPr>
          <w:rFonts w:eastAsia="Times New Roman"/>
        </w:rPr>
        <w:t>Tukey</w:t>
      </w:r>
      <w:proofErr w:type="spellEnd"/>
      <w:r>
        <w:rPr>
          <w:rFonts w:eastAsia="Times New Roman"/>
        </w:rPr>
        <w:t xml:space="preserve"> mean separation test (</w:t>
      </w:r>
      <w:r>
        <w:sym w:font="Symbol" w:char="F0B5"/>
      </w:r>
      <w:r>
        <w:rPr>
          <w:rFonts w:eastAsia="Times New Roman"/>
        </w:rPr>
        <w:t xml:space="preserve"> = 0.05). </w:t>
      </w:r>
      <w:r>
        <w:t>Means ±</w:t>
      </w:r>
      <w:r>
        <w:t xml:space="preserve"> SE. </w:t>
      </w:r>
      <w:r>
        <w:rPr>
          <w:rFonts w:eastAsia="Times New Roman"/>
        </w:rPr>
        <w:t>n = 8.</w:t>
      </w:r>
    </w:p>
    <w:p w:rsidR="00000000" w:rsidRDefault="009E6419">
      <w:pPr>
        <w:spacing w:line="360" w:lineRule="auto"/>
        <w:rPr>
          <w:rFonts w:eastAsia="Times New Roman"/>
        </w:rPr>
      </w:pPr>
    </w:p>
    <w:p w:rsidR="00000000" w:rsidRDefault="009E6419">
      <w:pPr>
        <w:spacing w:line="360" w:lineRule="auto"/>
        <w:rPr>
          <w:rFonts w:eastAsia="Times New Roman"/>
        </w:rPr>
      </w:pPr>
    </w:p>
    <w:p w:rsidR="00000000" w:rsidRDefault="009E6419">
      <w:pPr>
        <w:spacing w:line="360" w:lineRule="auto"/>
        <w:rPr>
          <w:rFonts w:eastAsia="Times New Roman"/>
        </w:rPr>
      </w:pPr>
    </w:p>
    <w:p w:rsidR="00000000" w:rsidRDefault="009E6419">
      <w:pPr>
        <w:spacing w:line="360" w:lineRule="auto"/>
        <w:rPr>
          <w:rFonts w:eastAsia="Times New Roman"/>
        </w:rPr>
      </w:pPr>
    </w:p>
    <w:p w:rsidR="00000000" w:rsidRDefault="009E6419">
      <w:pPr>
        <w:spacing w:line="360" w:lineRule="auto"/>
        <w:rPr>
          <w:rFonts w:eastAsia="Times New Roman"/>
        </w:rPr>
      </w:pPr>
    </w:p>
    <w:p w:rsidR="00000000" w:rsidRDefault="009E6419">
      <w:pPr>
        <w:spacing w:line="360" w:lineRule="auto"/>
        <w:rPr>
          <w:b/>
        </w:rPr>
      </w:pPr>
      <w:r>
        <w:rPr>
          <w:b/>
        </w:rPr>
        <w:t>Figure Legends:</w:t>
      </w:r>
    </w:p>
    <w:p w:rsidR="00000000" w:rsidRDefault="009E6419">
      <w:pPr>
        <w:spacing w:line="360" w:lineRule="auto"/>
      </w:pPr>
      <w:proofErr w:type="gramStart"/>
      <w:r>
        <w:rPr>
          <w:b/>
        </w:rPr>
        <w:t>Fig. 1.</w:t>
      </w:r>
      <w:proofErr w:type="gramEnd"/>
      <w:r>
        <w:t xml:space="preserve"> </w:t>
      </w:r>
      <w:proofErr w:type="gramStart"/>
      <w:r>
        <w:t>Effect of growth regulators on explants</w:t>
      </w:r>
      <w:r>
        <w:rPr>
          <w:lang w:eastAsia="es-MX"/>
        </w:rPr>
        <w:t xml:space="preserve"> of </w:t>
      </w:r>
      <w:proofErr w:type="spellStart"/>
      <w:r>
        <w:rPr>
          <w:i/>
          <w:lang w:eastAsia="es-MX"/>
        </w:rPr>
        <w:t>Ortegocactus</w:t>
      </w:r>
      <w:proofErr w:type="spellEnd"/>
      <w:r>
        <w:rPr>
          <w:i/>
          <w:lang w:eastAsia="es-MX"/>
        </w:rPr>
        <w:t xml:space="preserve"> </w:t>
      </w:r>
      <w:proofErr w:type="spellStart"/>
      <w:r>
        <w:rPr>
          <w:i/>
          <w:lang w:eastAsia="es-MX"/>
        </w:rPr>
        <w:t>macdougallii</w:t>
      </w:r>
      <w:proofErr w:type="spellEnd"/>
      <w:r>
        <w:rPr>
          <w:lang w:eastAsia="es-MX"/>
        </w:rPr>
        <w:t xml:space="preserve"> A during stage I of </w:t>
      </w:r>
      <w:proofErr w:type="spellStart"/>
      <w:r>
        <w:rPr>
          <w:lang w:eastAsia="es-MX"/>
        </w:rPr>
        <w:t>micropropagation</w:t>
      </w:r>
      <w:proofErr w:type="spellEnd"/>
      <w:r>
        <w:rPr>
          <w:lang w:eastAsia="es-MX"/>
        </w:rPr>
        <w:t>.</w:t>
      </w:r>
      <w:proofErr w:type="gramEnd"/>
      <w:r>
        <w:rPr>
          <w:lang w:eastAsia="es-MX"/>
        </w:rPr>
        <w:t xml:space="preserve"> </w:t>
      </w:r>
      <w:proofErr w:type="spellStart"/>
      <w:r>
        <w:rPr>
          <w:lang w:eastAsia="es-MX"/>
        </w:rPr>
        <w:t>Calli</w:t>
      </w:r>
      <w:proofErr w:type="spellEnd"/>
      <w:r>
        <w:rPr>
          <w:lang w:eastAsia="es-MX"/>
        </w:rPr>
        <w:t xml:space="preserve"> development: (a) callus differentiated from epidermis, (b) </w:t>
      </w:r>
      <w:proofErr w:type="spellStart"/>
      <w:r>
        <w:rPr>
          <w:lang w:eastAsia="es-MX"/>
        </w:rPr>
        <w:t>calli</w:t>
      </w:r>
      <w:proofErr w:type="spellEnd"/>
      <w:r>
        <w:rPr>
          <w:lang w:eastAsia="es-MX"/>
        </w:rPr>
        <w:t xml:space="preserve"> grown from the edge of cut areas, (c)</w:t>
      </w:r>
      <w:r>
        <w:rPr>
          <w:lang w:eastAsia="es-MX"/>
        </w:rPr>
        <w:t xml:space="preserve"> </w:t>
      </w:r>
      <w:proofErr w:type="spellStart"/>
      <w:r>
        <w:rPr>
          <w:lang w:eastAsia="es-MX"/>
        </w:rPr>
        <w:t>calli</w:t>
      </w:r>
      <w:proofErr w:type="spellEnd"/>
      <w:r>
        <w:rPr>
          <w:lang w:eastAsia="es-MX"/>
        </w:rPr>
        <w:t xml:space="preserve"> grown from the epidermis. Adventitious shoot development: (d) adventitious buds differentiated from the epidermis, (e, f) and the edge and base of the </w:t>
      </w:r>
      <w:proofErr w:type="spellStart"/>
      <w:r>
        <w:rPr>
          <w:lang w:eastAsia="es-MX"/>
        </w:rPr>
        <w:t>explant</w:t>
      </w:r>
      <w:proofErr w:type="spellEnd"/>
      <w:r>
        <w:rPr>
          <w:lang w:eastAsia="es-MX"/>
        </w:rPr>
        <w:t>. Sequence of events producing adventitious shoots: (g) bud initials after 54 days of cultu</w:t>
      </w:r>
      <w:r>
        <w:rPr>
          <w:lang w:eastAsia="es-MX"/>
        </w:rPr>
        <w:t xml:space="preserve">re, (h) young emerging shoots differentiated from epidermis Sequence of events producing </w:t>
      </w:r>
      <w:proofErr w:type="spellStart"/>
      <w:r>
        <w:rPr>
          <w:lang w:eastAsia="es-MX"/>
        </w:rPr>
        <w:t>axillary</w:t>
      </w:r>
      <w:proofErr w:type="spellEnd"/>
      <w:r>
        <w:rPr>
          <w:lang w:eastAsia="es-MX"/>
        </w:rPr>
        <w:t xml:space="preserve"> shoots: (</w:t>
      </w:r>
      <w:proofErr w:type="spellStart"/>
      <w:r>
        <w:rPr>
          <w:lang w:eastAsia="es-MX"/>
        </w:rPr>
        <w:t>i</w:t>
      </w:r>
      <w:proofErr w:type="spellEnd"/>
      <w:r>
        <w:rPr>
          <w:lang w:eastAsia="es-MX"/>
        </w:rPr>
        <w:t>) bud initials from areole activation after 54 days of culture, (j) young emerging shoot.</w:t>
      </w:r>
    </w:p>
    <w:p w:rsidR="00000000" w:rsidRDefault="009E6419">
      <w:pPr>
        <w:spacing w:line="360" w:lineRule="auto"/>
      </w:pPr>
    </w:p>
    <w:p w:rsidR="00000000" w:rsidRDefault="009E6419">
      <w:pPr>
        <w:spacing w:line="360" w:lineRule="auto"/>
      </w:pPr>
      <w:proofErr w:type="gramStart"/>
      <w:r>
        <w:rPr>
          <w:b/>
        </w:rPr>
        <w:t>Fig. 2.</w:t>
      </w:r>
      <w:proofErr w:type="gramEnd"/>
      <w:r>
        <w:t xml:space="preserve"> </w:t>
      </w:r>
      <w:r>
        <w:rPr>
          <w:lang w:eastAsia="es-MX"/>
        </w:rPr>
        <w:t>Rooting and acclimatization of regenerated shoots</w:t>
      </w:r>
      <w:r>
        <w:rPr>
          <w:lang w:eastAsia="es-MX"/>
        </w:rPr>
        <w:t xml:space="preserve"> of </w:t>
      </w:r>
      <w:proofErr w:type="spellStart"/>
      <w:r>
        <w:rPr>
          <w:i/>
          <w:lang w:eastAsia="es-MX"/>
        </w:rPr>
        <w:t>Ortegocactus</w:t>
      </w:r>
      <w:proofErr w:type="spellEnd"/>
      <w:r>
        <w:rPr>
          <w:i/>
          <w:lang w:eastAsia="es-MX"/>
        </w:rPr>
        <w:t xml:space="preserve"> </w:t>
      </w:r>
      <w:proofErr w:type="spellStart"/>
      <w:r>
        <w:rPr>
          <w:i/>
          <w:lang w:eastAsia="es-MX"/>
        </w:rPr>
        <w:t>macdougallii</w:t>
      </w:r>
      <w:proofErr w:type="spellEnd"/>
      <w:r>
        <w:rPr>
          <w:lang w:eastAsia="es-MX"/>
        </w:rPr>
        <w:t xml:space="preserve"> A. Adventitious root formation stage: (a) emergence of root initials after 30 days of culture (arrows), (b) elongation of root primordial (arrows), (c) adventitious roots differentiated after 50 days of culture, (d) adventitio</w:t>
      </w:r>
      <w:r>
        <w:rPr>
          <w:lang w:eastAsia="es-MX"/>
        </w:rPr>
        <w:t>us roots differentiated in the neighborhood of vascular tissues (arrows), (e) regenerated plantlet, (f) acclimatized plantlet 180 days after transplantation.</w:t>
      </w:r>
    </w:p>
    <w:p w:rsidR="00000000" w:rsidRDefault="009E6419">
      <w:pPr>
        <w:spacing w:line="360" w:lineRule="auto"/>
        <w:rPr>
          <w:rFonts w:ascii="Times New Roman" w:hAnsi="Times New Roman"/>
          <w:color w:val="000000"/>
        </w:rPr>
      </w:pPr>
    </w:p>
    <w:p w:rsidR="00000000" w:rsidRDefault="009E6419">
      <w:pPr>
        <w:spacing w:line="360" w:lineRule="auto"/>
        <w:rPr>
          <w:rFonts w:ascii="Times New Roman" w:hAnsi="Times New Roman"/>
          <w:color w:val="000000"/>
        </w:rPr>
      </w:pPr>
    </w:p>
    <w:p w:rsidR="00000000" w:rsidRDefault="009E6419">
      <w:pPr>
        <w:spacing w:line="360" w:lineRule="auto"/>
        <w:rPr>
          <w:rFonts w:ascii="Times New Roman" w:hAnsi="Times New Roman"/>
          <w:color w:val="000000"/>
        </w:rPr>
      </w:pPr>
    </w:p>
    <w:p w:rsidR="00000000" w:rsidRDefault="009E6419">
      <w:pPr>
        <w:spacing w:line="360" w:lineRule="auto"/>
        <w:rPr>
          <w:rFonts w:ascii="Times New Roman" w:hAnsi="Times New Roman"/>
          <w:color w:val="000000"/>
        </w:rPr>
      </w:pPr>
    </w:p>
    <w:p w:rsidR="00000000" w:rsidRDefault="009E6419">
      <w:pPr>
        <w:spacing w:line="360" w:lineRule="auto"/>
        <w:rPr>
          <w:rFonts w:ascii="Times New Roman" w:hAnsi="Times New Roman"/>
          <w:color w:val="000000"/>
        </w:rPr>
      </w:pPr>
    </w:p>
    <w:p w:rsidR="00000000" w:rsidRDefault="009E6419">
      <w:pPr>
        <w:spacing w:line="360" w:lineRule="auto"/>
        <w:rPr>
          <w:rFonts w:ascii="Times New Roman" w:hAnsi="Times New Roman"/>
          <w:color w:val="000000"/>
        </w:rPr>
      </w:pPr>
    </w:p>
    <w:p w:rsidR="00000000" w:rsidRDefault="009E6419">
      <w:pPr>
        <w:spacing w:line="360" w:lineRule="auto"/>
        <w:rPr>
          <w:rFonts w:ascii="Times New Roman" w:hAnsi="Times New Roman"/>
          <w:color w:val="000000"/>
        </w:rPr>
      </w:pPr>
    </w:p>
    <w:p w:rsidR="00000000" w:rsidRDefault="009E6419">
      <w:pPr>
        <w:spacing w:line="360" w:lineRule="auto"/>
        <w:rPr>
          <w:rFonts w:ascii="Times New Roman" w:hAnsi="Times New Roman"/>
          <w:color w:val="000000"/>
        </w:rPr>
      </w:pPr>
    </w:p>
    <w:p w:rsidR="009E6419" w:rsidRDefault="009E6419">
      <w:pPr>
        <w:spacing w:line="360" w:lineRule="auto"/>
        <w:rPr>
          <w:rFonts w:ascii="Times New Roman" w:hAnsi="Times New Roman"/>
          <w:color w:val="000000"/>
        </w:rPr>
      </w:pPr>
    </w:p>
    <w:sectPr w:rsidR="009E6419">
      <w:pgSz w:w="12240" w:h="15840"/>
      <w:pgMar w:top="1418" w:right="1701" w:bottom="1418" w:left="1701" w:header="720" w:footer="720" w:gutter="0"/>
      <w:lnNumType w:countBy="1" w:restart="continuou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LEGLPC+TimesNewRoman">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ヒラギノ角ゴ Pro W3">
    <w:charset w:val="80"/>
    <w:family w:val="auto"/>
    <w:pitch w:val="variable"/>
    <w:sig w:usb0="01000000" w:usb1="00000708" w:usb2="1000000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C47A4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C7476"/>
    <w:multiLevelType w:val="multilevel"/>
    <w:tmpl w:val="1CF2F8DE"/>
    <w:lvl w:ilvl="0">
      <w:start w:val="1"/>
      <w:numFmt w:val="decimal"/>
      <w:lvlText w:val="%1."/>
      <w:lvlJc w:val="left"/>
      <w:pPr>
        <w:ind w:left="144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440" w:hanging="1800"/>
      </w:pPr>
      <w:rPr>
        <w:rFonts w:hint="default"/>
      </w:rPr>
    </w:lvl>
    <w:lvl w:ilvl="8">
      <w:start w:val="1"/>
      <w:numFmt w:val="decimal"/>
      <w:isLgl/>
      <w:lvlText w:val="%1.%2.%3.%4.%5.%6.%7.%8.%9."/>
      <w:lvlJc w:val="left"/>
      <w:pPr>
        <w:ind w:left="11880" w:hanging="2160"/>
      </w:pPr>
      <w:rPr>
        <w:rFonts w:hint="default"/>
      </w:rPr>
    </w:lvl>
  </w:abstractNum>
  <w:abstractNum w:abstractNumId="2">
    <w:nsid w:val="04090508"/>
    <w:multiLevelType w:val="multilevel"/>
    <w:tmpl w:val="95F43D3A"/>
    <w:lvl w:ilvl="0">
      <w:start w:val="1"/>
      <w:numFmt w:val="decimal"/>
      <w:lvlText w:val="%1."/>
      <w:lvlJc w:val="left"/>
      <w:pPr>
        <w:ind w:left="144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440" w:hanging="1800"/>
      </w:pPr>
      <w:rPr>
        <w:rFonts w:hint="default"/>
      </w:rPr>
    </w:lvl>
    <w:lvl w:ilvl="8">
      <w:start w:val="1"/>
      <w:numFmt w:val="decimal"/>
      <w:isLgl/>
      <w:lvlText w:val="%1.%2.%3.%4.%5.%6.%7.%8.%9."/>
      <w:lvlJc w:val="left"/>
      <w:pPr>
        <w:ind w:left="11880" w:hanging="2160"/>
      </w:pPr>
      <w:rPr>
        <w:rFonts w:hint="default"/>
      </w:rPr>
    </w:lvl>
  </w:abstractNum>
  <w:abstractNum w:abstractNumId="3">
    <w:nsid w:val="0BF439DF"/>
    <w:multiLevelType w:val="hybridMultilevel"/>
    <w:tmpl w:val="1AB015E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4912022"/>
    <w:multiLevelType w:val="hybridMultilevel"/>
    <w:tmpl w:val="2ABAA0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84430A9"/>
    <w:multiLevelType w:val="multilevel"/>
    <w:tmpl w:val="3804576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6">
    <w:nsid w:val="228D2C64"/>
    <w:multiLevelType w:val="hybridMultilevel"/>
    <w:tmpl w:val="0BE0CA1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9B124D5"/>
    <w:multiLevelType w:val="hybridMultilevel"/>
    <w:tmpl w:val="55200BF6"/>
    <w:lvl w:ilvl="0">
      <w:numFmt w:val="bullet"/>
      <w:lvlText w:val="-"/>
      <w:lvlJc w:val="left"/>
      <w:pPr>
        <w:ind w:left="1068" w:hanging="360"/>
      </w:pPr>
      <w:rPr>
        <w:rFonts w:ascii="Arial" w:eastAsia="Calibri" w:hAnsi="Arial" w:cs="Arial" w:hint="default"/>
      </w:rPr>
    </w:lvl>
    <w:lvl w:ilvl="1" w:tentative="1">
      <w:start w:val="1"/>
      <w:numFmt w:val="bullet"/>
      <w:lvlText w:val="o"/>
      <w:lvlJc w:val="left"/>
      <w:pPr>
        <w:ind w:left="1788" w:hanging="360"/>
      </w:pPr>
      <w:rPr>
        <w:rFonts w:ascii="Courier New" w:hAnsi="Courier New" w:cs="Wingdings"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Wingdings"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Wingdings" w:hint="default"/>
      </w:rPr>
    </w:lvl>
    <w:lvl w:ilvl="8" w:tentative="1">
      <w:start w:val="1"/>
      <w:numFmt w:val="bullet"/>
      <w:lvlText w:val=""/>
      <w:lvlJc w:val="left"/>
      <w:pPr>
        <w:ind w:left="6828" w:hanging="360"/>
      </w:pPr>
      <w:rPr>
        <w:rFonts w:ascii="Wingdings" w:hAnsi="Wingdings" w:hint="default"/>
      </w:rPr>
    </w:lvl>
  </w:abstractNum>
  <w:abstractNum w:abstractNumId="8">
    <w:nsid w:val="2A651219"/>
    <w:multiLevelType w:val="multilevel"/>
    <w:tmpl w:val="DB10B03C"/>
    <w:lvl w:ilvl="0">
      <w:start w:val="3"/>
      <w:numFmt w:val="decimal"/>
      <w:lvlText w:val="%1."/>
      <w:lvlJc w:val="left"/>
      <w:pPr>
        <w:ind w:left="401" w:hanging="401"/>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9">
    <w:nsid w:val="3FDA52D6"/>
    <w:multiLevelType w:val="multilevel"/>
    <w:tmpl w:val="8A127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6164545"/>
    <w:multiLevelType w:val="multilevel"/>
    <w:tmpl w:val="C66A4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04A4AE4"/>
    <w:multiLevelType w:val="hybridMultilevel"/>
    <w:tmpl w:val="0220BF0C"/>
    <w:lvl w:ilvl="0">
      <w:numFmt w:val="bullet"/>
      <w:lvlText w:val="-"/>
      <w:lvlJc w:val="left"/>
      <w:pPr>
        <w:ind w:left="720" w:hanging="360"/>
      </w:pPr>
      <w:rPr>
        <w:rFonts w:ascii="Arial" w:eastAsia="Calibri" w:hAnsi="Arial" w:cs="Arial" w:hint="default"/>
      </w:rPr>
    </w:lvl>
    <w:lvl w:ilvl="1" w:tentative="1">
      <w:start w:val="1"/>
      <w:numFmt w:val="bullet"/>
      <w:lvlText w:val="o"/>
      <w:lvlJc w:val="left"/>
      <w:pPr>
        <w:ind w:left="1440" w:hanging="360"/>
      </w:pPr>
      <w:rPr>
        <w:rFonts w:ascii="Courier New" w:hAnsi="Courier New" w:cs="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Wingdings"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Wingdings" w:hint="default"/>
      </w:rPr>
    </w:lvl>
    <w:lvl w:ilvl="8" w:tentative="1">
      <w:start w:val="1"/>
      <w:numFmt w:val="bullet"/>
      <w:lvlText w:val=""/>
      <w:lvlJc w:val="left"/>
      <w:pPr>
        <w:ind w:left="6480" w:hanging="360"/>
      </w:pPr>
      <w:rPr>
        <w:rFonts w:ascii="Wingdings" w:hAnsi="Wingdings" w:hint="default"/>
      </w:rPr>
    </w:lvl>
  </w:abstractNum>
  <w:abstractNum w:abstractNumId="12">
    <w:nsid w:val="6C4A121F"/>
    <w:multiLevelType w:val="hybridMultilevel"/>
    <w:tmpl w:val="95AC6F28"/>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02A57E3"/>
    <w:multiLevelType w:val="hybridMultilevel"/>
    <w:tmpl w:val="D5800D9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1E52474"/>
    <w:multiLevelType w:val="hybridMultilevel"/>
    <w:tmpl w:val="CBBEDB22"/>
    <w:lvl w:ilvl="0">
      <w:numFmt w:val="bullet"/>
      <w:lvlText w:val="-"/>
      <w:lvlJc w:val="left"/>
      <w:pPr>
        <w:tabs>
          <w:tab w:val="num" w:pos="1440"/>
        </w:tabs>
        <w:ind w:left="1440" w:hanging="360"/>
      </w:pPr>
      <w:rPr>
        <w:rFonts w:ascii="Times New Roman" w:eastAsia="Times New Roman" w:hAnsi="Times New Roman" w:hint="default"/>
        <w:b w:val="0"/>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5">
    <w:nsid w:val="7C605429"/>
    <w:multiLevelType w:val="hybridMultilevel"/>
    <w:tmpl w:val="615EEC4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14"/>
  </w:num>
  <w:num w:numId="2">
    <w:abstractNumId w:val="0"/>
  </w:num>
  <w:num w:numId="3">
    <w:abstractNumId w:val="3"/>
  </w:num>
  <w:num w:numId="4">
    <w:abstractNumId w:val="11"/>
  </w:num>
  <w:num w:numId="5">
    <w:abstractNumId w:val="7"/>
  </w:num>
  <w:num w:numId="6">
    <w:abstractNumId w:val="12"/>
  </w:num>
  <w:num w:numId="7">
    <w:abstractNumId w:val="4"/>
  </w:num>
  <w:num w:numId="8">
    <w:abstractNumId w:val="6"/>
  </w:num>
  <w:num w:numId="9">
    <w:abstractNumId w:val="10"/>
  </w:num>
  <w:num w:numId="10">
    <w:abstractNumId w:val="9"/>
  </w:num>
  <w:num w:numId="11">
    <w:abstractNumId w:val="13"/>
  </w:num>
  <w:num w:numId="12">
    <w:abstractNumId w:val="1"/>
  </w:num>
  <w:num w:numId="13">
    <w:abstractNumId w:val="2"/>
  </w:num>
  <w:num w:numId="14">
    <w:abstractNumId w:val="5"/>
  </w:num>
  <w:num w:numId="15">
    <w:abstractNumId w:val="1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E3F73"/>
    <w:rsid w:val="003E3F73"/>
    <w:rsid w:val="00411B8B"/>
    <w:rsid w:val="009E6419"/>
    <w:rsid w:val="00F221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sz w:val="20"/>
      <w:lang w:val="es-ES_tradnl"/>
    </w:rPr>
  </w:style>
  <w:style w:type="paragraph" w:styleId="Heading2">
    <w:name w:val="heading 2"/>
    <w:basedOn w:val="Normal"/>
    <w:next w:val="Normal"/>
    <w:qFormat/>
    <w:pPr>
      <w:keepNext/>
      <w:outlineLvl w:val="1"/>
    </w:pPr>
    <w:rPr>
      <w:rFonts w:ascii="Arial" w:hAnsi="Arial"/>
      <w:i/>
      <w:sz w:val="20"/>
      <w:lang w:val="es-ES_tradnl"/>
    </w:rPr>
  </w:style>
  <w:style w:type="paragraph" w:styleId="Heading3">
    <w:name w:val="heading 3"/>
    <w:basedOn w:val="Normal"/>
    <w:next w:val="Normal"/>
    <w:qFormat/>
    <w:pPr>
      <w:keepNext/>
      <w:jc w:val="center"/>
      <w:outlineLvl w:val="2"/>
    </w:pPr>
    <w:rPr>
      <w:rFonts w:ascii="Arial" w:hAnsi="Arial"/>
      <w:b/>
      <w:lang w:val="es-ES_tradn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LEGLPC+TimesNewRoman" w:eastAsia="Times New Roman" w:hAnsi="LEGLPC+TimesNewRoman"/>
      <w:color w:val="000000"/>
      <w:sz w:val="24"/>
      <w:lang w:val="es-ES_tradnl"/>
    </w:rPr>
  </w:style>
  <w:style w:type="paragraph" w:customStyle="1" w:styleId="Normln">
    <w:name w:val="Normální"/>
    <w:basedOn w:val="Default"/>
    <w:next w:val="Default"/>
    <w:rPr>
      <w:color w:val="auto"/>
    </w:rPr>
  </w:style>
  <w:style w:type="character" w:styleId="LineNumber">
    <w:name w:val="line number"/>
    <w:basedOn w:val="DefaultParagraphFont"/>
    <w:semiHidden/>
  </w:style>
  <w:style w:type="paragraph" w:styleId="BodyText">
    <w:name w:val="Body Text"/>
    <w:basedOn w:val="Normal"/>
    <w:semiHidden/>
    <w:pPr>
      <w:spacing w:line="420" w:lineRule="atLeast"/>
    </w:pPr>
    <w:rPr>
      <w:b/>
      <w:color w:val="000000"/>
    </w:rPr>
  </w:style>
  <w:style w:type="paragraph" w:styleId="BodyText2">
    <w:name w:val="Body Text 2"/>
    <w:basedOn w:val="Normal"/>
    <w:semiHidden/>
    <w:pPr>
      <w:autoSpaceDE w:val="0"/>
      <w:autoSpaceDN w:val="0"/>
      <w:adjustRightInd w:val="0"/>
    </w:pPr>
    <w:rPr>
      <w:rFonts w:ascii="Arial" w:hAnsi="Arial"/>
      <w:color w:val="FF0000"/>
    </w:rPr>
  </w:style>
  <w:style w:type="paragraph" w:customStyle="1" w:styleId="FreeForm">
    <w:name w:val="Free Form"/>
    <w:rPr>
      <w:rFonts w:ascii="Helvetica" w:eastAsia="ヒラギノ角ゴ Pro W3" w:hAnsi="Helvetica"/>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opus.com.scopeesprx.elsevier.com/authid/detail.url?authorId=6505905223&amp;eid=2-s2.0-3724904548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opus.com.scopeesprx.elsevier.com/authid/detail.url?authorId=6506442351&amp;eid=2-s2.0-372490454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opus.com.scopeesprx.elsevier.com/authid/detail.url?authorId=23090220600&amp;eid=2-s2.0-37249045483" TargetMode="External"/><Relationship Id="rId11" Type="http://schemas.openxmlformats.org/officeDocument/2006/relationships/hyperlink" Target="http://www.scopus.com.scopeesprx.elsevier.com/authid/detail.url?authorId=6602879810&amp;eid=2-s2.0-37249045483" TargetMode="External"/><Relationship Id="rId5" Type="http://schemas.openxmlformats.org/officeDocument/2006/relationships/hyperlink" Target="http://www.scopus.com.scopeesprx.elsevier.com/authid/detail.url?authorId=6505982170&amp;eid=2-s2.0-37249045483" TargetMode="External"/><Relationship Id="rId10" Type="http://schemas.openxmlformats.org/officeDocument/2006/relationships/hyperlink" Target="http://www.scopus.com.scopeesprx.elsevier.com/authid/detail.url?authorId=12771391900&amp;eid=2-s2.0-37249045483" TargetMode="External"/><Relationship Id="rId4" Type="http://schemas.openxmlformats.org/officeDocument/2006/relationships/webSettings" Target="webSettings.xml"/><Relationship Id="rId9" Type="http://schemas.openxmlformats.org/officeDocument/2006/relationships/hyperlink" Target="http://www.scopus.com.scopeesprx.elsevier.com/authid/detail.url?authorId=6506283372&amp;eid=2-s2.0-37249045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8509</Words>
  <Characters>48507</Characters>
  <Application>Microsoft Office Word</Application>
  <DocSecurity>0</DocSecurity>
  <Lines>404</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Micropropagation of Ortegocactus macdougallii Alexander, a threatened Mexican cactus</vt:lpstr>
      <vt:lpstr>Micropropagation of Ortegocactus macdougallii Alexander, a threatened Mexican cactus</vt:lpstr>
    </vt:vector>
  </TitlesOfParts>
  <Company>Universidad De La Salle Bajío</Company>
  <LinksUpToDate>false</LinksUpToDate>
  <CharactersWithSpaces>56903</CharactersWithSpaces>
  <SharedDoc>false</SharedDoc>
  <HLinks>
    <vt:vector size="42" baseType="variant">
      <vt:variant>
        <vt:i4>4063280</vt:i4>
      </vt:variant>
      <vt:variant>
        <vt:i4>18</vt:i4>
      </vt:variant>
      <vt:variant>
        <vt:i4>0</vt:i4>
      </vt:variant>
      <vt:variant>
        <vt:i4>5</vt:i4>
      </vt:variant>
      <vt:variant>
        <vt:lpwstr>http://www.scopus.com.scopeesprx.elsevier.com/authid/detail.url?authorId=6602879810&amp;eid=2-s2.0-37249045483</vt:lpwstr>
      </vt:variant>
      <vt:variant>
        <vt:lpwstr/>
      </vt:variant>
      <vt:variant>
        <vt:i4>1638442</vt:i4>
      </vt:variant>
      <vt:variant>
        <vt:i4>15</vt:i4>
      </vt:variant>
      <vt:variant>
        <vt:i4>0</vt:i4>
      </vt:variant>
      <vt:variant>
        <vt:i4>5</vt:i4>
      </vt:variant>
      <vt:variant>
        <vt:lpwstr>http://www.scopus.com.scopeesprx.elsevier.com/authid/detail.url?authorId=12771391900&amp;eid=2-s2.0-37249045483</vt:lpwstr>
      </vt:variant>
      <vt:variant>
        <vt:lpwstr/>
      </vt:variant>
      <vt:variant>
        <vt:i4>4128822</vt:i4>
      </vt:variant>
      <vt:variant>
        <vt:i4>12</vt:i4>
      </vt:variant>
      <vt:variant>
        <vt:i4>0</vt:i4>
      </vt:variant>
      <vt:variant>
        <vt:i4>5</vt:i4>
      </vt:variant>
      <vt:variant>
        <vt:lpwstr>http://www.scopus.com.scopeesprx.elsevier.com/authid/detail.url?authorId=6506283372&amp;eid=2-s2.0-37249045483</vt:lpwstr>
      </vt:variant>
      <vt:variant>
        <vt:lpwstr/>
      </vt:variant>
      <vt:variant>
        <vt:i4>3407934</vt:i4>
      </vt:variant>
      <vt:variant>
        <vt:i4>9</vt:i4>
      </vt:variant>
      <vt:variant>
        <vt:i4>0</vt:i4>
      </vt:variant>
      <vt:variant>
        <vt:i4>5</vt:i4>
      </vt:variant>
      <vt:variant>
        <vt:lpwstr>http://www.scopus.com.scopeesprx.elsevier.com/authid/detail.url?authorId=6505905223&amp;eid=2-s2.0-37249045483</vt:lpwstr>
      </vt:variant>
      <vt:variant>
        <vt:lpwstr/>
      </vt:variant>
      <vt:variant>
        <vt:i4>3145779</vt:i4>
      </vt:variant>
      <vt:variant>
        <vt:i4>6</vt:i4>
      </vt:variant>
      <vt:variant>
        <vt:i4>0</vt:i4>
      </vt:variant>
      <vt:variant>
        <vt:i4>5</vt:i4>
      </vt:variant>
      <vt:variant>
        <vt:lpwstr>http://www.scopus.com.scopeesprx.elsevier.com/authid/detail.url?authorId=6506442351&amp;eid=2-s2.0-37249045483</vt:lpwstr>
      </vt:variant>
      <vt:variant>
        <vt:lpwstr/>
      </vt:variant>
      <vt:variant>
        <vt:i4>1441835</vt:i4>
      </vt:variant>
      <vt:variant>
        <vt:i4>3</vt:i4>
      </vt:variant>
      <vt:variant>
        <vt:i4>0</vt:i4>
      </vt:variant>
      <vt:variant>
        <vt:i4>5</vt:i4>
      </vt:variant>
      <vt:variant>
        <vt:lpwstr>http://www.scopus.com.scopeesprx.elsevier.com/authid/detail.url?authorId=23090220600&amp;eid=2-s2.0-37249045483</vt:lpwstr>
      </vt:variant>
      <vt:variant>
        <vt:lpwstr/>
      </vt:variant>
      <vt:variant>
        <vt:i4>3932220</vt:i4>
      </vt:variant>
      <vt:variant>
        <vt:i4>0</vt:i4>
      </vt:variant>
      <vt:variant>
        <vt:i4>0</vt:i4>
      </vt:variant>
      <vt:variant>
        <vt:i4>5</vt:i4>
      </vt:variant>
      <vt:variant>
        <vt:lpwstr>http://www.scopus.com.scopeesprx.elsevier.com/authid/detail.url?authorId=6505982170&amp;eid=2-s2.0-37249045483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Micropropagation of Ortegocactus macdougallii Alexander, a threatened Mexican cactus</dc:title>
  <dc:subject/>
  <dc:creator>Andrés Adolfo Estrada Luna</dc:creator>
  <cp:keywords/>
  <cp:lastModifiedBy>MichaelPC</cp:lastModifiedBy>
  <cp:revision>2</cp:revision>
  <dcterms:created xsi:type="dcterms:W3CDTF">2013-10-07T14:40:00Z</dcterms:created>
  <dcterms:modified xsi:type="dcterms:W3CDTF">2013-10-07T14:40:00Z</dcterms:modified>
</cp:coreProperties>
</file>