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8CA80" w14:textId="48C6FBDD" w:rsidR="00803CBD" w:rsidRPr="00803CBD" w:rsidRDefault="00803CBD" w:rsidP="00803CBD">
      <w:pPr>
        <w:shd w:val="clear" w:color="auto" w:fill="FFFFFF"/>
        <w:spacing w:after="0" w:line="240" w:lineRule="auto"/>
        <w:ind w:left="720"/>
        <w:rPr>
          <w:rFonts w:ascii="Aptos" w:eastAsia="Times New Roman" w:hAnsi="Aptos" w:cs="Times New Roman"/>
          <w:color w:val="000000"/>
          <w:kern w:val="0"/>
          <w:lang w:eastAsia="en-GB"/>
          <w14:ligatures w14:val="none"/>
        </w:rPr>
      </w:pPr>
      <w:r w:rsidRPr="00803CBD">
        <w:rPr>
          <w:rFonts w:ascii="Aptos" w:eastAsia="Times New Roman" w:hAnsi="Aptos" w:cs="Times New Roman"/>
          <w:b/>
          <w:bCs/>
          <w:color w:val="000000"/>
          <w:kern w:val="0"/>
          <w:sz w:val="22"/>
          <w:szCs w:val="22"/>
          <w:lang w:eastAsia="en-GB"/>
          <w14:ligatures w14:val="none"/>
        </w:rPr>
        <w:t>1. Dealer counterparty risk:</w:t>
      </w:r>
      <w:r w:rsidRPr="00803CBD">
        <w:rPr>
          <w:rFonts w:ascii="Aptos" w:eastAsia="Times New Roman" w:hAnsi="Aptos" w:cs="Times New Roman"/>
          <w:color w:val="000000"/>
          <w:kern w:val="0"/>
          <w:sz w:val="22"/>
          <w:szCs w:val="22"/>
          <w:lang w:eastAsia="en-GB"/>
          <w14:ligatures w14:val="none"/>
        </w:rPr>
        <w:br/>
        <w:t>Among the remarketing options presented is the pre-arranged sale to preferred partners (e.g., dealer networks). How is the auto dealer’s counterparty risk incorporated into the model’s overall risk and profitability framework for this particular resale channel? Specifically, how is the risk accounted for that a dealer may be either unwilling or financially incapable of repurchasing the repossessed vehicle—whether due to idiosyncratic or systemic reasons—at any point during the loan’s lifecycle when such a need may arise? </w:t>
      </w:r>
      <w:r w:rsidRPr="00803CBD">
        <w:rPr>
          <w:rFonts w:ascii="Wingdings" w:eastAsia="Times New Roman" w:hAnsi="Wingdings" w:cs="Times New Roman"/>
          <w:color w:val="0F9ED5"/>
          <w:kern w:val="0"/>
          <w:sz w:val="22"/>
          <w:szCs w:val="22"/>
          <w:lang w:eastAsia="en-GB"/>
          <w14:ligatures w14:val="none"/>
        </w:rPr>
        <w:t>à</w:t>
      </w:r>
      <w:r>
        <w:rPr>
          <w:rFonts w:ascii="Wingdings" w:eastAsia="Times New Roman" w:hAnsi="Wingdings" w:cs="Times New Roman"/>
          <w:color w:val="0F9ED5"/>
          <w:kern w:val="0"/>
          <w:sz w:val="22"/>
          <w:szCs w:val="22"/>
          <w:lang w:eastAsia="en-GB"/>
          <w14:ligatures w14:val="none"/>
        </w:rPr>
        <w:t xml:space="preserve"> </w:t>
      </w:r>
      <w:r w:rsidRPr="00803CBD">
        <w:rPr>
          <w:rFonts w:ascii="Aptos" w:eastAsia="Times New Roman" w:hAnsi="Aptos" w:cs="Times New Roman"/>
          <w:color w:val="0F9ED5"/>
          <w:kern w:val="0"/>
          <w:sz w:val="22"/>
          <w:szCs w:val="22"/>
          <w:lang w:eastAsia="en-GB"/>
          <w14:ligatures w14:val="none"/>
        </w:rPr>
        <w:t>in European best practices, dealer counterparty risk is primarily mitigated through: </w:t>
      </w:r>
    </w:p>
    <w:p w14:paraId="345E7B68" w14:textId="430BD85E" w:rsidR="00803CBD" w:rsidRPr="00803CBD" w:rsidRDefault="00803CBD" w:rsidP="00803CBD">
      <w:pPr>
        <w:numPr>
          <w:ilvl w:val="0"/>
          <w:numId w:val="1"/>
        </w:numPr>
        <w:shd w:val="clear" w:color="auto" w:fill="FFFFFF"/>
        <w:spacing w:after="0" w:line="240" w:lineRule="auto"/>
        <w:ind w:left="1440"/>
        <w:rPr>
          <w:rFonts w:ascii="Aptos" w:eastAsia="Times New Roman" w:hAnsi="Aptos" w:cs="Times New Roman"/>
          <w:color w:val="0F9ED5"/>
          <w:kern w:val="0"/>
          <w:sz w:val="22"/>
          <w:szCs w:val="22"/>
          <w:lang w:eastAsia="en-GB"/>
          <w14:ligatures w14:val="none"/>
        </w:rPr>
      </w:pPr>
      <w:r>
        <w:rPr>
          <w:rFonts w:ascii="Aptos" w:eastAsia="Times New Roman" w:hAnsi="Aptos" w:cs="Times New Roman"/>
          <w:color w:val="0F9ED5"/>
          <w:kern w:val="0"/>
          <w:sz w:val="22"/>
          <w:szCs w:val="22"/>
          <w:lang w:eastAsia="en-GB"/>
          <w14:ligatures w14:val="none"/>
        </w:rPr>
        <w:t>D</w:t>
      </w:r>
      <w:r w:rsidRPr="00803CBD">
        <w:rPr>
          <w:rFonts w:ascii="Aptos" w:eastAsia="Times New Roman" w:hAnsi="Aptos" w:cs="Times New Roman"/>
          <w:color w:val="0F9ED5"/>
          <w:kern w:val="0"/>
          <w:sz w:val="22"/>
          <w:szCs w:val="22"/>
          <w:lang w:eastAsia="en-GB"/>
          <w14:ligatures w14:val="none"/>
        </w:rPr>
        <w:t>ealer selection</w:t>
      </w:r>
      <w:r>
        <w:rPr>
          <w:rFonts w:ascii="Aptos" w:eastAsia="Times New Roman" w:hAnsi="Aptos" w:cs="Times New Roman"/>
          <w:color w:val="0F9ED5"/>
          <w:kern w:val="0"/>
          <w:sz w:val="22"/>
          <w:szCs w:val="22"/>
          <w:lang w:eastAsia="en-GB"/>
          <w14:ligatures w14:val="none"/>
        </w:rPr>
        <w:t xml:space="preserve"> </w:t>
      </w:r>
      <w:r w:rsidRPr="00803CBD">
        <w:rPr>
          <w:rFonts w:ascii="Aptos" w:eastAsia="Times New Roman" w:hAnsi="Aptos" w:cs="Times New Roman"/>
          <w:color w:val="0F9ED5"/>
          <w:kern w:val="0"/>
          <w:sz w:val="22"/>
          <w:szCs w:val="22"/>
          <w:lang w:eastAsia="en-GB"/>
          <w14:ligatures w14:val="none"/>
        </w:rPr>
        <w:t>and continuous monitoring</w:t>
      </w:r>
      <w:r>
        <w:rPr>
          <w:rFonts w:ascii="Aptos" w:eastAsia="Times New Roman" w:hAnsi="Aptos" w:cs="Times New Roman"/>
          <w:color w:val="0F9ED5"/>
          <w:kern w:val="0"/>
          <w:sz w:val="22"/>
          <w:szCs w:val="22"/>
          <w:lang w:eastAsia="en-GB"/>
          <w14:ligatures w14:val="none"/>
        </w:rPr>
        <w:t xml:space="preserve"> (incl. stock audits)</w:t>
      </w:r>
      <w:r w:rsidRPr="00803CBD">
        <w:rPr>
          <w:rFonts w:ascii="Aptos" w:eastAsia="Times New Roman" w:hAnsi="Aptos" w:cs="Times New Roman"/>
          <w:color w:val="0F9ED5"/>
          <w:kern w:val="0"/>
          <w:sz w:val="22"/>
          <w:szCs w:val="22"/>
          <w:lang w:eastAsia="en-GB"/>
          <w14:ligatures w14:val="none"/>
        </w:rPr>
        <w:t xml:space="preserve"> to manage</w:t>
      </w:r>
      <w:r>
        <w:rPr>
          <w:rFonts w:ascii="Aptos" w:eastAsia="Times New Roman" w:hAnsi="Aptos" w:cs="Times New Roman"/>
          <w:color w:val="0F9ED5"/>
          <w:kern w:val="0"/>
          <w:sz w:val="22"/>
          <w:szCs w:val="22"/>
          <w:lang w:eastAsia="en-GB"/>
          <w14:ligatures w14:val="none"/>
        </w:rPr>
        <w:t xml:space="preserve"> </w:t>
      </w:r>
      <w:r w:rsidRPr="00803CBD">
        <w:rPr>
          <w:rFonts w:ascii="Aptos" w:eastAsia="Times New Roman" w:hAnsi="Aptos" w:cs="Times New Roman"/>
          <w:color w:val="0F9ED5"/>
          <w:kern w:val="0"/>
          <w:sz w:val="22"/>
          <w:szCs w:val="22"/>
          <w:lang w:eastAsia="en-GB"/>
          <w14:ligatures w14:val="none"/>
        </w:rPr>
        <w:t>idiosyncratic exposures and limit concentration risks</w:t>
      </w:r>
      <w:r>
        <w:rPr>
          <w:rFonts w:ascii="Aptos" w:eastAsia="Times New Roman" w:hAnsi="Aptos" w:cs="Times New Roman"/>
          <w:color w:val="0F9ED5"/>
          <w:kern w:val="0"/>
          <w:sz w:val="22"/>
          <w:szCs w:val="22"/>
          <w:lang w:eastAsia="en-GB"/>
          <w14:ligatures w14:val="none"/>
        </w:rPr>
        <w:t xml:space="preserve"> – Santander, Credit Agricole, Société Générale</w:t>
      </w:r>
      <w:r w:rsidR="00182966">
        <w:rPr>
          <w:rFonts w:ascii="Aptos" w:eastAsia="Times New Roman" w:hAnsi="Aptos" w:cs="Times New Roman"/>
          <w:color w:val="0F9ED5"/>
          <w:kern w:val="0"/>
          <w:sz w:val="22"/>
          <w:szCs w:val="22"/>
          <w:lang w:eastAsia="en-GB"/>
          <w14:ligatures w14:val="none"/>
        </w:rPr>
        <w:t xml:space="preserve"> are monitoring thousands of dealers across Europe including markets such as Portugal (CreditBom a Crédit Agricole subsidiary and Cofidis a Credit Mutuel subsidiary) have &gt;15% market shares each on used car financing are providing  B2B financing and floor plans </w:t>
      </w:r>
    </w:p>
    <w:p w14:paraId="5DFCA2FA" w14:textId="567410D7" w:rsidR="00803CBD" w:rsidRDefault="00803CBD" w:rsidP="00803CBD">
      <w:pPr>
        <w:numPr>
          <w:ilvl w:val="0"/>
          <w:numId w:val="1"/>
        </w:numPr>
        <w:shd w:val="clear" w:color="auto" w:fill="FFFFFF"/>
        <w:spacing w:after="0" w:line="240" w:lineRule="auto"/>
        <w:ind w:left="1440"/>
        <w:rPr>
          <w:rFonts w:ascii="Aptos" w:eastAsia="Times New Roman" w:hAnsi="Aptos" w:cs="Times New Roman"/>
          <w:color w:val="0F9ED5"/>
          <w:kern w:val="0"/>
          <w:sz w:val="22"/>
          <w:szCs w:val="22"/>
          <w:lang w:eastAsia="en-GB"/>
          <w14:ligatures w14:val="none"/>
        </w:rPr>
      </w:pPr>
      <w:r>
        <w:rPr>
          <w:rFonts w:ascii="Aptos" w:eastAsia="Times New Roman" w:hAnsi="Aptos" w:cs="Times New Roman"/>
          <w:color w:val="0F9ED5"/>
          <w:kern w:val="0"/>
          <w:sz w:val="22"/>
          <w:szCs w:val="22"/>
          <w:lang w:eastAsia="en-GB"/>
          <w14:ligatures w14:val="none"/>
        </w:rPr>
        <w:t>A</w:t>
      </w:r>
      <w:r w:rsidRPr="00803CBD">
        <w:rPr>
          <w:rFonts w:ascii="Aptos" w:eastAsia="Times New Roman" w:hAnsi="Aptos" w:cs="Times New Roman"/>
          <w:color w:val="0F9ED5"/>
          <w:kern w:val="0"/>
          <w:sz w:val="22"/>
          <w:szCs w:val="22"/>
          <w:lang w:eastAsia="en-GB"/>
          <w14:ligatures w14:val="none"/>
        </w:rPr>
        <w:t xml:space="preserve"> diversifi</w:t>
      </w:r>
      <w:r>
        <w:rPr>
          <w:rFonts w:ascii="Aptos" w:eastAsia="Times New Roman" w:hAnsi="Aptos" w:cs="Times New Roman"/>
          <w:color w:val="0F9ED5"/>
          <w:kern w:val="0"/>
          <w:sz w:val="22"/>
          <w:szCs w:val="22"/>
          <w:lang w:eastAsia="en-GB"/>
          <w14:ligatures w14:val="none"/>
        </w:rPr>
        <w:t>ed</w:t>
      </w:r>
      <w:r w:rsidRPr="00803CBD">
        <w:rPr>
          <w:rFonts w:ascii="Aptos" w:eastAsia="Times New Roman" w:hAnsi="Aptos" w:cs="Times New Roman"/>
          <w:color w:val="0F9ED5"/>
          <w:kern w:val="0"/>
          <w:sz w:val="22"/>
          <w:szCs w:val="22"/>
          <w:lang w:eastAsia="en-GB"/>
          <w14:ligatures w14:val="none"/>
        </w:rPr>
        <w:t xml:space="preserve"> remarketing </w:t>
      </w:r>
      <w:r>
        <w:rPr>
          <w:rFonts w:ascii="Aptos" w:eastAsia="Times New Roman" w:hAnsi="Aptos" w:cs="Times New Roman"/>
          <w:color w:val="0F9ED5"/>
          <w:kern w:val="0"/>
          <w:sz w:val="22"/>
          <w:szCs w:val="22"/>
          <w:lang w:eastAsia="en-GB"/>
          <w14:ligatures w14:val="none"/>
        </w:rPr>
        <w:t>strategy and platform</w:t>
      </w:r>
      <w:r w:rsidRPr="00803CBD">
        <w:rPr>
          <w:rFonts w:ascii="Aptos" w:eastAsia="Times New Roman" w:hAnsi="Aptos" w:cs="Times New Roman"/>
          <w:color w:val="0F9ED5"/>
          <w:kern w:val="0"/>
          <w:sz w:val="22"/>
          <w:szCs w:val="22"/>
          <w:lang w:eastAsia="en-GB"/>
          <w14:ligatures w14:val="none"/>
        </w:rPr>
        <w:t>, ensuring that vehicles can be reallocated to alternative dealers</w:t>
      </w:r>
      <w:r>
        <w:rPr>
          <w:rFonts w:ascii="Aptos" w:eastAsia="Times New Roman" w:hAnsi="Aptos" w:cs="Times New Roman"/>
          <w:color w:val="0F9ED5"/>
          <w:kern w:val="0"/>
          <w:sz w:val="22"/>
          <w:szCs w:val="22"/>
          <w:lang w:eastAsia="en-GB"/>
          <w14:ligatures w14:val="none"/>
        </w:rPr>
        <w:t xml:space="preserve"> (potential abroad)</w:t>
      </w:r>
      <w:r w:rsidRPr="00803CBD">
        <w:rPr>
          <w:rFonts w:ascii="Aptos" w:eastAsia="Times New Roman" w:hAnsi="Aptos" w:cs="Times New Roman"/>
          <w:color w:val="0F9ED5"/>
          <w:kern w:val="0"/>
          <w:sz w:val="22"/>
          <w:szCs w:val="22"/>
          <w:lang w:eastAsia="en-GB"/>
          <w14:ligatures w14:val="none"/>
        </w:rPr>
        <w:t>, auctions, digital platforms if a buy-back is not honore</w:t>
      </w:r>
      <w:r>
        <w:rPr>
          <w:rFonts w:ascii="Aptos" w:eastAsia="Times New Roman" w:hAnsi="Aptos" w:cs="Times New Roman"/>
          <w:color w:val="0F9ED5"/>
          <w:kern w:val="0"/>
          <w:sz w:val="22"/>
          <w:szCs w:val="22"/>
          <w:lang w:eastAsia="en-GB"/>
          <w14:ligatures w14:val="none"/>
        </w:rPr>
        <w:t>d – Captive banks – Moblize FS, VW FS, new mobilty players (FINN)</w:t>
      </w:r>
    </w:p>
    <w:p w14:paraId="0FDEEEF5" w14:textId="77777777" w:rsidR="00803CBD" w:rsidRDefault="00803CBD" w:rsidP="00803CBD">
      <w:pPr>
        <w:shd w:val="clear" w:color="auto" w:fill="FFFFFF"/>
        <w:spacing w:before="100" w:beforeAutospacing="1" w:after="100" w:afterAutospacing="1" w:line="240" w:lineRule="auto"/>
        <w:ind w:left="720"/>
        <w:rPr>
          <w:rFonts w:ascii="Aptos" w:eastAsia="Times New Roman" w:hAnsi="Aptos" w:cs="Times New Roman"/>
          <w:color w:val="0F9ED5"/>
          <w:kern w:val="0"/>
          <w:sz w:val="22"/>
          <w:szCs w:val="22"/>
          <w:lang w:eastAsia="en-GB"/>
          <w14:ligatures w14:val="none"/>
        </w:rPr>
      </w:pPr>
      <w:r w:rsidRPr="00803CBD">
        <w:rPr>
          <w:rFonts w:ascii="Aptos" w:eastAsia="Times New Roman" w:hAnsi="Aptos" w:cs="Times New Roman"/>
          <w:color w:val="0F9ED5"/>
          <w:kern w:val="0"/>
          <w:sz w:val="22"/>
          <w:szCs w:val="22"/>
          <w:lang w:eastAsia="en-GB"/>
          <w14:ligatures w14:val="none"/>
        </w:rPr>
        <w:t>Reflecting these principles, in the updated model (“Base Case Scenario” tab) we have explicitly incorporated an additional 3% discount on 20% of vehicles assumed not to be repurchased under buy-back agreements. The logic is that, in cases where a dealer fails to fulfill its commitment, the vehicle would be sold through other channels but at a higher discount than initially anticipated</w:t>
      </w:r>
      <w:r>
        <w:rPr>
          <w:rFonts w:ascii="Aptos" w:eastAsia="Times New Roman" w:hAnsi="Aptos" w:cs="Times New Roman"/>
          <w:color w:val="0F9ED5"/>
          <w:kern w:val="0"/>
          <w:sz w:val="22"/>
          <w:szCs w:val="22"/>
          <w:lang w:eastAsia="en-GB"/>
          <w14:ligatures w14:val="none"/>
        </w:rPr>
        <w:t xml:space="preserve"> (which is a conservative hypothesis as a dealer being financially incapable should not impact the value of the car)</w:t>
      </w:r>
      <w:r w:rsidRPr="00803CBD">
        <w:rPr>
          <w:rFonts w:ascii="Aptos" w:eastAsia="Times New Roman" w:hAnsi="Aptos" w:cs="Times New Roman"/>
          <w:color w:val="0F9ED5"/>
          <w:kern w:val="0"/>
          <w:sz w:val="22"/>
          <w:szCs w:val="22"/>
          <w:lang w:eastAsia="en-GB"/>
          <w14:ligatures w14:val="none"/>
        </w:rPr>
        <w:t xml:space="preserve">. </w:t>
      </w:r>
    </w:p>
    <w:p w14:paraId="3DA16B9B" w14:textId="77777777" w:rsidR="00182966" w:rsidRDefault="00803CBD" w:rsidP="00182966">
      <w:pPr>
        <w:shd w:val="clear" w:color="auto" w:fill="FFFFFF"/>
        <w:spacing w:before="100" w:beforeAutospacing="1" w:after="100" w:afterAutospacing="1" w:line="240" w:lineRule="auto"/>
        <w:ind w:left="720"/>
        <w:rPr>
          <w:rFonts w:ascii="Aptos" w:eastAsia="Times New Roman" w:hAnsi="Aptos" w:cs="Times New Roman"/>
          <w:color w:val="0F9ED5"/>
          <w:kern w:val="0"/>
          <w:sz w:val="22"/>
          <w:szCs w:val="22"/>
          <w:lang w:eastAsia="en-GB"/>
          <w14:ligatures w14:val="none"/>
        </w:rPr>
      </w:pPr>
      <w:r w:rsidRPr="00803CBD">
        <w:rPr>
          <w:rFonts w:ascii="Aptos" w:eastAsia="Times New Roman" w:hAnsi="Aptos" w:cs="Times New Roman"/>
          <w:color w:val="0F9ED5"/>
          <w:kern w:val="0"/>
          <w:sz w:val="22"/>
          <w:szCs w:val="22"/>
          <w:lang w:eastAsia="en-GB"/>
          <w14:ligatures w14:val="none"/>
        </w:rPr>
        <w:t>As shown in the “Dealer Risk – Sensitivity” tab, the model remains resilient: even under stressed assumptions with higher non-repurchase rates and steeper discounts, the LGD consistently stays below 50%.</w:t>
      </w:r>
    </w:p>
    <w:p w14:paraId="7B490876" w14:textId="77777777" w:rsidR="00182966" w:rsidRDefault="00803CBD" w:rsidP="00182966">
      <w:pPr>
        <w:shd w:val="clear" w:color="auto" w:fill="FFFFFF"/>
        <w:spacing w:before="100" w:beforeAutospacing="1" w:after="100" w:afterAutospacing="1" w:line="240" w:lineRule="auto"/>
        <w:ind w:left="720"/>
        <w:rPr>
          <w:rFonts w:ascii="Aptos" w:eastAsia="Times New Roman" w:hAnsi="Aptos" w:cs="Times New Roman"/>
          <w:color w:val="0F9ED5"/>
          <w:kern w:val="0"/>
          <w:sz w:val="22"/>
          <w:szCs w:val="22"/>
          <w:lang w:eastAsia="en-GB"/>
          <w14:ligatures w14:val="none"/>
        </w:rPr>
      </w:pPr>
      <w:r w:rsidRPr="00803CBD">
        <w:rPr>
          <w:rFonts w:ascii="Aptos" w:eastAsia="Times New Roman" w:hAnsi="Aptos" w:cs="Times New Roman"/>
          <w:color w:val="000000" w:themeColor="text1"/>
          <w:kern w:val="0"/>
          <w:sz w:val="22"/>
          <w:szCs w:val="22"/>
          <w:lang w:eastAsia="en-GB"/>
          <w14:ligatures w14:val="none"/>
        </w:rPr>
        <w:t>Continuing on this point, each resale channel (pre-arranged agreements, digital marketplaces, wholesale auctions, export markets) features distinct economic characteristics and associated risks, which should be separately presented. The model should describe how each channel is envisaged under a base case scenario. There is recent empirical evidence, including in the Greek market, indicating that during the early stages of the last financial crisis, several auto dealers failed to honor pre-arranged buy-back agreements with operating leasing companies due to plummeting demand and acute liquidity shortages</w:t>
      </w:r>
      <w:r w:rsidRPr="00803CBD">
        <w:rPr>
          <w:rFonts w:ascii="Aptos" w:eastAsia="Times New Roman" w:hAnsi="Aptos" w:cs="Times New Roman"/>
          <w:color w:val="0F9ED5"/>
          <w:kern w:val="0"/>
          <w:sz w:val="22"/>
          <w:szCs w:val="22"/>
          <w:lang w:eastAsia="en-GB"/>
          <w14:ligatures w14:val="none"/>
        </w:rPr>
        <w:t>. </w:t>
      </w:r>
      <w:r w:rsidRPr="00803CBD">
        <w:rPr>
          <w:rFonts w:ascii="Wingdings" w:eastAsia="Times New Roman" w:hAnsi="Wingdings" w:cs="Times New Roman"/>
          <w:color w:val="0F9ED5"/>
          <w:kern w:val="0"/>
          <w:sz w:val="22"/>
          <w:szCs w:val="22"/>
          <w:lang w:eastAsia="en-GB"/>
          <w14:ligatures w14:val="none"/>
        </w:rPr>
        <w:t>à</w:t>
      </w:r>
      <w:r w:rsidRPr="00803CBD">
        <w:rPr>
          <w:rFonts w:ascii="Aptos" w:eastAsia="Times New Roman" w:hAnsi="Aptos" w:cs="Times New Roman"/>
          <w:color w:val="0F9ED5"/>
          <w:kern w:val="0"/>
          <w:sz w:val="22"/>
          <w:szCs w:val="22"/>
          <w:lang w:eastAsia="en-GB"/>
          <w14:ligatures w14:val="none"/>
        </w:rPr>
        <w:t> In the model, we apply an average channel sales margin of 5%, combining a higher margin for dealer transactions (8%) with a lower margin for alternative channels (2%), reflecting the different economics across remarketing routes</w:t>
      </w:r>
      <w:r w:rsidR="00182966">
        <w:rPr>
          <w:rFonts w:ascii="Aptos" w:eastAsia="Times New Roman" w:hAnsi="Aptos" w:cs="Times New Roman"/>
          <w:color w:val="0F9ED5"/>
          <w:kern w:val="0"/>
          <w:sz w:val="22"/>
          <w:szCs w:val="22"/>
          <w:lang w:eastAsia="en-GB"/>
          <w14:ligatures w14:val="none"/>
        </w:rPr>
        <w:t xml:space="preserve">. </w:t>
      </w:r>
    </w:p>
    <w:p w14:paraId="4A07F26E" w14:textId="0AC33B36" w:rsidR="00803CBD" w:rsidRPr="00803CBD" w:rsidRDefault="00182966" w:rsidP="00182966">
      <w:pPr>
        <w:shd w:val="clear" w:color="auto" w:fill="FFFFFF"/>
        <w:spacing w:before="100" w:beforeAutospacing="1" w:after="100" w:afterAutospacing="1" w:line="240" w:lineRule="auto"/>
        <w:ind w:left="720"/>
        <w:rPr>
          <w:rFonts w:ascii="Aptos" w:eastAsia="Times New Roman" w:hAnsi="Aptos" w:cs="Times New Roman"/>
          <w:color w:val="0F9ED5"/>
          <w:kern w:val="0"/>
          <w:sz w:val="22"/>
          <w:szCs w:val="22"/>
          <w:lang w:eastAsia="en-GB"/>
          <w14:ligatures w14:val="none"/>
        </w:rPr>
      </w:pPr>
      <w:r>
        <w:rPr>
          <w:rFonts w:ascii="Aptos" w:eastAsia="Times New Roman" w:hAnsi="Aptos" w:cs="Times New Roman"/>
          <w:color w:val="0F9ED5"/>
          <w:kern w:val="0"/>
          <w:sz w:val="22"/>
          <w:szCs w:val="22"/>
          <w:lang w:eastAsia="en-GB"/>
          <w14:ligatures w14:val="none"/>
        </w:rPr>
        <w:t>Again, being able to remarket vehicles abroad should (partly) mitigate this risk. As a concrete example, LeaseCos and specialiazed banks having used BEV (Battery EVs) on their balance sheet which are suffering low demand in home market (e.g., France, Italy) are being remarketed in markets with higher demand such as Denmark, Norway (reducing potential losses by 3-6K€ per vehicle)</w:t>
      </w:r>
    </w:p>
    <w:p w14:paraId="2DEC451F" w14:textId="77777777" w:rsidR="00803CBD" w:rsidRPr="00803CBD" w:rsidRDefault="00803CBD" w:rsidP="00803CBD">
      <w:pPr>
        <w:shd w:val="clear" w:color="auto" w:fill="FFFFFF"/>
        <w:spacing w:after="0" w:line="240" w:lineRule="auto"/>
        <w:rPr>
          <w:rFonts w:ascii="Aptos" w:eastAsia="Times New Roman" w:hAnsi="Aptos" w:cs="Times New Roman"/>
          <w:color w:val="000000"/>
          <w:kern w:val="0"/>
          <w:sz w:val="22"/>
          <w:szCs w:val="22"/>
          <w:lang w:eastAsia="en-GB"/>
          <w14:ligatures w14:val="none"/>
        </w:rPr>
      </w:pPr>
      <w:r w:rsidRPr="00803CBD">
        <w:rPr>
          <w:rFonts w:ascii="Aptos" w:eastAsia="Times New Roman" w:hAnsi="Aptos" w:cs="Times New Roman"/>
          <w:color w:val="000000"/>
          <w:kern w:val="0"/>
          <w:lang w:eastAsia="en-GB"/>
          <w14:ligatures w14:val="none"/>
        </w:rPr>
        <w:t> </w:t>
      </w:r>
    </w:p>
    <w:p w14:paraId="5C2483F6" w14:textId="77777777" w:rsidR="00803CBD" w:rsidRPr="00803CBD" w:rsidRDefault="00803CBD" w:rsidP="00803CBD">
      <w:pPr>
        <w:shd w:val="clear" w:color="auto" w:fill="FFFFFF"/>
        <w:spacing w:after="0" w:line="240" w:lineRule="auto"/>
        <w:ind w:left="720"/>
        <w:rPr>
          <w:rFonts w:ascii="Aptos" w:eastAsia="Times New Roman" w:hAnsi="Aptos" w:cs="Times New Roman"/>
          <w:color w:val="000000"/>
          <w:kern w:val="0"/>
          <w:sz w:val="22"/>
          <w:szCs w:val="22"/>
          <w:lang w:eastAsia="en-GB"/>
          <w14:ligatures w14:val="none"/>
        </w:rPr>
      </w:pPr>
      <w:r w:rsidRPr="00803CBD">
        <w:rPr>
          <w:rFonts w:ascii="Aptos" w:eastAsia="Times New Roman" w:hAnsi="Aptos" w:cs="Times New Roman"/>
          <w:b/>
          <w:bCs/>
          <w:color w:val="000000"/>
          <w:kern w:val="0"/>
          <w:sz w:val="22"/>
          <w:szCs w:val="22"/>
          <w:lang w:eastAsia="en-GB"/>
          <w14:ligatures w14:val="none"/>
        </w:rPr>
        <w:lastRenderedPageBreak/>
        <w:t>2. Residual value risk:</w:t>
      </w:r>
      <w:r w:rsidRPr="00803CBD">
        <w:rPr>
          <w:rFonts w:ascii="Aptos" w:eastAsia="Times New Roman" w:hAnsi="Aptos" w:cs="Times New Roman"/>
          <w:color w:val="000000"/>
          <w:kern w:val="0"/>
          <w:sz w:val="22"/>
          <w:szCs w:val="22"/>
          <w:lang w:eastAsia="en-GB"/>
          <w14:ligatures w14:val="none"/>
        </w:rPr>
        <w:br/>
        <w:t>This represents a market risk—particularly relevant given the volatility of used car prices, especially within the rapidly evolving electric vehicle segment—which effectively translates into credit risk, as the Loss Given Default (LGD) is directly linked to the value of the repossessed asset. Leading operating leasing companies typically provision for residual value risk and incorporate this into their lease pricing. How is this risk reflected in the model’s Cost of Risk (CoR) and profitability assumptions, especially given that—unlike operating leases—traditional car financing programs do not typically include comprehensive insurance or maintenance packages that could help preserve the vehicle’s condition up to the point of repossession?</w:t>
      </w:r>
    </w:p>
    <w:p w14:paraId="7FE75C10" w14:textId="77777777" w:rsidR="00803CBD" w:rsidRPr="00803CBD" w:rsidRDefault="00803CBD" w:rsidP="00803CBD">
      <w:pPr>
        <w:shd w:val="clear" w:color="auto" w:fill="FFFFFF"/>
        <w:spacing w:after="0" w:line="240" w:lineRule="auto"/>
        <w:ind w:left="720"/>
        <w:rPr>
          <w:rFonts w:ascii="Aptos" w:eastAsia="Times New Roman" w:hAnsi="Aptos" w:cs="Times New Roman"/>
          <w:color w:val="000000"/>
          <w:kern w:val="0"/>
          <w:sz w:val="22"/>
          <w:szCs w:val="22"/>
          <w:lang w:eastAsia="en-GB"/>
          <w14:ligatures w14:val="none"/>
        </w:rPr>
      </w:pPr>
      <w:r w:rsidRPr="00803CBD">
        <w:rPr>
          <w:rFonts w:ascii="Aptos" w:eastAsia="Times New Roman" w:hAnsi="Aptos" w:cs="Times New Roman"/>
          <w:color w:val="000000"/>
          <w:kern w:val="0"/>
          <w:sz w:val="22"/>
          <w:szCs w:val="22"/>
          <w:lang w:eastAsia="en-GB"/>
          <w14:ligatures w14:val="none"/>
        </w:rPr>
        <w:t>Changes in local demand conditions (e.g., during economic downturns), rapid technological shifts, and government fiscal interventions may materially impact the residual value of used vehicles beyond current expectations.</w:t>
      </w:r>
    </w:p>
    <w:p w14:paraId="2FAC346B" w14:textId="2EEF4303" w:rsidR="00CF2C19" w:rsidRDefault="00803CBD" w:rsidP="00CF2C19">
      <w:pPr>
        <w:shd w:val="clear" w:color="auto" w:fill="FFFFFF"/>
        <w:spacing w:after="0" w:line="240" w:lineRule="auto"/>
        <w:ind w:left="720"/>
        <w:rPr>
          <w:rFonts w:ascii="Aptos" w:eastAsia="Times New Roman" w:hAnsi="Aptos" w:cs="Times New Roman"/>
          <w:color w:val="0F9ED5"/>
          <w:kern w:val="0"/>
          <w:sz w:val="22"/>
          <w:szCs w:val="22"/>
          <w:lang w:eastAsia="en-GB"/>
          <w14:ligatures w14:val="none"/>
        </w:rPr>
      </w:pPr>
      <w:r w:rsidRPr="00803CBD">
        <w:rPr>
          <w:rFonts w:ascii="Wingdings" w:eastAsia="Times New Roman" w:hAnsi="Wingdings" w:cs="Times New Roman"/>
          <w:color w:val="0F9ED5"/>
          <w:kern w:val="0"/>
          <w:sz w:val="22"/>
          <w:szCs w:val="22"/>
          <w:lang w:eastAsia="en-GB"/>
          <w14:ligatures w14:val="none"/>
        </w:rPr>
        <w:t>à</w:t>
      </w:r>
      <w:r w:rsidRPr="00803CBD">
        <w:rPr>
          <w:rFonts w:ascii="Aptos" w:eastAsia="Times New Roman" w:hAnsi="Aptos" w:cs="Times New Roman"/>
          <w:color w:val="0F9ED5"/>
          <w:kern w:val="0"/>
          <w:sz w:val="22"/>
          <w:szCs w:val="22"/>
          <w:lang w:eastAsia="en-GB"/>
          <w14:ligatures w14:val="none"/>
        </w:rPr>
        <w:t> The base case assumes stable market conditions, with no changes in vehicle value arising from market dynamics. Nonetheless, in the “Market Risk – Sensitivity” tab we have included stress tests on car value changes due to adverse market conditions. As shown, with a 25% down payment the LGD remains around 50% even under a 15% decline in vehicle value. Based on the Greek market outlook prepared by the Bank’s Economic Research &amp; Analysis department (see tab “ERB Greek Outlook”) and the historical evolution of used car prices, a decrease of this magnitude is deemed unforeseeable.</w:t>
      </w:r>
      <w:r w:rsidR="00CF2C19">
        <w:rPr>
          <w:rFonts w:ascii="Aptos" w:eastAsia="Times New Roman" w:hAnsi="Aptos" w:cs="Times New Roman"/>
          <w:color w:val="0F9ED5"/>
          <w:kern w:val="0"/>
          <w:sz w:val="22"/>
          <w:szCs w:val="22"/>
          <w:lang w:eastAsia="en-GB"/>
          <w14:ligatures w14:val="none"/>
        </w:rPr>
        <w:t xml:space="preserve"> On top, in other markets the price decrease has mainly been on used EVs (maibly old generations) where Greece has still a low penetration in comparison. </w:t>
      </w:r>
    </w:p>
    <w:p w14:paraId="0EFFF397" w14:textId="77777777" w:rsidR="00CF2C19" w:rsidRDefault="00CF2C19" w:rsidP="00CF2C19">
      <w:pPr>
        <w:shd w:val="clear" w:color="auto" w:fill="FFFFFF"/>
        <w:spacing w:after="0" w:line="240" w:lineRule="auto"/>
        <w:ind w:left="720"/>
        <w:rPr>
          <w:rFonts w:ascii="Aptos" w:eastAsia="Times New Roman" w:hAnsi="Aptos" w:cs="Times New Roman"/>
          <w:color w:val="0F9ED5"/>
          <w:kern w:val="0"/>
          <w:sz w:val="22"/>
          <w:szCs w:val="22"/>
          <w:lang w:eastAsia="en-GB"/>
          <w14:ligatures w14:val="none"/>
        </w:rPr>
      </w:pPr>
    </w:p>
    <w:p w14:paraId="3CA9CED0" w14:textId="67430B09" w:rsidR="00CF2C19" w:rsidRPr="00803CBD" w:rsidRDefault="00CF2C19" w:rsidP="00CF2C19">
      <w:pPr>
        <w:shd w:val="clear" w:color="auto" w:fill="FFFFFF"/>
        <w:spacing w:after="0" w:line="240" w:lineRule="auto"/>
        <w:ind w:left="720"/>
        <w:rPr>
          <w:rFonts w:ascii="Aptos" w:eastAsia="Times New Roman" w:hAnsi="Aptos" w:cs="Times New Roman"/>
          <w:color w:val="0F9ED5"/>
          <w:kern w:val="0"/>
          <w:sz w:val="22"/>
          <w:szCs w:val="22"/>
          <w:lang w:eastAsia="en-GB"/>
          <w14:ligatures w14:val="none"/>
        </w:rPr>
      </w:pPr>
      <w:r>
        <w:rPr>
          <w:rFonts w:ascii="Aptos" w:eastAsia="Times New Roman" w:hAnsi="Aptos" w:cs="Times New Roman"/>
          <w:color w:val="0F9ED5"/>
          <w:kern w:val="0"/>
          <w:sz w:val="22"/>
          <w:szCs w:val="22"/>
          <w:lang w:eastAsia="en-GB"/>
          <w14:ligatures w14:val="none"/>
        </w:rPr>
        <w:t>As an example, Santander, Credit Agricole and captive banks (BMW, Renault) have put in place a thorough RV governance (detailed benchmark can be shared separatly) to avoid any conflict of interest (between commerce, risk and remarketing) and protect the bank (e.g., quarterly RV committees, monthly updates on RV direct and indirect exposures).</w:t>
      </w:r>
    </w:p>
    <w:p w14:paraId="1A9B9B56" w14:textId="77777777" w:rsidR="00803CBD" w:rsidRPr="00803CBD" w:rsidRDefault="00803CBD" w:rsidP="00803CBD">
      <w:pPr>
        <w:shd w:val="clear" w:color="auto" w:fill="FFFFFF"/>
        <w:spacing w:after="0" w:line="240" w:lineRule="auto"/>
        <w:ind w:left="720"/>
        <w:rPr>
          <w:rFonts w:ascii="Aptos" w:eastAsia="Times New Roman" w:hAnsi="Aptos" w:cs="Times New Roman"/>
          <w:color w:val="000000"/>
          <w:kern w:val="0"/>
          <w:sz w:val="22"/>
          <w:szCs w:val="22"/>
          <w:lang w:eastAsia="en-GB"/>
          <w14:ligatures w14:val="none"/>
        </w:rPr>
      </w:pPr>
      <w:r w:rsidRPr="00803CBD">
        <w:rPr>
          <w:rFonts w:ascii="Aptos" w:eastAsia="Times New Roman" w:hAnsi="Aptos" w:cs="Times New Roman"/>
          <w:b/>
          <w:bCs/>
          <w:color w:val="000000"/>
          <w:kern w:val="0"/>
          <w:sz w:val="22"/>
          <w:szCs w:val="22"/>
          <w:lang w:eastAsia="en-GB"/>
          <w14:ligatures w14:val="none"/>
        </w:rPr>
        <w:t> </w:t>
      </w:r>
    </w:p>
    <w:p w14:paraId="5784B4AE" w14:textId="0A1C5C02" w:rsidR="00CF2C19" w:rsidRPr="00CF2C19" w:rsidRDefault="00803CBD" w:rsidP="00CF2C19">
      <w:pPr>
        <w:pStyle w:val="ListParagraph"/>
        <w:numPr>
          <w:ilvl w:val="0"/>
          <w:numId w:val="1"/>
        </w:numPr>
        <w:shd w:val="clear" w:color="auto" w:fill="FFFFFF"/>
        <w:spacing w:after="0" w:line="240" w:lineRule="auto"/>
        <w:rPr>
          <w:rFonts w:ascii="Aptos" w:eastAsia="Times New Roman" w:hAnsi="Aptos" w:cs="Times New Roman"/>
          <w:color w:val="000000"/>
          <w:kern w:val="0"/>
          <w:sz w:val="22"/>
          <w:szCs w:val="22"/>
          <w:lang w:eastAsia="en-GB"/>
          <w14:ligatures w14:val="none"/>
        </w:rPr>
      </w:pPr>
      <w:r w:rsidRPr="00CF2C19">
        <w:rPr>
          <w:rFonts w:ascii="Aptos" w:eastAsia="Times New Roman" w:hAnsi="Aptos" w:cs="Times New Roman"/>
          <w:b/>
          <w:bCs/>
          <w:color w:val="000000"/>
          <w:kern w:val="0"/>
          <w:sz w:val="22"/>
          <w:szCs w:val="22"/>
          <w:lang w:eastAsia="en-GB"/>
          <w14:ligatures w14:val="none"/>
        </w:rPr>
        <w:t>Aggravated condition of repossessed vehicles:</w:t>
      </w:r>
      <w:r w:rsidRPr="00CF2C19">
        <w:rPr>
          <w:rFonts w:ascii="Aptos" w:eastAsia="Times New Roman" w:hAnsi="Aptos" w:cs="Times New Roman"/>
          <w:color w:val="000000"/>
          <w:kern w:val="0"/>
          <w:sz w:val="22"/>
          <w:szCs w:val="22"/>
          <w:lang w:eastAsia="en-GB"/>
          <w14:ligatures w14:val="none"/>
        </w:rPr>
        <w:br/>
        <w:t>Repossessed vehicles are, on average, expected to be in significantly worse condition. Borrowers facing insolvency are typically less likely to maintain the vehicle properly—especially when repossession is anticipated—while defaults are frequently associated with negligent or reckless use of the asset. </w:t>
      </w:r>
      <w:r w:rsidRPr="00CF2C19">
        <w:rPr>
          <w:rFonts w:ascii="Wingdings" w:eastAsia="Times New Roman" w:hAnsi="Wingdings" w:cs="Times New Roman"/>
          <w:color w:val="0F9ED5"/>
          <w:kern w:val="0"/>
          <w:sz w:val="22"/>
          <w:szCs w:val="22"/>
          <w:lang w:eastAsia="en-GB"/>
          <w14:ligatures w14:val="none"/>
        </w:rPr>
        <w:t>à</w:t>
      </w:r>
      <w:r w:rsidRPr="00CF2C19">
        <w:rPr>
          <w:rFonts w:ascii="Aptos" w:eastAsia="Times New Roman" w:hAnsi="Aptos" w:cs="Times New Roman"/>
          <w:color w:val="0F9ED5"/>
          <w:kern w:val="0"/>
          <w:sz w:val="22"/>
          <w:szCs w:val="22"/>
          <w:lang w:eastAsia="en-GB"/>
          <w14:ligatures w14:val="none"/>
        </w:rPr>
        <w:t> It is acknowledged that repossessed vehicles can often be in worse-than-average condition, which may reduce recovery values beyond standard depreciation. In the updated model, this is reflected through an additional 10% markdown on collateral value.</w:t>
      </w:r>
    </w:p>
    <w:p w14:paraId="3E618FC5" w14:textId="77777777" w:rsidR="00CF2C19" w:rsidRDefault="00CF2C19" w:rsidP="00CF2C19">
      <w:pPr>
        <w:pStyle w:val="ListParagraph"/>
        <w:shd w:val="clear" w:color="auto" w:fill="FFFFFF"/>
        <w:spacing w:after="0" w:line="240" w:lineRule="auto"/>
        <w:rPr>
          <w:rFonts w:ascii="Aptos" w:eastAsia="Times New Roman" w:hAnsi="Aptos" w:cs="Times New Roman"/>
          <w:b/>
          <w:bCs/>
          <w:color w:val="000000"/>
          <w:kern w:val="0"/>
          <w:sz w:val="22"/>
          <w:szCs w:val="22"/>
          <w:lang w:eastAsia="en-GB"/>
          <w14:ligatures w14:val="none"/>
        </w:rPr>
      </w:pPr>
    </w:p>
    <w:p w14:paraId="5EA30004" w14:textId="19146489" w:rsidR="00803CBD" w:rsidRPr="00CF2C19" w:rsidRDefault="00803CBD" w:rsidP="00CF2C19">
      <w:pPr>
        <w:pStyle w:val="ListParagraph"/>
        <w:shd w:val="clear" w:color="auto" w:fill="FFFFFF"/>
        <w:spacing w:after="0" w:line="240" w:lineRule="auto"/>
        <w:rPr>
          <w:rFonts w:ascii="Aptos" w:eastAsia="Times New Roman" w:hAnsi="Aptos" w:cs="Times New Roman"/>
          <w:color w:val="000000"/>
          <w:kern w:val="0"/>
          <w:sz w:val="22"/>
          <w:szCs w:val="22"/>
          <w:lang w:eastAsia="en-GB"/>
          <w14:ligatures w14:val="none"/>
        </w:rPr>
      </w:pPr>
      <w:r w:rsidRPr="00CF2C19">
        <w:rPr>
          <w:rFonts w:ascii="Aptos" w:eastAsia="Times New Roman" w:hAnsi="Aptos" w:cs="Times New Roman"/>
          <w:color w:val="0F9ED5"/>
          <w:kern w:val="0"/>
          <w:sz w:val="22"/>
          <w:szCs w:val="22"/>
          <w:lang w:eastAsia="en-GB"/>
          <w14:ligatures w14:val="none"/>
        </w:rPr>
        <w:t>To mitigate this risk, a range of measures can be applied, drawing on best practices in European markets. These include requiring higher-risk clients to maintain comprehensive and collision insurance to protect against major damage or total loss, introducing mandatory extended warranty coverage to help preserve the asset’s condition, and establishing voluntary surrender programs that enable vehicles to be recovered earlier and in better state</w:t>
      </w:r>
    </w:p>
    <w:p w14:paraId="2E448820" w14:textId="77777777" w:rsidR="00803CBD" w:rsidRPr="00803CBD" w:rsidRDefault="00803CBD" w:rsidP="00803CBD">
      <w:pPr>
        <w:shd w:val="clear" w:color="auto" w:fill="FFFFFF"/>
        <w:spacing w:after="0" w:line="240" w:lineRule="auto"/>
        <w:rPr>
          <w:rFonts w:ascii="Aptos" w:eastAsia="Times New Roman" w:hAnsi="Aptos" w:cs="Times New Roman"/>
          <w:color w:val="000000"/>
          <w:kern w:val="0"/>
          <w:sz w:val="22"/>
          <w:szCs w:val="22"/>
          <w:lang w:eastAsia="en-GB"/>
          <w14:ligatures w14:val="none"/>
        </w:rPr>
      </w:pPr>
      <w:r w:rsidRPr="00803CBD">
        <w:rPr>
          <w:rFonts w:ascii="Aptos" w:eastAsia="Times New Roman" w:hAnsi="Aptos" w:cs="Times New Roman"/>
          <w:b/>
          <w:bCs/>
          <w:color w:val="000000"/>
          <w:kern w:val="0"/>
          <w:lang w:eastAsia="en-GB"/>
          <w14:ligatures w14:val="none"/>
        </w:rPr>
        <w:t> </w:t>
      </w:r>
    </w:p>
    <w:p w14:paraId="1626F1F8" w14:textId="67AD688D" w:rsidR="00803CBD" w:rsidRPr="00803CBD" w:rsidRDefault="00803CBD" w:rsidP="00803CBD">
      <w:pPr>
        <w:shd w:val="clear" w:color="auto" w:fill="FFFFFF"/>
        <w:spacing w:after="0" w:line="240" w:lineRule="auto"/>
        <w:ind w:left="720"/>
        <w:rPr>
          <w:rFonts w:ascii="Aptos" w:eastAsia="Times New Roman" w:hAnsi="Aptos" w:cs="Times New Roman"/>
          <w:color w:val="000000"/>
          <w:kern w:val="0"/>
          <w:sz w:val="22"/>
          <w:szCs w:val="22"/>
          <w:lang w:eastAsia="en-GB"/>
          <w14:ligatures w14:val="none"/>
        </w:rPr>
      </w:pPr>
      <w:r w:rsidRPr="00803CBD">
        <w:rPr>
          <w:rFonts w:ascii="Aptos" w:eastAsia="Times New Roman" w:hAnsi="Aptos" w:cs="Times New Roman"/>
          <w:b/>
          <w:bCs/>
          <w:color w:val="000000"/>
          <w:kern w:val="0"/>
          <w:sz w:val="22"/>
          <w:szCs w:val="22"/>
          <w:lang w:eastAsia="en-GB"/>
          <w14:ligatures w14:val="none"/>
        </w:rPr>
        <w:t>4. Repossession success rate and timing:</w:t>
      </w:r>
      <w:r w:rsidRPr="00803CBD">
        <w:rPr>
          <w:rFonts w:ascii="Aptos" w:eastAsia="Times New Roman" w:hAnsi="Aptos" w:cs="Times New Roman"/>
          <w:color w:val="000000"/>
          <w:kern w:val="0"/>
          <w:sz w:val="22"/>
          <w:szCs w:val="22"/>
          <w:lang w:eastAsia="en-GB"/>
          <w14:ligatures w14:val="none"/>
        </w:rPr>
        <w:br/>
        <w:t>Is there any empirical data from the Greek market supporting the assumed 10-month recovery timeline following default? How do actual results compare with the proposed 85% repossession success rate and 10-month recovery period? The latter appears particularly optimistic, especially considering systemic delays in the Greek legal system—most notably within the Athens jurisdiction. </w:t>
      </w:r>
      <w:r w:rsidRPr="00803CBD">
        <w:rPr>
          <w:rFonts w:ascii="Wingdings" w:eastAsia="Times New Roman" w:hAnsi="Wingdings" w:cs="Times New Roman"/>
          <w:color w:val="0F9ED5"/>
          <w:kern w:val="0"/>
          <w:sz w:val="22"/>
          <w:szCs w:val="22"/>
          <w:lang w:eastAsia="en-GB"/>
          <w14:ligatures w14:val="none"/>
        </w:rPr>
        <w:t>à</w:t>
      </w:r>
      <w:r w:rsidRPr="00803CBD">
        <w:rPr>
          <w:rFonts w:ascii="Aptos" w:eastAsia="Times New Roman" w:hAnsi="Aptos" w:cs="Times New Roman"/>
          <w:color w:val="0F9ED5"/>
          <w:kern w:val="0"/>
          <w:sz w:val="22"/>
          <w:szCs w:val="22"/>
          <w:lang w:eastAsia="en-GB"/>
          <w14:ligatures w14:val="none"/>
        </w:rPr>
        <w:t xml:space="preserve"> In the tab “Repossession Time </w:t>
      </w:r>
      <w:r w:rsidRPr="00803CBD">
        <w:rPr>
          <w:rFonts w:ascii="Aptos" w:eastAsia="Times New Roman" w:hAnsi="Aptos" w:cs="Times New Roman"/>
          <w:color w:val="0F9ED5"/>
          <w:kern w:val="0"/>
          <w:sz w:val="22"/>
          <w:szCs w:val="22"/>
          <w:lang w:eastAsia="en-GB"/>
          <w14:ligatures w14:val="none"/>
        </w:rPr>
        <w:lastRenderedPageBreak/>
        <w:t>Plan” the process and indicative timeline for car repossession in Greece are outlined. As shown, in 2024 the recovery timeframe ranged between 11 and 15 months, which is broadly consistent with European market benchmarks of around 10 months</w:t>
      </w:r>
    </w:p>
    <w:p w14:paraId="6F1D6F5D" w14:textId="77777777" w:rsidR="00803CBD" w:rsidRPr="00803CBD" w:rsidRDefault="00803CBD" w:rsidP="00803CBD">
      <w:pPr>
        <w:shd w:val="clear" w:color="auto" w:fill="FFFFFF"/>
        <w:spacing w:after="0" w:line="240" w:lineRule="auto"/>
        <w:rPr>
          <w:rFonts w:ascii="Aptos" w:eastAsia="Times New Roman" w:hAnsi="Aptos" w:cs="Times New Roman"/>
          <w:color w:val="000000"/>
          <w:kern w:val="0"/>
          <w:sz w:val="22"/>
          <w:szCs w:val="22"/>
          <w:lang w:eastAsia="en-GB"/>
          <w14:ligatures w14:val="none"/>
        </w:rPr>
      </w:pPr>
      <w:r w:rsidRPr="00803CBD">
        <w:rPr>
          <w:rFonts w:ascii="Aptos" w:eastAsia="Times New Roman" w:hAnsi="Aptos" w:cs="Times New Roman"/>
          <w:b/>
          <w:bCs/>
          <w:color w:val="000000"/>
          <w:kern w:val="0"/>
          <w:lang w:eastAsia="en-GB"/>
          <w14:ligatures w14:val="none"/>
        </w:rPr>
        <w:t> </w:t>
      </w:r>
    </w:p>
    <w:p w14:paraId="57462C6F" w14:textId="77777777" w:rsidR="00803CBD" w:rsidRPr="00803CBD" w:rsidRDefault="00803CBD" w:rsidP="00803CBD">
      <w:pPr>
        <w:shd w:val="clear" w:color="auto" w:fill="FFFFFF"/>
        <w:spacing w:after="0" w:line="240" w:lineRule="auto"/>
        <w:ind w:left="720"/>
        <w:rPr>
          <w:rFonts w:ascii="Aptos" w:eastAsia="Times New Roman" w:hAnsi="Aptos" w:cs="Times New Roman"/>
          <w:color w:val="000000"/>
          <w:kern w:val="0"/>
          <w:sz w:val="22"/>
          <w:szCs w:val="22"/>
          <w:lang w:eastAsia="en-GB"/>
          <w14:ligatures w14:val="none"/>
        </w:rPr>
      </w:pPr>
      <w:r w:rsidRPr="00803CBD">
        <w:rPr>
          <w:rFonts w:ascii="Aptos" w:eastAsia="Times New Roman" w:hAnsi="Aptos" w:cs="Times New Roman"/>
          <w:b/>
          <w:bCs/>
          <w:color w:val="000000"/>
          <w:kern w:val="0"/>
          <w:sz w:val="22"/>
          <w:szCs w:val="22"/>
          <w:lang w:eastAsia="en-GB"/>
          <w14:ligatures w14:val="none"/>
        </w:rPr>
        <w:t>5. Repossession as a time-consuming and costly process, limiting its effectiveness:</w:t>
      </w:r>
      <w:r w:rsidRPr="00803CBD">
        <w:rPr>
          <w:rFonts w:ascii="Aptos" w:eastAsia="Times New Roman" w:hAnsi="Aptos" w:cs="Times New Roman"/>
          <w:color w:val="000000"/>
          <w:kern w:val="0"/>
          <w:sz w:val="22"/>
          <w:szCs w:val="22"/>
          <w:lang w:eastAsia="en-GB"/>
          <w14:ligatures w14:val="none"/>
        </w:rPr>
        <w:br/>
        <w:t>At a high level, repossession appears to be both resource-intensive and costly, potentially undermining its intended benefits—particularly in the context of used car financing.</w:t>
      </w:r>
    </w:p>
    <w:p w14:paraId="3A237C82" w14:textId="77777777" w:rsidR="00803CBD" w:rsidRPr="00803CBD" w:rsidRDefault="00803CBD" w:rsidP="00803CBD">
      <w:pPr>
        <w:shd w:val="clear" w:color="auto" w:fill="FFFFFF"/>
        <w:spacing w:after="0" w:line="240" w:lineRule="auto"/>
        <w:ind w:left="720"/>
        <w:rPr>
          <w:rFonts w:ascii="Aptos" w:eastAsia="Times New Roman" w:hAnsi="Aptos" w:cs="Times New Roman"/>
          <w:color w:val="000000"/>
          <w:kern w:val="0"/>
          <w:sz w:val="22"/>
          <w:szCs w:val="22"/>
          <w:lang w:eastAsia="en-GB"/>
          <w14:ligatures w14:val="none"/>
        </w:rPr>
      </w:pPr>
      <w:r w:rsidRPr="00803CBD">
        <w:rPr>
          <w:rFonts w:ascii="Aptos" w:eastAsia="Times New Roman" w:hAnsi="Aptos" w:cs="Times New Roman"/>
          <w:color w:val="000000"/>
          <w:kern w:val="0"/>
          <w:sz w:val="22"/>
          <w:szCs w:val="22"/>
          <w:lang w:eastAsia="en-GB"/>
          <w14:ligatures w14:val="none"/>
        </w:rPr>
        <w:t>Having said that please consider the following illustrative example: based on the €9K average used car loan referenced in the presentation, and assuming a 25% down payment, the original retail price of the vehicle would be €12K. If default occurs 18 months after origination and the vehicle is remarketed—based on optimistic assumptions—2.5 years post-origination, a 10–15% annual depreciation would reduce the vehicle’s resale value to approximately €7.8K (€12K× 65%).</w:t>
      </w:r>
    </w:p>
    <w:p w14:paraId="7E6C6D6D" w14:textId="77777777" w:rsidR="00803CBD" w:rsidRPr="00803CBD" w:rsidRDefault="00803CBD" w:rsidP="00803CBD">
      <w:pPr>
        <w:shd w:val="clear" w:color="auto" w:fill="FFFFFF"/>
        <w:spacing w:after="0" w:line="240" w:lineRule="auto"/>
        <w:ind w:left="720"/>
        <w:rPr>
          <w:rFonts w:ascii="Aptos" w:eastAsia="Times New Roman" w:hAnsi="Aptos" w:cs="Times New Roman"/>
          <w:color w:val="000000"/>
          <w:kern w:val="0"/>
          <w:sz w:val="22"/>
          <w:szCs w:val="22"/>
          <w:lang w:eastAsia="en-GB"/>
          <w14:ligatures w14:val="none"/>
        </w:rPr>
      </w:pPr>
      <w:r w:rsidRPr="00803CBD">
        <w:rPr>
          <w:rFonts w:ascii="Aptos" w:eastAsia="Times New Roman" w:hAnsi="Aptos" w:cs="Times New Roman"/>
          <w:color w:val="000000"/>
          <w:kern w:val="0"/>
          <w:sz w:val="22"/>
          <w:szCs w:val="22"/>
          <w:lang w:eastAsia="en-GB"/>
          <w14:ligatures w14:val="none"/>
        </w:rPr>
        <w:t>To represent a more realistic scenario, if an additional year is added to the period between default and remarketing (i.e. a total of 2 years from default to collateral liquidation), and the typical condition deterioration associated with repossessed vehicles is taken into account, a further 20% markdown would reduce the resale value to approximately €6.2K. If from €6.2K is deducted the fixed repossession related costs of €1.5K the vehicle’s resale value results in €4.7K. Further to aforementioned, if an additional 8% dealer margin is applied on €4.7K, the Bank’s net recovery value is reduced to approximately €4.4K.</w:t>
      </w:r>
    </w:p>
    <w:p w14:paraId="20AEE583" w14:textId="77777777" w:rsidR="00803CBD" w:rsidRPr="00803CBD" w:rsidRDefault="00803CBD" w:rsidP="00803CBD">
      <w:pPr>
        <w:shd w:val="clear" w:color="auto" w:fill="FFFFFF"/>
        <w:spacing w:after="0" w:line="240" w:lineRule="auto"/>
        <w:ind w:left="720"/>
        <w:rPr>
          <w:rFonts w:ascii="Aptos" w:eastAsia="Times New Roman" w:hAnsi="Aptos" w:cs="Times New Roman"/>
          <w:color w:val="000000"/>
          <w:kern w:val="0"/>
          <w:sz w:val="22"/>
          <w:szCs w:val="22"/>
          <w:lang w:eastAsia="en-GB"/>
          <w14:ligatures w14:val="none"/>
        </w:rPr>
      </w:pPr>
      <w:r w:rsidRPr="00803CBD">
        <w:rPr>
          <w:rFonts w:ascii="Aptos" w:eastAsia="Times New Roman" w:hAnsi="Aptos" w:cs="Times New Roman"/>
          <w:color w:val="000000"/>
          <w:kern w:val="0"/>
          <w:sz w:val="22"/>
          <w:szCs w:val="22"/>
          <w:lang w:eastAsia="en-GB"/>
          <w14:ligatures w14:val="none"/>
        </w:rPr>
        <w:t>Assuming an 85% repossession success rate, the effective recovery over Exposure at Default (EAD)—estimated at €7.5K for a 60-month loan, accounting for 14 months of amortized principal and 4 months of unpaid interest—is calculated as (€4.4K × 85%) / €7.5K = 50%.</w:t>
      </w:r>
    </w:p>
    <w:p w14:paraId="70A79041" w14:textId="77777777" w:rsidR="00803CBD" w:rsidRPr="00803CBD" w:rsidRDefault="00803CBD" w:rsidP="00803CBD">
      <w:pPr>
        <w:shd w:val="clear" w:color="auto" w:fill="FFFFFF"/>
        <w:spacing w:after="0" w:line="240" w:lineRule="auto"/>
        <w:ind w:left="720"/>
        <w:rPr>
          <w:rFonts w:ascii="Aptos" w:eastAsia="Times New Roman" w:hAnsi="Aptos" w:cs="Times New Roman"/>
          <w:color w:val="000000"/>
          <w:kern w:val="0"/>
          <w:sz w:val="22"/>
          <w:szCs w:val="22"/>
          <w:lang w:eastAsia="en-GB"/>
          <w14:ligatures w14:val="none"/>
        </w:rPr>
      </w:pPr>
      <w:r w:rsidRPr="00803CBD">
        <w:rPr>
          <w:rFonts w:ascii="Aptos" w:eastAsia="Times New Roman" w:hAnsi="Aptos" w:cs="Times New Roman"/>
          <w:color w:val="000000"/>
          <w:kern w:val="0"/>
          <w:sz w:val="22"/>
          <w:szCs w:val="22"/>
          <w:lang w:eastAsia="en-GB"/>
          <w14:ligatures w14:val="none"/>
        </w:rPr>
        <w:t>When discounting for the time value of money—using the Bank’s low WACC as an optimistic discount rate—the resulting discounted LGD over EAD stands at approximately 52%.</w:t>
      </w:r>
    </w:p>
    <w:p w14:paraId="6755FA42" w14:textId="77777777" w:rsidR="00803CBD" w:rsidRPr="00803CBD" w:rsidRDefault="00803CBD" w:rsidP="00803CBD">
      <w:pPr>
        <w:shd w:val="clear" w:color="auto" w:fill="FFFFFF"/>
        <w:spacing w:after="0" w:line="240" w:lineRule="auto"/>
        <w:ind w:left="720"/>
        <w:rPr>
          <w:rFonts w:ascii="Aptos" w:eastAsia="Times New Roman" w:hAnsi="Aptos" w:cs="Times New Roman"/>
          <w:color w:val="000000"/>
          <w:kern w:val="0"/>
          <w:sz w:val="22"/>
          <w:szCs w:val="22"/>
          <w:lang w:eastAsia="en-GB"/>
          <w14:ligatures w14:val="none"/>
        </w:rPr>
      </w:pPr>
      <w:r w:rsidRPr="00803CBD">
        <w:rPr>
          <w:rFonts w:ascii="Aptos" w:eastAsia="Times New Roman" w:hAnsi="Aptos" w:cs="Times New Roman"/>
          <w:color w:val="000000"/>
          <w:kern w:val="0"/>
          <w:sz w:val="22"/>
          <w:szCs w:val="22"/>
          <w:lang w:eastAsia="en-GB"/>
          <w14:ligatures w14:val="none"/>
        </w:rPr>
        <w:t>Extending this scenario to lower down payment levels—such as 15% or even 0%, which reflect the target borrower profile of the proposed model (i.e., higher-risk clients with minimal upfront equity and heavy reliance on collateral value)—leads to discounted LGDs of 58% and 70%, respectively (</w:t>
      </w:r>
      <w:r w:rsidRPr="00803CBD">
        <w:rPr>
          <w:rFonts w:ascii="Aptos" w:eastAsia="Times New Roman" w:hAnsi="Aptos" w:cs="Times New Roman"/>
          <w:i/>
          <w:iCs/>
          <w:color w:val="000000"/>
          <w:kern w:val="0"/>
          <w:sz w:val="22"/>
          <w:szCs w:val="22"/>
          <w:lang w:eastAsia="en-GB"/>
          <w14:ligatures w14:val="none"/>
        </w:rPr>
        <w:t>please find attached detailed calculations</w:t>
      </w:r>
      <w:r w:rsidRPr="00803CBD">
        <w:rPr>
          <w:rFonts w:ascii="Aptos" w:eastAsia="Times New Roman" w:hAnsi="Aptos" w:cs="Times New Roman"/>
          <w:color w:val="000000"/>
          <w:kern w:val="0"/>
          <w:sz w:val="22"/>
          <w:szCs w:val="22"/>
          <w:lang w:eastAsia="en-GB"/>
          <w14:ligatures w14:val="none"/>
        </w:rPr>
        <w:t>). Notably, defaults are likely to be concentrated within these higher-LGD segments, given their negative correlation with down payment levels.</w:t>
      </w:r>
    </w:p>
    <w:p w14:paraId="686E9E59" w14:textId="77777777" w:rsidR="00803CBD" w:rsidRPr="00803CBD" w:rsidRDefault="00803CBD" w:rsidP="00803CBD">
      <w:pPr>
        <w:shd w:val="clear" w:color="auto" w:fill="FFFFFF"/>
        <w:spacing w:after="0" w:line="240" w:lineRule="auto"/>
        <w:ind w:left="720"/>
        <w:rPr>
          <w:rFonts w:ascii="Aptos" w:eastAsia="Times New Roman" w:hAnsi="Aptos" w:cs="Times New Roman"/>
          <w:color w:val="000000"/>
          <w:kern w:val="0"/>
          <w:sz w:val="22"/>
          <w:szCs w:val="22"/>
          <w:lang w:eastAsia="en-GB"/>
          <w14:ligatures w14:val="none"/>
        </w:rPr>
      </w:pPr>
      <w:r w:rsidRPr="00803CBD">
        <w:rPr>
          <w:rFonts w:ascii="Aptos" w:eastAsia="Times New Roman" w:hAnsi="Aptos" w:cs="Times New Roman"/>
          <w:color w:val="000000"/>
          <w:kern w:val="0"/>
          <w:sz w:val="22"/>
          <w:szCs w:val="22"/>
          <w:lang w:eastAsia="en-GB"/>
          <w14:ligatures w14:val="none"/>
        </w:rPr>
        <w:t>Following aforementioned estimations, these LGD exceed those currently applied under IFRS 9 for unsecured loans, which remain below 50%. Furthermore, auto loans historically exhibit high cure rates (&gt;50%) reflected in the current CoR, which are tied to the currently lower-risk production compared to the higher-risk profile envisaged under the proposed secured used-car financing model.</w:t>
      </w:r>
    </w:p>
    <w:p w14:paraId="76BDBD81" w14:textId="77777777" w:rsidR="00803CBD" w:rsidRPr="00803CBD" w:rsidRDefault="00803CBD" w:rsidP="00803CBD">
      <w:pPr>
        <w:shd w:val="clear" w:color="auto" w:fill="FFFFFF"/>
        <w:spacing w:after="0" w:line="240" w:lineRule="auto"/>
        <w:ind w:left="720"/>
        <w:rPr>
          <w:rFonts w:ascii="Aptos" w:eastAsia="Times New Roman" w:hAnsi="Aptos" w:cs="Times New Roman"/>
          <w:color w:val="000000"/>
          <w:kern w:val="0"/>
          <w:sz w:val="22"/>
          <w:szCs w:val="22"/>
          <w:lang w:eastAsia="en-GB"/>
          <w14:ligatures w14:val="none"/>
        </w:rPr>
      </w:pPr>
      <w:r w:rsidRPr="00803CBD">
        <w:rPr>
          <w:rFonts w:ascii="Aptos" w:eastAsia="Times New Roman" w:hAnsi="Aptos" w:cs="Times New Roman"/>
          <w:color w:val="000000"/>
          <w:kern w:val="0"/>
          <w:sz w:val="22"/>
          <w:szCs w:val="22"/>
          <w:lang w:eastAsia="en-GB"/>
          <w14:ligatures w14:val="none"/>
        </w:rPr>
        <w:t>Therefore, if these scenarios are deemed representative, the adoption of a repossession-based model does not appear to yield improved recovery performance relative to the one reflected from the current IFRS 9 risk parameters.</w:t>
      </w:r>
    </w:p>
    <w:p w14:paraId="681C03C2" w14:textId="77777777" w:rsidR="00803CBD" w:rsidRPr="00803CBD" w:rsidRDefault="00803CBD" w:rsidP="00803CBD">
      <w:pPr>
        <w:numPr>
          <w:ilvl w:val="0"/>
          <w:numId w:val="3"/>
        </w:numPr>
        <w:shd w:val="clear" w:color="auto" w:fill="FFFFFF"/>
        <w:spacing w:after="0" w:line="240" w:lineRule="auto"/>
        <w:ind w:left="1080"/>
        <w:rPr>
          <w:rFonts w:ascii="Aptos" w:eastAsia="Times New Roman" w:hAnsi="Aptos" w:cs="Times New Roman"/>
          <w:color w:val="0F9ED5"/>
          <w:kern w:val="0"/>
          <w:sz w:val="22"/>
          <w:szCs w:val="22"/>
          <w:lang w:eastAsia="en-GB"/>
          <w14:ligatures w14:val="none"/>
        </w:rPr>
      </w:pPr>
      <w:r w:rsidRPr="00803CBD">
        <w:rPr>
          <w:rFonts w:ascii="Aptos" w:eastAsia="Times New Roman" w:hAnsi="Aptos" w:cs="Times New Roman"/>
          <w:color w:val="0F9ED5"/>
          <w:kern w:val="0"/>
          <w:sz w:val="22"/>
          <w:szCs w:val="22"/>
          <w:lang w:eastAsia="en-GB"/>
          <w14:ligatures w14:val="none"/>
        </w:rPr>
        <w:t xml:space="preserve">In the “Base Case Scenario” tab you can find the updated model, which differs from the one you circulated in three main respects. First, it does not assume adverse market conditions: we apply only a 10% additional depreciation to reflect the aggravated condition of repossessed vehicles, compared with the 20% in your version that also factored in broader market downturn dynamics. Second, it assumes 18 months of loan principal amortization instead of 14, thus not incorporating four months of unpaid installments without recovery. Third, it </w:t>
      </w:r>
      <w:r w:rsidRPr="00803CBD">
        <w:rPr>
          <w:rFonts w:ascii="Aptos" w:eastAsia="Times New Roman" w:hAnsi="Aptos" w:cs="Times New Roman"/>
          <w:color w:val="0F9ED5"/>
          <w:kern w:val="0"/>
          <w:sz w:val="22"/>
          <w:szCs w:val="22"/>
          <w:lang w:eastAsia="en-GB"/>
          <w14:ligatures w14:val="none"/>
        </w:rPr>
        <w:lastRenderedPageBreak/>
        <w:t>explicitly integrates dealer risk by assuming that 20% of vehicles are not repurchased under buy-back agreements and bear an additional 3% discount when sold through alternative channels.</w:t>
      </w:r>
    </w:p>
    <w:p w14:paraId="15C91A19" w14:textId="77777777" w:rsidR="00803CBD" w:rsidRPr="00803CBD" w:rsidRDefault="00803CBD" w:rsidP="00803CBD">
      <w:pPr>
        <w:shd w:val="clear" w:color="auto" w:fill="FFFFFF"/>
        <w:spacing w:after="0" w:line="240" w:lineRule="auto"/>
        <w:ind w:left="720"/>
        <w:rPr>
          <w:rFonts w:ascii="Aptos" w:eastAsia="Times New Roman" w:hAnsi="Aptos" w:cs="Times New Roman"/>
          <w:color w:val="000000"/>
          <w:kern w:val="0"/>
          <w:sz w:val="22"/>
          <w:szCs w:val="22"/>
          <w:lang w:eastAsia="en-GB"/>
          <w14:ligatures w14:val="none"/>
        </w:rPr>
      </w:pPr>
      <w:r w:rsidRPr="00803CBD">
        <w:rPr>
          <w:rFonts w:ascii="Aptos" w:eastAsia="Times New Roman" w:hAnsi="Aptos" w:cs="Times New Roman"/>
          <w:color w:val="0F9ED5"/>
          <w:kern w:val="0"/>
          <w:sz w:val="22"/>
          <w:szCs w:val="22"/>
          <w:lang w:eastAsia="en-GB"/>
          <w14:ligatures w14:val="none"/>
        </w:rPr>
        <w:t> </w:t>
      </w:r>
    </w:p>
    <w:p w14:paraId="5EFAE4C8" w14:textId="77777777" w:rsidR="00803CBD" w:rsidRPr="00803CBD" w:rsidRDefault="00803CBD" w:rsidP="00803CBD">
      <w:pPr>
        <w:shd w:val="clear" w:color="auto" w:fill="FFFFFF"/>
        <w:spacing w:after="0" w:line="240" w:lineRule="auto"/>
        <w:ind w:left="1080"/>
        <w:rPr>
          <w:rFonts w:ascii="Aptos" w:eastAsia="Times New Roman" w:hAnsi="Aptos" w:cs="Times New Roman"/>
          <w:color w:val="000000"/>
          <w:kern w:val="0"/>
          <w:sz w:val="22"/>
          <w:szCs w:val="22"/>
          <w:lang w:eastAsia="en-GB"/>
          <w14:ligatures w14:val="none"/>
        </w:rPr>
      </w:pPr>
      <w:r w:rsidRPr="00803CBD">
        <w:rPr>
          <w:rFonts w:ascii="Aptos" w:eastAsia="Times New Roman" w:hAnsi="Aptos" w:cs="Times New Roman"/>
          <w:color w:val="0F9ED5"/>
          <w:kern w:val="0"/>
          <w:sz w:val="22"/>
          <w:szCs w:val="22"/>
          <w:lang w:eastAsia="en-GB"/>
          <w14:ligatures w14:val="none"/>
        </w:rPr>
        <w:t>We also note that applying an 85% repossession success rate at the individual car level is a conservative approach, as it implicitly assumes that the remaining 15% of vehicles generate no recovery, whereas in practice they would follow the standard recovery process and yield proceeds, albeit lower.</w:t>
      </w:r>
    </w:p>
    <w:p w14:paraId="5A27B33B" w14:textId="77777777" w:rsidR="00803CBD" w:rsidRPr="00803CBD" w:rsidRDefault="00803CBD" w:rsidP="00803CBD">
      <w:pPr>
        <w:shd w:val="clear" w:color="auto" w:fill="FFFFFF"/>
        <w:spacing w:after="0" w:line="240" w:lineRule="auto"/>
        <w:ind w:left="1080"/>
        <w:rPr>
          <w:rFonts w:ascii="Aptos" w:eastAsia="Times New Roman" w:hAnsi="Aptos" w:cs="Times New Roman"/>
          <w:color w:val="000000"/>
          <w:kern w:val="0"/>
          <w:sz w:val="22"/>
          <w:szCs w:val="22"/>
          <w:lang w:eastAsia="en-GB"/>
          <w14:ligatures w14:val="none"/>
        </w:rPr>
      </w:pPr>
      <w:r w:rsidRPr="00803CBD">
        <w:rPr>
          <w:rFonts w:ascii="Aptos" w:eastAsia="Times New Roman" w:hAnsi="Aptos" w:cs="Times New Roman"/>
          <w:color w:val="0F9ED5"/>
          <w:kern w:val="0"/>
          <w:sz w:val="22"/>
          <w:szCs w:val="22"/>
          <w:lang w:eastAsia="en-GB"/>
          <w14:ligatures w14:val="none"/>
        </w:rPr>
        <w:t> </w:t>
      </w:r>
    </w:p>
    <w:p w14:paraId="4013D1D3" w14:textId="77777777" w:rsidR="00803CBD" w:rsidRDefault="00803CBD" w:rsidP="00803CBD">
      <w:pPr>
        <w:shd w:val="clear" w:color="auto" w:fill="FFFFFF"/>
        <w:spacing w:after="0" w:line="240" w:lineRule="auto"/>
        <w:ind w:left="1080"/>
        <w:rPr>
          <w:rFonts w:ascii="Aptos" w:eastAsia="Times New Roman" w:hAnsi="Aptos" w:cs="Times New Roman"/>
          <w:color w:val="0F9ED5"/>
          <w:kern w:val="0"/>
          <w:sz w:val="22"/>
          <w:szCs w:val="22"/>
          <w:lang w:eastAsia="en-GB"/>
          <w14:ligatures w14:val="none"/>
        </w:rPr>
      </w:pPr>
      <w:r w:rsidRPr="00803CBD">
        <w:rPr>
          <w:rFonts w:ascii="Aptos" w:eastAsia="Times New Roman" w:hAnsi="Aptos" w:cs="Times New Roman"/>
          <w:color w:val="0F9ED5"/>
          <w:kern w:val="0"/>
          <w:sz w:val="22"/>
          <w:szCs w:val="22"/>
          <w:lang w:eastAsia="en-GB"/>
          <w14:ligatures w14:val="none"/>
        </w:rPr>
        <w:t>Under these assumptions, the base case results in a discounted LGD of 40%, which is broadly consistent with international benchmarks for collateralized auto loans through repossession (typically in the 30–40% range). The model also includes sensitivity analyses on dealer risk, market risk, repossession success rate, and vehicle value, which show that the economics of repossession remain positive except under extreme stress conditions.</w:t>
      </w:r>
    </w:p>
    <w:p w14:paraId="61F50D70" w14:textId="77777777" w:rsidR="00CF2C19" w:rsidRDefault="00CF2C19" w:rsidP="00803CBD">
      <w:pPr>
        <w:shd w:val="clear" w:color="auto" w:fill="FFFFFF"/>
        <w:spacing w:after="0" w:line="240" w:lineRule="auto"/>
        <w:ind w:left="1080"/>
        <w:rPr>
          <w:rFonts w:ascii="Aptos" w:eastAsia="Times New Roman" w:hAnsi="Aptos" w:cs="Times New Roman"/>
          <w:color w:val="0F9ED5"/>
          <w:kern w:val="0"/>
          <w:sz w:val="22"/>
          <w:szCs w:val="22"/>
          <w:lang w:eastAsia="en-GB"/>
          <w14:ligatures w14:val="none"/>
        </w:rPr>
      </w:pPr>
    </w:p>
    <w:p w14:paraId="605C5CD9" w14:textId="58BC1FCC" w:rsidR="00CF2C19" w:rsidRPr="00803CBD" w:rsidRDefault="00CF2C19" w:rsidP="00803CBD">
      <w:pPr>
        <w:shd w:val="clear" w:color="auto" w:fill="FFFFFF"/>
        <w:spacing w:after="0" w:line="240" w:lineRule="auto"/>
        <w:ind w:left="1080"/>
        <w:rPr>
          <w:rFonts w:ascii="Aptos" w:eastAsia="Times New Roman" w:hAnsi="Aptos" w:cs="Times New Roman"/>
          <w:color w:val="000000"/>
          <w:kern w:val="0"/>
          <w:sz w:val="22"/>
          <w:szCs w:val="22"/>
          <w:lang w:eastAsia="en-GB"/>
          <w14:ligatures w14:val="none"/>
        </w:rPr>
      </w:pPr>
      <w:r>
        <w:rPr>
          <w:rFonts w:ascii="Aptos" w:eastAsia="Times New Roman" w:hAnsi="Aptos" w:cs="Times New Roman"/>
          <w:color w:val="0F9ED5"/>
          <w:kern w:val="0"/>
          <w:sz w:val="22"/>
          <w:szCs w:val="22"/>
          <w:lang w:eastAsia="en-GB"/>
          <w14:ligatures w14:val="none"/>
        </w:rPr>
        <w:t>Again, all major European markets are providing secured loans for new cars and to a certain extent</w:t>
      </w:r>
      <w:r w:rsidR="002021A3">
        <w:rPr>
          <w:rFonts w:ascii="Aptos" w:eastAsia="Times New Roman" w:hAnsi="Aptos" w:cs="Times New Roman"/>
          <w:color w:val="0F9ED5"/>
          <w:kern w:val="0"/>
          <w:sz w:val="22"/>
          <w:szCs w:val="22"/>
          <w:lang w:eastAsia="en-GB"/>
          <w14:ligatures w14:val="none"/>
        </w:rPr>
        <w:t xml:space="preserve"> </w:t>
      </w:r>
      <w:r>
        <w:rPr>
          <w:rFonts w:ascii="Aptos" w:eastAsia="Times New Roman" w:hAnsi="Aptos" w:cs="Times New Roman"/>
          <w:color w:val="0F9ED5"/>
          <w:kern w:val="0"/>
          <w:sz w:val="22"/>
          <w:szCs w:val="22"/>
          <w:lang w:eastAsia="en-GB"/>
          <w14:ligatures w14:val="none"/>
        </w:rPr>
        <w:t>(based on car age) to used cars. This has consistently helped to reduce cost of risk</w:t>
      </w:r>
      <w:r w:rsidR="002021A3">
        <w:rPr>
          <w:rFonts w:ascii="Aptos" w:eastAsia="Times New Roman" w:hAnsi="Aptos" w:cs="Times New Roman"/>
          <w:color w:val="0F9ED5"/>
          <w:kern w:val="0"/>
          <w:sz w:val="22"/>
          <w:szCs w:val="22"/>
          <w:lang w:eastAsia="en-GB"/>
          <w14:ligatures w14:val="none"/>
        </w:rPr>
        <w:t>/ imprve pricing</w:t>
      </w:r>
      <w:r>
        <w:rPr>
          <w:rFonts w:ascii="Aptos" w:eastAsia="Times New Roman" w:hAnsi="Aptos" w:cs="Times New Roman"/>
          <w:color w:val="0F9ED5"/>
          <w:kern w:val="0"/>
          <w:sz w:val="22"/>
          <w:szCs w:val="22"/>
          <w:lang w:eastAsia="en-GB"/>
          <w14:ligatures w14:val="none"/>
        </w:rPr>
        <w:t>. If this approach was deemed unprofitable it would have been stopped by these banks.</w:t>
      </w:r>
    </w:p>
    <w:p w14:paraId="0E53B20B" w14:textId="77777777" w:rsidR="00EF1E5F" w:rsidRDefault="00EF1E5F"/>
    <w:sectPr w:rsidR="00EF1E5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CC227" w14:textId="77777777" w:rsidR="00E5204C" w:rsidRDefault="00E5204C" w:rsidP="00EA53EE">
      <w:pPr>
        <w:spacing w:after="0" w:line="240" w:lineRule="auto"/>
      </w:pPr>
      <w:r>
        <w:separator/>
      </w:r>
    </w:p>
  </w:endnote>
  <w:endnote w:type="continuationSeparator" w:id="0">
    <w:p w14:paraId="6CF0DB2C" w14:textId="77777777" w:rsidR="00E5204C" w:rsidRDefault="00E5204C" w:rsidP="00EA5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C7616" w14:textId="77777777" w:rsidR="00E5204C" w:rsidRDefault="00E5204C" w:rsidP="00EA53EE">
      <w:pPr>
        <w:spacing w:after="0" w:line="240" w:lineRule="auto"/>
      </w:pPr>
      <w:r>
        <w:separator/>
      </w:r>
    </w:p>
  </w:footnote>
  <w:footnote w:type="continuationSeparator" w:id="0">
    <w:p w14:paraId="0C55F861" w14:textId="77777777" w:rsidR="00E5204C" w:rsidRDefault="00E5204C" w:rsidP="00EA53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33F2C"/>
    <w:multiLevelType w:val="multilevel"/>
    <w:tmpl w:val="621E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FF096B"/>
    <w:multiLevelType w:val="multilevel"/>
    <w:tmpl w:val="E21A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091F54"/>
    <w:multiLevelType w:val="multilevel"/>
    <w:tmpl w:val="14AC5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8079640">
    <w:abstractNumId w:val="2"/>
  </w:num>
  <w:num w:numId="2" w16cid:durableId="1961569550">
    <w:abstractNumId w:val="1"/>
  </w:num>
  <w:num w:numId="3" w16cid:durableId="793864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CBD"/>
    <w:rsid w:val="00041CA7"/>
    <w:rsid w:val="00182966"/>
    <w:rsid w:val="001C09A6"/>
    <w:rsid w:val="002021A3"/>
    <w:rsid w:val="0029317C"/>
    <w:rsid w:val="002B0A81"/>
    <w:rsid w:val="003D3E12"/>
    <w:rsid w:val="00803CBD"/>
    <w:rsid w:val="00CF2C19"/>
    <w:rsid w:val="00D80DF4"/>
    <w:rsid w:val="00E5204C"/>
    <w:rsid w:val="00EA53EE"/>
    <w:rsid w:val="00EF1E5F"/>
  </w:rsids>
  <m:mathPr>
    <m:mathFont m:val="Cambria Math"/>
    <m:brkBin m:val="before"/>
    <m:brkBinSub m:val="--"/>
    <m:smallFrac m:val="0"/>
    <m:dispDef/>
    <m:lMargin m:val="0"/>
    <m:rMargin m:val="0"/>
    <m:defJc m:val="centerGroup"/>
    <m:wrapIndent m:val="1440"/>
    <m:intLim m:val="subSup"/>
    <m:naryLim m:val="undOvr"/>
  </m:mathPr>
  <w:themeFontLang w:val="it-V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D761"/>
  <w15:chartTrackingRefBased/>
  <w15:docId w15:val="{2B878AA1-C5FD-C14E-B818-7599F0409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V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C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CBD"/>
    <w:rPr>
      <w:rFonts w:eastAsiaTheme="majorEastAsia" w:cstheme="majorBidi"/>
      <w:color w:val="272727" w:themeColor="text1" w:themeTint="D8"/>
    </w:rPr>
  </w:style>
  <w:style w:type="paragraph" w:styleId="Title">
    <w:name w:val="Title"/>
    <w:basedOn w:val="Normal"/>
    <w:next w:val="Normal"/>
    <w:link w:val="TitleChar"/>
    <w:uiPriority w:val="10"/>
    <w:qFormat/>
    <w:rsid w:val="00803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CBD"/>
    <w:pPr>
      <w:spacing w:before="160"/>
      <w:jc w:val="center"/>
    </w:pPr>
    <w:rPr>
      <w:i/>
      <w:iCs/>
      <w:color w:val="404040" w:themeColor="text1" w:themeTint="BF"/>
    </w:rPr>
  </w:style>
  <w:style w:type="character" w:customStyle="1" w:styleId="QuoteChar">
    <w:name w:val="Quote Char"/>
    <w:basedOn w:val="DefaultParagraphFont"/>
    <w:link w:val="Quote"/>
    <w:uiPriority w:val="29"/>
    <w:rsid w:val="00803CBD"/>
    <w:rPr>
      <w:i/>
      <w:iCs/>
      <w:color w:val="404040" w:themeColor="text1" w:themeTint="BF"/>
    </w:rPr>
  </w:style>
  <w:style w:type="paragraph" w:styleId="ListParagraph">
    <w:name w:val="List Paragraph"/>
    <w:basedOn w:val="Normal"/>
    <w:uiPriority w:val="34"/>
    <w:qFormat/>
    <w:rsid w:val="00803CBD"/>
    <w:pPr>
      <w:ind w:left="720"/>
      <w:contextualSpacing/>
    </w:pPr>
  </w:style>
  <w:style w:type="character" w:styleId="IntenseEmphasis">
    <w:name w:val="Intense Emphasis"/>
    <w:basedOn w:val="DefaultParagraphFont"/>
    <w:uiPriority w:val="21"/>
    <w:qFormat/>
    <w:rsid w:val="00803CBD"/>
    <w:rPr>
      <w:i/>
      <w:iCs/>
      <w:color w:val="0F4761" w:themeColor="accent1" w:themeShade="BF"/>
    </w:rPr>
  </w:style>
  <w:style w:type="paragraph" w:styleId="IntenseQuote">
    <w:name w:val="Intense Quote"/>
    <w:basedOn w:val="Normal"/>
    <w:next w:val="Normal"/>
    <w:link w:val="IntenseQuoteChar"/>
    <w:uiPriority w:val="30"/>
    <w:qFormat/>
    <w:rsid w:val="00803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CBD"/>
    <w:rPr>
      <w:i/>
      <w:iCs/>
      <w:color w:val="0F4761" w:themeColor="accent1" w:themeShade="BF"/>
    </w:rPr>
  </w:style>
  <w:style w:type="character" w:styleId="IntenseReference">
    <w:name w:val="Intense Reference"/>
    <w:basedOn w:val="DefaultParagraphFont"/>
    <w:uiPriority w:val="32"/>
    <w:qFormat/>
    <w:rsid w:val="00803CBD"/>
    <w:rPr>
      <w:b/>
      <w:bCs/>
      <w:smallCaps/>
      <w:color w:val="0F4761" w:themeColor="accent1" w:themeShade="BF"/>
      <w:spacing w:val="5"/>
    </w:rPr>
  </w:style>
  <w:style w:type="paragraph" w:styleId="NormalWeb">
    <w:name w:val="Normal (Web)"/>
    <w:basedOn w:val="Normal"/>
    <w:uiPriority w:val="99"/>
    <w:semiHidden/>
    <w:unhideWhenUsed/>
    <w:rsid w:val="00803CB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03C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ourceSystemTaxHTField xmlns="http://schemas.microsoft.com/sharepoint/v3">
      <Terms xmlns="http://schemas.microsoft.com/office/infopath/2007/PartnerControls">
        <TermInfo xmlns="http://schemas.microsoft.com/office/infopath/2007/PartnerControls">
          <TermName xmlns="http://schemas.microsoft.com/office/infopath/2007/PartnerControls">SPE</TermName>
          <TermId xmlns="http://schemas.microsoft.com/office/infopath/2007/PartnerControls">e1155322-03d8-4904-a51c-d7d7cbd8ca84</TermId>
        </TermInfo>
      </Terms>
    </SourceSystemTaxHTField>
    <DataSourceTaxHTField xmlns="http://schemas.microsoft.com/sharepoint/v3">
      <Terms xmlns="http://schemas.microsoft.com/office/infopath/2007/PartnerControls">
        <TermInfo xmlns="http://schemas.microsoft.com/office/infopath/2007/PartnerControls">
          <TermName xmlns="http://schemas.microsoft.com/office/infopath/2007/PartnerControls">Internal</TermName>
          <TermId xmlns="http://schemas.microsoft.com/office/infopath/2007/PartnerControls">0b10eabc-00d3-4553-8252-f6efa1cda259</TermId>
        </TermInfo>
      </Terms>
    </DataSourceTaxHTField>
    <TaxCatchAll xmlns="68e55bdf-09da-4615-ad05-ac088d173743">
      <Value>2</Value>
      <Value>1</Value>
    </TaxCatchAll>
    <lcf76f155ced4ddcb4097134ff3c332f xmlns="42e4a2d1-7a9a-46f4-96b1-e49f7be52138">
      <Terms xmlns="http://schemas.microsoft.com/office/infopath/2007/PartnerControls"/>
    </lcf76f155ced4ddcb4097134ff3c332f>
    <_dlc_DocId xmlns="68e55bdf-09da-4615-ad05-ac088d173743">HJESJR6M7V5E-708027023-735</_dlc_DocId>
    <_dlc_DocIdUrl xmlns="68e55bdf-09da-4615-ad05-ac088d173743">
      <Url>https://mckinsey.sharepoint.com/sites/spe-int-g3shlooow/_layouts/15/DocIdRedir.aspx?ID=HJESJR6M7V5E-708027023-735</Url>
      <Description>HJESJR6M7V5E-708027023-735</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8A8686E0F17B98438C91AA640C188FFD" ma:contentTypeVersion="13" ma:contentTypeDescription="Create a new document." ma:contentTypeScope="" ma:versionID="a00b06ad32e11f95d2cb64f0cbc4564b">
  <xsd:schema xmlns:xsd="http://www.w3.org/2001/XMLSchema" xmlns:xs="http://www.w3.org/2001/XMLSchema" xmlns:p="http://schemas.microsoft.com/office/2006/metadata/properties" xmlns:ns1="http://schemas.microsoft.com/sharepoint/v3" xmlns:ns2="68e55bdf-09da-4615-ad05-ac088d173743" xmlns:ns3="42e4a2d1-7a9a-46f4-96b1-e49f7be52138" targetNamespace="http://schemas.microsoft.com/office/2006/metadata/properties" ma:root="true" ma:fieldsID="6a26cbd4267670edac215513d8ab14d1" ns1:_="" ns2:_="" ns3:_="">
    <xsd:import namespace="http://schemas.microsoft.com/sharepoint/v3"/>
    <xsd:import namespace="68e55bdf-09da-4615-ad05-ac088d173743"/>
    <xsd:import namespace="42e4a2d1-7a9a-46f4-96b1-e49f7be52138"/>
    <xsd:element name="properties">
      <xsd:complexType>
        <xsd:sequence>
          <xsd:element name="documentManagement">
            <xsd:complexType>
              <xsd:all>
                <xsd:element ref="ns2:_dlc_DocId" minOccurs="0"/>
                <xsd:element ref="ns2:_dlc_DocIdUrl" minOccurs="0"/>
                <xsd:element ref="ns2:_dlc_DocIdPersistId" minOccurs="0"/>
                <xsd:element ref="ns1:SourceSystemTaxHTField" minOccurs="0"/>
                <xsd:element ref="ns2:TaxCatchAll" minOccurs="0"/>
                <xsd:element ref="ns2:TaxCatchAllLabel" minOccurs="0"/>
                <xsd:element ref="ns1:DataSourceTaxHTField"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ourceSystemTaxHTField" ma:index="11" nillable="true" ma:taxonomy="true" ma:internalName="SourceSystemTaxHTField" ma:taxonomyFieldName="SourceSystem" ma:displayName="SourceSystem" ma:default="1;#SPE|e1155322-03d8-4904-a51c-d7d7cbd8ca84" ma:fieldId="{68c22041-dfe3-4104-9745-475326d7dc19}" ma:sspId="c9369470-76d8-40bb-9f83-c9dbb6c0fac8" ma:termSetId="14dc3a28-f268-42f7-8f59-1ae69d4ade2b" ma:anchorId="00000000-0000-0000-0000-000000000000" ma:open="false" ma:isKeyword="false">
      <xsd:complexType>
        <xsd:sequence>
          <xsd:element ref="pc:Terms" minOccurs="0" maxOccurs="1"/>
        </xsd:sequence>
      </xsd:complexType>
    </xsd:element>
    <xsd:element name="DataSourceTaxHTField" ma:index="15" nillable="true" ma:taxonomy="true" ma:internalName="DataSourceTaxHTField" ma:taxonomyFieldName="DataSource" ma:displayName="DataSource" ma:default="2;#Internal|0b10eabc-00d3-4553-8252-f6efa1cda259" ma:fieldId="{e59fb67a-8e6b-4297-9efb-d86ae4d35911}" ma:sspId="c9369470-76d8-40bb-9f83-c9dbb6c0fac8" ma:termSetId="36ddf51e-868c-4a6e-ae2e-8e285ecab47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8e55bdf-09da-4615-ad05-ac088d17374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2" nillable="true" ma:displayName="Taxonomy Catch All Column" ma:hidden="true" ma:list="{6b8d952e-3416-4953-abfd-23de153d5f96}" ma:internalName="TaxCatchAll" ma:showField="CatchAllData" ma:web="68e55bdf-09da-4615-ad05-ac088d173743">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6b8d952e-3416-4953-abfd-23de153d5f96}" ma:internalName="TaxCatchAllLabel" ma:readOnly="true" ma:showField="CatchAllDataLabel" ma:web="68e55bdf-09da-4615-ad05-ac088d17374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2e4a2d1-7a9a-46f4-96b1-e49f7be52138"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8eb3a52-a9ad-454e-96a1-46bb4cd16a89"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A8A814-6176-474C-8FD4-F57AD9C02816}">
  <ds:schemaRefs>
    <ds:schemaRef ds:uri="http://schemas.microsoft.com/office/2006/metadata/properties"/>
    <ds:schemaRef ds:uri="http://schemas.microsoft.com/office/infopath/2007/PartnerControls"/>
    <ds:schemaRef ds:uri="http://schemas.microsoft.com/sharepoint/v3"/>
    <ds:schemaRef ds:uri="68e55bdf-09da-4615-ad05-ac088d173743"/>
    <ds:schemaRef ds:uri="42e4a2d1-7a9a-46f4-96b1-e49f7be52138"/>
  </ds:schemaRefs>
</ds:datastoreItem>
</file>

<file path=customXml/itemProps2.xml><?xml version="1.0" encoding="utf-8"?>
<ds:datastoreItem xmlns:ds="http://schemas.openxmlformats.org/officeDocument/2006/customXml" ds:itemID="{743825B9-D1CE-4467-8726-ACC0101D3114}">
  <ds:schemaRefs>
    <ds:schemaRef ds:uri="http://schemas.microsoft.com/sharepoint/v3/contenttype/forms"/>
  </ds:schemaRefs>
</ds:datastoreItem>
</file>

<file path=customXml/itemProps3.xml><?xml version="1.0" encoding="utf-8"?>
<ds:datastoreItem xmlns:ds="http://schemas.openxmlformats.org/officeDocument/2006/customXml" ds:itemID="{7AA8D2E7-D27E-42C7-B4AB-2BB1775959BD}">
  <ds:schemaRefs>
    <ds:schemaRef ds:uri="http://schemas.microsoft.com/sharepoint/events"/>
  </ds:schemaRefs>
</ds:datastoreItem>
</file>

<file path=customXml/itemProps4.xml><?xml version="1.0" encoding="utf-8"?>
<ds:datastoreItem xmlns:ds="http://schemas.openxmlformats.org/officeDocument/2006/customXml" ds:itemID="{E33BA16A-BC50-484B-8978-AB20C9F90F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8e55bdf-09da-4615-ad05-ac088d173743"/>
    <ds:schemaRef ds:uri="42e4a2d1-7a9a-46f4-96b1-e49f7be521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1752</Words>
  <Characters>9992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Zilahi</dc:creator>
  <cp:keywords/>
  <dc:description/>
  <cp:lastModifiedBy>Marco Agnatica</cp:lastModifiedBy>
  <cp:revision>3</cp:revision>
  <dcterms:created xsi:type="dcterms:W3CDTF">2025-08-29T18:30:00Z</dcterms:created>
  <dcterms:modified xsi:type="dcterms:W3CDTF">2025-09-01T18:11:00Z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0x0101008A8686E0F17B98438C91AA640C188FFD</vt:lpwstr>
  </property>
  <property fmtid="{D5CDD505-2E9C-101B-9397-08002B2CF9AE}" pid="3" name="DataSource">
    <vt:i4>2</vt:i4>
  </property>
  <property fmtid="{D5CDD505-2E9C-101B-9397-08002B2CF9AE}" pid="4" name="_dlc_DocIdItemGuid">
    <vt:lpwstr>180853f4-47f2-4723-a6cf-06bc7f9c52e0</vt:lpwstr>
  </property>
  <property fmtid="{D5CDD505-2E9C-101B-9397-08002B2CF9AE}" pid="5" name="SourceSystem">
    <vt:i4>1</vt:i4>
  </property>
  <property fmtid="{D5CDD505-2E9C-101B-9397-08002B2CF9AE}" pid="6" name="MSIP_Label_83303d7c-e5a3-4cc8-90eb-69bfd7570ac4_Enabled">
    <vt:lpwstr>True</vt:lpwstr>
  </property>
  <property fmtid="{D5CDD505-2E9C-101B-9397-08002B2CF9AE}" pid="7" name="MSIP_Label_83303d7c-e5a3-4cc8-90eb-69bfd7570ac4_SiteId">
    <vt:lpwstr>cc8936bc-9382-4fff-87cb-6f55999549e7</vt:lpwstr>
  </property>
  <property fmtid="{D5CDD505-2E9C-101B-9397-08002B2CF9AE}" pid="8" name="MSIP_Label_83303d7c-e5a3-4cc8-90eb-69bfd7570ac4_SetDate">
    <vt:lpwstr>2025-08-29T18:30:16Z</vt:lpwstr>
  </property>
  <property fmtid="{D5CDD505-2E9C-101B-9397-08002B2CF9AE}" pid="9" name="MSIP_Label_83303d7c-e5a3-4cc8-90eb-69bfd7570ac4_Name">
    <vt:lpwstr>Client Confidential</vt:lpwstr>
  </property>
  <property fmtid="{D5CDD505-2E9C-101B-9397-08002B2CF9AE}" pid="10" name="MSIP_Label_83303d7c-e5a3-4cc8-90eb-69bfd7570ac4_ActionId">
    <vt:lpwstr>0b4a774d-4e47-48fb-bb72-89b19212065f</vt:lpwstr>
  </property>
  <property fmtid="{D5CDD505-2E9C-101B-9397-08002B2CF9AE}" pid="11" name="MSIP_Label_83303d7c-e5a3-4cc8-90eb-69bfd7570ac4_Removed">
    <vt:lpwstr>False</vt:lpwstr>
  </property>
  <property fmtid="{D5CDD505-2E9C-101B-9397-08002B2CF9AE}" pid="12" name="MSIP_Label_83303d7c-e5a3-4cc8-90eb-69bfd7570ac4_Extended_MSFT_Method">
    <vt:lpwstr>Standard</vt:lpwstr>
  </property>
  <property fmtid="{D5CDD505-2E9C-101B-9397-08002B2CF9AE}" pid="13" name="Sensitivity">
    <vt:lpwstr>Client Confidential</vt:lpwstr>
  </property>
</Properties>
</file>