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31A3" w14:textId="1C852CA8" w:rsidR="00EA2B9A" w:rsidRDefault="00EA2B9A">
      <w:r w:rsidRPr="00EA2B9A">
        <w:rPr>
          <w:noProof/>
        </w:rPr>
        <w:drawing>
          <wp:inline distT="0" distB="0" distL="0" distR="0" wp14:anchorId="3C0EF0BD" wp14:editId="15C944B9">
            <wp:extent cx="5274310" cy="3040380"/>
            <wp:effectExtent l="0" t="0" r="2540" b="7620"/>
            <wp:docPr id="12013814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81458" name="Picture 1" descr="A screenshot of a computer screen&#10;&#10;AI-generated content may be incorrect."/>
                    <pic:cNvPicPr/>
                  </pic:nvPicPr>
                  <pic:blipFill>
                    <a:blip r:embed="rId5"/>
                    <a:stretch>
                      <a:fillRect/>
                    </a:stretch>
                  </pic:blipFill>
                  <pic:spPr>
                    <a:xfrm>
                      <a:off x="0" y="0"/>
                      <a:ext cx="5274310" cy="3040380"/>
                    </a:xfrm>
                    <a:prstGeom prst="rect">
                      <a:avLst/>
                    </a:prstGeom>
                  </pic:spPr>
                </pic:pic>
              </a:graphicData>
            </a:graphic>
          </wp:inline>
        </w:drawing>
      </w:r>
    </w:p>
    <w:p w14:paraId="30735B64" w14:textId="6B2792C8" w:rsidR="00EA2B9A" w:rsidRPr="00A3477A" w:rsidRDefault="00EA2B9A" w:rsidP="00EA2B9A">
      <w:pPr>
        <w:spacing w:before="100" w:beforeAutospacing="1" w:after="100" w:afterAutospacing="1" w:line="240" w:lineRule="auto"/>
        <w:rPr>
          <w:rFonts w:ascii="Eurobank Sans" w:eastAsia="Times New Roman" w:hAnsi="Eurobank Sans" w:cs="Times New Roman"/>
          <w:kern w:val="0"/>
          <w:lang w:eastAsia="el-GR"/>
          <w14:ligatures w14:val="none"/>
        </w:rPr>
      </w:pPr>
      <w:r w:rsidRPr="00A3477A">
        <w:rPr>
          <w:rFonts w:ascii="Eurobank Sans" w:eastAsia="Times New Roman" w:hAnsi="Eurobank Sans" w:cs="Times New Roman"/>
          <w:b/>
          <w:bCs/>
          <w:kern w:val="0"/>
          <w:lang w:eastAsia="el-GR"/>
          <w14:ligatures w14:val="none"/>
        </w:rPr>
        <w:t>Total market:</w:t>
      </w:r>
    </w:p>
    <w:p w14:paraId="5485C59F" w14:textId="77777777" w:rsidR="00EA2B9A" w:rsidRPr="00A3477A" w:rsidRDefault="00EA2B9A" w:rsidP="00EA2B9A">
      <w:pPr>
        <w:spacing w:before="100" w:beforeAutospacing="1" w:after="100" w:afterAutospacing="1" w:line="240" w:lineRule="auto"/>
        <w:rPr>
          <w:rFonts w:ascii="Eurobank Sans" w:eastAsia="Times New Roman" w:hAnsi="Eurobank Sans" w:cs="Times New Roman"/>
          <w:kern w:val="0"/>
          <w:lang w:eastAsia="el-GR"/>
          <w14:ligatures w14:val="none"/>
        </w:rPr>
      </w:pPr>
      <w:r w:rsidRPr="00A3477A">
        <w:rPr>
          <w:rFonts w:ascii="Eurobank Sans" w:eastAsia="Times New Roman" w:hAnsi="Eurobank Sans" w:cs="Times New Roman"/>
          <w:kern w:val="0"/>
          <w:lang w:eastAsia="el-GR"/>
          <w14:ligatures w14:val="none"/>
        </w:rPr>
        <w:t xml:space="preserve">Το 2024, η συνολική αγορά χρηματοδότησης αυτοκινήτων στην Ελλάδα αποτιμάται περίπου στα </w:t>
      </w:r>
      <w:r w:rsidRPr="00A3477A">
        <w:rPr>
          <w:rFonts w:ascii="Eurobank Sans" w:eastAsia="Times New Roman" w:hAnsi="Eurobank Sans" w:cs="Times New Roman"/>
          <w:b/>
          <w:bCs/>
          <w:kern w:val="0"/>
          <w:lang w:eastAsia="el-GR"/>
          <w14:ligatures w14:val="none"/>
        </w:rPr>
        <w:t>240 εκατ. ευρώ</w:t>
      </w:r>
      <w:r w:rsidRPr="00A3477A">
        <w:rPr>
          <w:rFonts w:ascii="Eurobank Sans" w:eastAsia="Times New Roman" w:hAnsi="Eurobank Sans" w:cs="Times New Roman"/>
          <w:kern w:val="0"/>
          <w:lang w:eastAsia="el-GR"/>
          <w14:ligatures w14:val="none"/>
        </w:rPr>
        <w:t xml:space="preserve"> σε έσοδα μετά τον κίνδυνο (RAR), με περίπου </w:t>
      </w:r>
      <w:r w:rsidRPr="00A3477A">
        <w:rPr>
          <w:rFonts w:ascii="Eurobank Sans" w:eastAsia="Times New Roman" w:hAnsi="Eurobank Sans" w:cs="Times New Roman"/>
          <w:b/>
          <w:bCs/>
          <w:kern w:val="0"/>
          <w:lang w:eastAsia="el-GR"/>
          <w14:ligatures w14:val="none"/>
        </w:rPr>
        <w:t>287 χιλιάδες αυτοκίνητα</w:t>
      </w:r>
      <w:r w:rsidRPr="00A3477A">
        <w:rPr>
          <w:rFonts w:ascii="Eurobank Sans" w:eastAsia="Times New Roman" w:hAnsi="Eurobank Sans" w:cs="Times New Roman"/>
          <w:kern w:val="0"/>
          <w:lang w:eastAsia="el-GR"/>
          <w14:ligatures w14:val="none"/>
        </w:rPr>
        <w:t>.</w:t>
      </w:r>
    </w:p>
    <w:p w14:paraId="2AFB4ABE" w14:textId="77777777" w:rsidR="00EA2B9A" w:rsidRPr="00A3477A" w:rsidRDefault="00EA2B9A" w:rsidP="00EA2B9A">
      <w:pPr>
        <w:spacing w:before="100" w:beforeAutospacing="1" w:after="100" w:afterAutospacing="1" w:line="240" w:lineRule="auto"/>
        <w:rPr>
          <w:rFonts w:ascii="Eurobank Sans" w:eastAsia="Times New Roman" w:hAnsi="Eurobank Sans" w:cs="Times New Roman"/>
          <w:kern w:val="0"/>
          <w:lang w:eastAsia="el-GR"/>
          <w14:ligatures w14:val="none"/>
        </w:rPr>
      </w:pPr>
      <w:r w:rsidRPr="00A3477A">
        <w:rPr>
          <w:rFonts w:ascii="Eurobank Sans" w:eastAsia="Times New Roman" w:hAnsi="Eurobank Sans" w:cs="Times New Roman"/>
          <w:kern w:val="0"/>
          <w:lang w:eastAsia="el-GR"/>
          <w14:ligatures w14:val="none"/>
        </w:rPr>
        <w:t xml:space="preserve">Έως το 2030, η αγορά αναμένεται να αυξηθεί κατά περίπου </w:t>
      </w:r>
      <w:r w:rsidRPr="00A3477A">
        <w:rPr>
          <w:rFonts w:ascii="Eurobank Sans" w:eastAsia="Times New Roman" w:hAnsi="Eurobank Sans" w:cs="Times New Roman"/>
          <w:b/>
          <w:bCs/>
          <w:kern w:val="0"/>
          <w:lang w:eastAsia="el-GR"/>
          <w14:ligatures w14:val="none"/>
        </w:rPr>
        <w:t>50%</w:t>
      </w:r>
      <w:r w:rsidRPr="00A3477A">
        <w:rPr>
          <w:rFonts w:ascii="Eurobank Sans" w:eastAsia="Times New Roman" w:hAnsi="Eurobank Sans" w:cs="Times New Roman"/>
          <w:kern w:val="0"/>
          <w:lang w:eastAsia="el-GR"/>
          <w14:ligatures w14:val="none"/>
        </w:rPr>
        <w:t xml:space="preserve">, φτάνοντας τα </w:t>
      </w:r>
      <w:r w:rsidRPr="00A3477A">
        <w:rPr>
          <w:rFonts w:ascii="Eurobank Sans" w:eastAsia="Times New Roman" w:hAnsi="Eurobank Sans" w:cs="Times New Roman"/>
          <w:b/>
          <w:bCs/>
          <w:kern w:val="0"/>
          <w:lang w:eastAsia="el-GR"/>
          <w14:ligatures w14:val="none"/>
        </w:rPr>
        <w:t>380 εκατ. ευρώ</w:t>
      </w:r>
      <w:r w:rsidRPr="00A3477A">
        <w:rPr>
          <w:rFonts w:ascii="Eurobank Sans" w:eastAsia="Times New Roman" w:hAnsi="Eurobank Sans" w:cs="Times New Roman"/>
          <w:kern w:val="0"/>
          <w:lang w:eastAsia="el-GR"/>
          <w14:ligatures w14:val="none"/>
        </w:rPr>
        <w:t xml:space="preserve"> και </w:t>
      </w:r>
      <w:r w:rsidRPr="00A3477A">
        <w:rPr>
          <w:rFonts w:ascii="Eurobank Sans" w:eastAsia="Times New Roman" w:hAnsi="Eurobank Sans" w:cs="Times New Roman"/>
          <w:b/>
          <w:bCs/>
          <w:kern w:val="0"/>
          <w:lang w:eastAsia="el-GR"/>
          <w14:ligatures w14:val="none"/>
        </w:rPr>
        <w:t>362 χιλιάδες αυτοκίνητα</w:t>
      </w:r>
      <w:r w:rsidRPr="00A3477A">
        <w:rPr>
          <w:rFonts w:ascii="Eurobank Sans" w:eastAsia="Times New Roman" w:hAnsi="Eurobank Sans" w:cs="Times New Roman"/>
          <w:kern w:val="0"/>
          <w:lang w:eastAsia="el-GR"/>
          <w14:ligatures w14:val="none"/>
        </w:rPr>
        <w:t>, λόγω της αύξησης πωλήσεων και της υψηλότερης διείσδυσης χρηματοδότησης.</w:t>
      </w:r>
    </w:p>
    <w:p w14:paraId="056F16AC" w14:textId="655E3BF4" w:rsidR="00EA2B9A" w:rsidRPr="00A3477A" w:rsidRDefault="00EA2B9A" w:rsidP="00EA2B9A">
      <w:pPr>
        <w:spacing w:before="100" w:beforeAutospacing="1" w:after="100" w:afterAutospacing="1" w:line="240" w:lineRule="auto"/>
        <w:rPr>
          <w:rFonts w:ascii="Eurobank Sans" w:eastAsia="Times New Roman" w:hAnsi="Eurobank Sans" w:cs="Times New Roman"/>
          <w:kern w:val="0"/>
          <w:lang w:eastAsia="el-GR"/>
          <w14:ligatures w14:val="none"/>
        </w:rPr>
      </w:pPr>
      <w:r w:rsidRPr="00A3477A">
        <w:rPr>
          <w:rFonts w:ascii="Eurobank Sans" w:eastAsia="Times New Roman" w:hAnsi="Eurobank Sans" w:cs="Times New Roman"/>
          <w:b/>
          <w:bCs/>
          <w:kern w:val="0"/>
          <w:lang w:eastAsia="el-GR"/>
          <w14:ligatures w14:val="none"/>
        </w:rPr>
        <w:t>Eurobank:</w:t>
      </w:r>
    </w:p>
    <w:p w14:paraId="11C56814" w14:textId="22A93342" w:rsidR="00EA2B9A" w:rsidRPr="00A3477A" w:rsidRDefault="00EA2B9A" w:rsidP="00EA2B9A">
      <w:pPr>
        <w:spacing w:before="100" w:beforeAutospacing="1" w:after="100" w:afterAutospacing="1" w:line="240" w:lineRule="auto"/>
        <w:rPr>
          <w:rFonts w:ascii="Eurobank Sans" w:eastAsia="Times New Roman" w:hAnsi="Eurobank Sans" w:cs="Times New Roman"/>
          <w:kern w:val="0"/>
          <w:lang w:eastAsia="el-GR"/>
          <w14:ligatures w14:val="none"/>
        </w:rPr>
      </w:pPr>
      <w:r w:rsidRPr="00A3477A">
        <w:rPr>
          <w:rFonts w:ascii="Eurobank Sans" w:eastAsia="Times New Roman" w:hAnsi="Eurobank Sans" w:cs="Times New Roman"/>
          <w:kern w:val="0"/>
          <w:lang w:eastAsia="el-GR"/>
          <w14:ligatures w14:val="none"/>
        </w:rPr>
        <w:t xml:space="preserve">Η Eurobank κατέχει </w:t>
      </w:r>
      <w:r w:rsidRPr="00A3477A">
        <w:rPr>
          <w:rFonts w:ascii="Eurobank Sans" w:eastAsia="Times New Roman" w:hAnsi="Eurobank Sans" w:cs="Times New Roman"/>
          <w:b/>
          <w:bCs/>
          <w:kern w:val="0"/>
          <w:lang w:eastAsia="el-GR"/>
          <w14:ligatures w14:val="none"/>
        </w:rPr>
        <w:t>ισχυρή θέση στο retail auto loan μέσω dealers</w:t>
      </w:r>
      <w:r w:rsidRPr="00A3477A">
        <w:rPr>
          <w:rFonts w:ascii="Eurobank Sans" w:eastAsia="Times New Roman" w:hAnsi="Eurobank Sans" w:cs="Times New Roman"/>
          <w:kern w:val="0"/>
          <w:lang w:eastAsia="el-GR"/>
          <w14:ligatures w14:val="none"/>
        </w:rPr>
        <w:t xml:space="preserve">, όπου καλύπτει περίπου το </w:t>
      </w:r>
      <w:r w:rsidRPr="00A3477A">
        <w:rPr>
          <w:rFonts w:ascii="Eurobank Sans" w:eastAsia="Times New Roman" w:hAnsi="Eurobank Sans" w:cs="Times New Roman"/>
          <w:b/>
          <w:bCs/>
          <w:kern w:val="0"/>
          <w:lang w:eastAsia="el-GR"/>
          <w14:ligatures w14:val="none"/>
        </w:rPr>
        <w:t>27% της αξίας</w:t>
      </w:r>
      <w:r w:rsidRPr="00A3477A">
        <w:rPr>
          <w:rFonts w:ascii="Eurobank Sans" w:eastAsia="Times New Roman" w:hAnsi="Eurobank Sans" w:cs="Times New Roman"/>
          <w:kern w:val="0"/>
          <w:lang w:eastAsia="el-GR"/>
          <w14:ligatures w14:val="none"/>
        </w:rPr>
        <w:t xml:space="preserve"> που παράγεται στην</w:t>
      </w:r>
      <w:r w:rsidR="00621DD8" w:rsidRPr="00A3477A">
        <w:rPr>
          <w:rFonts w:ascii="Eurobank Sans" w:eastAsia="Times New Roman" w:hAnsi="Eurobank Sans" w:cs="Times New Roman"/>
          <w:kern w:val="0"/>
          <w:lang w:eastAsia="el-GR"/>
          <w14:ligatures w14:val="none"/>
        </w:rPr>
        <w:t xml:space="preserve"> ‘καρδιά’</w:t>
      </w:r>
      <w:r w:rsidRPr="00A3477A">
        <w:rPr>
          <w:rFonts w:ascii="Eurobank Sans" w:eastAsia="Times New Roman" w:hAnsi="Eurobank Sans" w:cs="Times New Roman"/>
          <w:kern w:val="0"/>
          <w:lang w:eastAsia="el-GR"/>
          <w14:ligatures w14:val="none"/>
        </w:rPr>
        <w:t xml:space="preserve"> της αγοράς (core auto market). Αυτό αντιστοιχεί σε περίπου </w:t>
      </w:r>
      <w:r w:rsidRPr="00A3477A">
        <w:rPr>
          <w:rFonts w:ascii="Eurobank Sans" w:eastAsia="Times New Roman" w:hAnsi="Eurobank Sans" w:cs="Times New Roman"/>
          <w:b/>
          <w:bCs/>
          <w:kern w:val="0"/>
          <w:lang w:eastAsia="el-GR"/>
          <w14:ligatures w14:val="none"/>
        </w:rPr>
        <w:t>50 εκατ. ευρώ</w:t>
      </w:r>
      <w:r w:rsidRPr="00A3477A">
        <w:rPr>
          <w:rFonts w:ascii="Eurobank Sans" w:eastAsia="Times New Roman" w:hAnsi="Eurobank Sans" w:cs="Times New Roman"/>
          <w:kern w:val="0"/>
          <w:lang w:eastAsia="el-GR"/>
          <w14:ligatures w14:val="none"/>
        </w:rPr>
        <w:t xml:space="preserve"> το 2024.</w:t>
      </w:r>
    </w:p>
    <w:p w14:paraId="5D368574" w14:textId="77777777" w:rsidR="00EA2B9A" w:rsidRPr="00A3477A" w:rsidRDefault="00EA2B9A" w:rsidP="00EA2B9A">
      <w:pPr>
        <w:spacing w:before="100" w:beforeAutospacing="1" w:after="100" w:afterAutospacing="1" w:line="240" w:lineRule="auto"/>
        <w:rPr>
          <w:rFonts w:ascii="Eurobank Sans" w:eastAsia="Times New Roman" w:hAnsi="Eurobank Sans" w:cs="Times New Roman"/>
          <w:kern w:val="0"/>
          <w:lang w:eastAsia="el-GR"/>
          <w14:ligatures w14:val="none"/>
        </w:rPr>
      </w:pPr>
      <w:r w:rsidRPr="00A3477A">
        <w:rPr>
          <w:rFonts w:ascii="Eurobank Sans" w:eastAsia="Times New Roman" w:hAnsi="Eurobank Sans" w:cs="Times New Roman"/>
          <w:kern w:val="0"/>
          <w:lang w:eastAsia="el-GR"/>
          <w14:ligatures w14:val="none"/>
        </w:rPr>
        <w:t xml:space="preserve">Ωστόσο, το συνολικό της μερίδιο στην ευρύτερη αγορά χρηματοδότησης αυτοκινήτων είναι χαμηλό, περίπου </w:t>
      </w:r>
      <w:r w:rsidRPr="00A3477A">
        <w:rPr>
          <w:rFonts w:ascii="Eurobank Sans" w:eastAsia="Times New Roman" w:hAnsi="Eurobank Sans" w:cs="Times New Roman"/>
          <w:b/>
          <w:bCs/>
          <w:kern w:val="0"/>
          <w:lang w:eastAsia="el-GR"/>
          <w14:ligatures w14:val="none"/>
        </w:rPr>
        <w:t>8%</w:t>
      </w:r>
      <w:r w:rsidRPr="00A3477A">
        <w:rPr>
          <w:rFonts w:ascii="Eurobank Sans" w:eastAsia="Times New Roman" w:hAnsi="Eurobank Sans" w:cs="Times New Roman"/>
          <w:kern w:val="0"/>
          <w:lang w:eastAsia="el-GR"/>
          <w14:ligatures w14:val="none"/>
        </w:rPr>
        <w:t xml:space="preserve">, επειδή δεν συμμετέχει δυναμικά σε νέες τσέπες ανάπτυξης όπως το </w:t>
      </w:r>
      <w:r w:rsidRPr="00A3477A">
        <w:rPr>
          <w:rFonts w:ascii="Eurobank Sans" w:eastAsia="Times New Roman" w:hAnsi="Eurobank Sans" w:cs="Times New Roman"/>
          <w:b/>
          <w:bCs/>
          <w:kern w:val="0"/>
          <w:lang w:eastAsia="el-GR"/>
          <w14:ligatures w14:val="none"/>
        </w:rPr>
        <w:t>operating leasing</w:t>
      </w:r>
      <w:r w:rsidRPr="00A3477A">
        <w:rPr>
          <w:rFonts w:ascii="Eurobank Sans" w:eastAsia="Times New Roman" w:hAnsi="Eurobank Sans" w:cs="Times New Roman"/>
          <w:kern w:val="0"/>
          <w:lang w:eastAsia="el-GR"/>
          <w14:ligatures w14:val="none"/>
        </w:rPr>
        <w:t xml:space="preserve"> και τα </w:t>
      </w:r>
      <w:r w:rsidRPr="00A3477A">
        <w:rPr>
          <w:rFonts w:ascii="Eurobank Sans" w:eastAsia="Times New Roman" w:hAnsi="Eurobank Sans" w:cs="Times New Roman"/>
          <w:b/>
          <w:bCs/>
          <w:kern w:val="0"/>
          <w:lang w:eastAsia="el-GR"/>
          <w14:ligatures w14:val="none"/>
        </w:rPr>
        <w:t>εταιρικά σχήματα</w:t>
      </w:r>
      <w:r w:rsidRPr="00A3477A">
        <w:rPr>
          <w:rFonts w:ascii="Eurobank Sans" w:eastAsia="Times New Roman" w:hAnsi="Eurobank Sans" w:cs="Times New Roman"/>
          <w:kern w:val="0"/>
          <w:lang w:eastAsia="el-GR"/>
          <w14:ligatures w14:val="none"/>
        </w:rPr>
        <w:t>, όπου κυριαρχούν οι leasing εταιρείες και τα captive finance σχήματα των κατασκευαστών (π.χ. Volkswagen Financial Services, BMW Financial Services, Arval, Ayvens, Hertz Leasing).</w:t>
      </w:r>
    </w:p>
    <w:p w14:paraId="0FAAAA34" w14:textId="77777777" w:rsidR="00EA2B9A" w:rsidRPr="00A3477A" w:rsidRDefault="00EA2B9A" w:rsidP="00EA2B9A">
      <w:pPr>
        <w:spacing w:before="100" w:beforeAutospacing="1" w:after="100" w:afterAutospacing="1" w:line="240" w:lineRule="auto"/>
        <w:rPr>
          <w:rFonts w:ascii="Eurobank Sans" w:eastAsia="Times New Roman" w:hAnsi="Eurobank Sans" w:cs="Times New Roman"/>
          <w:kern w:val="0"/>
          <w:lang w:eastAsia="el-GR"/>
          <w14:ligatures w14:val="none"/>
        </w:rPr>
      </w:pPr>
      <w:r w:rsidRPr="00A3477A">
        <w:rPr>
          <w:rFonts w:ascii="Eurobank Sans" w:eastAsia="Times New Roman" w:hAnsi="Eurobank Sans" w:cs="Times New Roman"/>
          <w:b/>
          <w:bCs/>
          <w:kern w:val="0"/>
          <w:lang w:eastAsia="el-GR"/>
          <w14:ligatures w14:val="none"/>
        </w:rPr>
        <w:t>Ανάλυση του retail segment:</w:t>
      </w:r>
    </w:p>
    <w:p w14:paraId="2150586C" w14:textId="77777777" w:rsidR="00EA2B9A" w:rsidRPr="00A3477A" w:rsidRDefault="00EA2B9A" w:rsidP="00EA2B9A">
      <w:pPr>
        <w:spacing w:before="100" w:beforeAutospacing="1" w:after="100" w:afterAutospacing="1" w:line="240" w:lineRule="auto"/>
        <w:rPr>
          <w:rFonts w:ascii="Eurobank Sans" w:eastAsia="Times New Roman" w:hAnsi="Eurobank Sans" w:cs="Times New Roman"/>
          <w:kern w:val="0"/>
          <w:lang w:eastAsia="el-GR"/>
          <w14:ligatures w14:val="none"/>
        </w:rPr>
      </w:pPr>
      <w:r w:rsidRPr="00A3477A">
        <w:rPr>
          <w:rFonts w:ascii="Eurobank Sans" w:eastAsia="Times New Roman" w:hAnsi="Eurobank Sans" w:cs="Times New Roman"/>
          <w:kern w:val="0"/>
          <w:lang w:eastAsia="el-GR"/>
          <w14:ligatures w14:val="none"/>
        </w:rPr>
        <w:t xml:space="preserve">Το retail τμήμα της αγοράς (ατομικοί πελάτες, ελεύθεροι επαγγελματίες, μικρές εταιρείες) αντιπροσωπεύει περίπου </w:t>
      </w:r>
      <w:r w:rsidRPr="00A3477A">
        <w:rPr>
          <w:rFonts w:ascii="Eurobank Sans" w:eastAsia="Times New Roman" w:hAnsi="Eurobank Sans" w:cs="Times New Roman"/>
          <w:b/>
          <w:bCs/>
          <w:kern w:val="0"/>
          <w:lang w:eastAsia="el-GR"/>
          <w14:ligatures w14:val="none"/>
        </w:rPr>
        <w:t>120 εκατ. ευρώ</w:t>
      </w:r>
      <w:r w:rsidRPr="00A3477A">
        <w:rPr>
          <w:rFonts w:ascii="Eurobank Sans" w:eastAsia="Times New Roman" w:hAnsi="Eurobank Sans" w:cs="Times New Roman"/>
          <w:kern w:val="0"/>
          <w:lang w:eastAsia="el-GR"/>
          <w14:ligatures w14:val="none"/>
        </w:rPr>
        <w:t xml:space="preserve"> σε RAR το 2024, με προοπτική να φτάσει στα </w:t>
      </w:r>
      <w:r w:rsidRPr="00A3477A">
        <w:rPr>
          <w:rFonts w:ascii="Eurobank Sans" w:eastAsia="Times New Roman" w:hAnsi="Eurobank Sans" w:cs="Times New Roman"/>
          <w:b/>
          <w:bCs/>
          <w:kern w:val="0"/>
          <w:lang w:eastAsia="el-GR"/>
          <w14:ligatures w14:val="none"/>
        </w:rPr>
        <w:t>210 εκατ. ευρώ</w:t>
      </w:r>
      <w:r w:rsidRPr="00A3477A">
        <w:rPr>
          <w:rFonts w:ascii="Eurobank Sans" w:eastAsia="Times New Roman" w:hAnsi="Eurobank Sans" w:cs="Times New Roman"/>
          <w:kern w:val="0"/>
          <w:lang w:eastAsia="el-GR"/>
          <w14:ligatures w14:val="none"/>
        </w:rPr>
        <w:t xml:space="preserve"> το 2030.</w:t>
      </w:r>
    </w:p>
    <w:p w14:paraId="225CDE4F" w14:textId="77777777" w:rsidR="00EA2B9A" w:rsidRPr="00A3477A" w:rsidRDefault="00EA2B9A" w:rsidP="00EA2B9A">
      <w:pPr>
        <w:spacing w:before="100" w:beforeAutospacing="1" w:after="100" w:afterAutospacing="1" w:line="240" w:lineRule="auto"/>
        <w:rPr>
          <w:rFonts w:ascii="Eurobank Sans" w:eastAsia="Times New Roman" w:hAnsi="Eurobank Sans" w:cs="Times New Roman"/>
          <w:kern w:val="0"/>
          <w:lang w:eastAsia="el-GR"/>
          <w14:ligatures w14:val="none"/>
        </w:rPr>
      </w:pPr>
      <w:r w:rsidRPr="00A3477A">
        <w:rPr>
          <w:rFonts w:ascii="Eurobank Sans" w:eastAsia="Times New Roman" w:hAnsi="Eurobank Sans" w:cs="Times New Roman"/>
          <w:kern w:val="0"/>
          <w:lang w:eastAsia="el-GR"/>
          <w14:ligatures w14:val="none"/>
        </w:rPr>
        <w:t>Από τα 215 χιλ. αυτοκίνητα που αφορούν το retail το 2024, αναμένεται να αυξηθούν σε περίπου 277 χιλ. το 2030.</w:t>
      </w:r>
    </w:p>
    <w:p w14:paraId="74E47729" w14:textId="77777777" w:rsidR="00A5616C" w:rsidRDefault="00A5616C" w:rsidP="00EA2B9A">
      <w:pPr>
        <w:spacing w:before="100" w:beforeAutospacing="1" w:after="100" w:afterAutospacing="1" w:line="240" w:lineRule="auto"/>
        <w:rPr>
          <w:rFonts w:ascii="Eurobank Sans" w:eastAsia="Times New Roman" w:hAnsi="Eurobank Sans" w:cs="Times New Roman"/>
          <w:b/>
          <w:bCs/>
          <w:kern w:val="0"/>
          <w:lang w:val="en-US" w:eastAsia="el-GR"/>
          <w14:ligatures w14:val="none"/>
        </w:rPr>
      </w:pPr>
    </w:p>
    <w:p w14:paraId="014458ED" w14:textId="77777777" w:rsidR="00A5616C" w:rsidRDefault="00A5616C" w:rsidP="00EA2B9A">
      <w:pPr>
        <w:spacing w:before="100" w:beforeAutospacing="1" w:after="100" w:afterAutospacing="1" w:line="240" w:lineRule="auto"/>
        <w:rPr>
          <w:rFonts w:ascii="Eurobank Sans" w:eastAsia="Times New Roman" w:hAnsi="Eurobank Sans" w:cs="Times New Roman"/>
          <w:b/>
          <w:bCs/>
          <w:kern w:val="0"/>
          <w:lang w:val="en-US" w:eastAsia="el-GR"/>
          <w14:ligatures w14:val="none"/>
        </w:rPr>
      </w:pPr>
    </w:p>
    <w:p w14:paraId="5FC94394" w14:textId="7BBC48DE" w:rsidR="00EA2B9A" w:rsidRPr="00A3477A" w:rsidRDefault="00EA2B9A" w:rsidP="00EA2B9A">
      <w:pPr>
        <w:spacing w:before="100" w:beforeAutospacing="1" w:after="100" w:afterAutospacing="1" w:line="240" w:lineRule="auto"/>
        <w:rPr>
          <w:rFonts w:ascii="Eurobank Sans" w:eastAsia="Times New Roman" w:hAnsi="Eurobank Sans" w:cs="Times New Roman"/>
          <w:kern w:val="0"/>
          <w:lang w:eastAsia="el-GR"/>
          <w14:ligatures w14:val="none"/>
        </w:rPr>
      </w:pPr>
      <w:r w:rsidRPr="00A3477A">
        <w:rPr>
          <w:rFonts w:ascii="Eurobank Sans" w:eastAsia="Times New Roman" w:hAnsi="Eurobank Sans" w:cs="Times New Roman"/>
          <w:b/>
          <w:bCs/>
          <w:kern w:val="0"/>
          <w:lang w:eastAsia="el-GR"/>
          <w14:ligatures w14:val="none"/>
        </w:rPr>
        <w:lastRenderedPageBreak/>
        <w:t>Βασικά insights:</w:t>
      </w:r>
    </w:p>
    <w:p w14:paraId="47327E86" w14:textId="77777777" w:rsidR="00EA2B9A" w:rsidRPr="00A3477A" w:rsidRDefault="00EA2B9A" w:rsidP="00EA2B9A">
      <w:pPr>
        <w:spacing w:before="100" w:beforeAutospacing="1" w:after="100" w:afterAutospacing="1" w:line="240" w:lineRule="auto"/>
        <w:rPr>
          <w:rFonts w:ascii="Eurobank Sans" w:eastAsia="Times New Roman" w:hAnsi="Eurobank Sans" w:cs="Times New Roman"/>
          <w:kern w:val="0"/>
          <w:lang w:eastAsia="el-GR"/>
          <w14:ligatures w14:val="none"/>
        </w:rPr>
      </w:pPr>
      <w:r w:rsidRPr="00A3477A">
        <w:rPr>
          <w:rFonts w:ascii="Eurobank Sans" w:eastAsia="Times New Roman" w:hAnsi="Eurobank Sans" w:cs="Times New Roman"/>
          <w:b/>
          <w:bCs/>
          <w:kern w:val="0"/>
          <w:lang w:eastAsia="el-GR"/>
          <w14:ligatures w14:val="none"/>
        </w:rPr>
        <w:t>2024:</w:t>
      </w:r>
      <w:r w:rsidRPr="00A3477A">
        <w:rPr>
          <w:rFonts w:ascii="Eurobank Sans" w:eastAsia="Times New Roman" w:hAnsi="Eurobank Sans" w:cs="Times New Roman"/>
          <w:kern w:val="0"/>
          <w:lang w:eastAsia="el-GR"/>
          <w14:ligatures w14:val="none"/>
        </w:rPr>
        <w:t xml:space="preserve"> Η Eurobank είναι πολύ ισχυρή στα παραδοσιακά δάνεια μέσω εμπόρων (dealer loans), αλλά δεν συμμετέχει αρκετά στις νέες μορφές χρηματοδότησης. Έτσι, ενώ έχει </w:t>
      </w:r>
      <w:r w:rsidRPr="00A3477A">
        <w:rPr>
          <w:rFonts w:ascii="Eurobank Sans" w:eastAsia="Times New Roman" w:hAnsi="Eurobank Sans" w:cs="Times New Roman"/>
          <w:b/>
          <w:bCs/>
          <w:kern w:val="0"/>
          <w:lang w:eastAsia="el-GR"/>
          <w14:ligatures w14:val="none"/>
        </w:rPr>
        <w:t>27% του core retail</w:t>
      </w:r>
      <w:r w:rsidRPr="00A3477A">
        <w:rPr>
          <w:rFonts w:ascii="Eurobank Sans" w:eastAsia="Times New Roman" w:hAnsi="Eurobank Sans" w:cs="Times New Roman"/>
          <w:kern w:val="0"/>
          <w:lang w:eastAsia="el-GR"/>
          <w14:ligatures w14:val="none"/>
        </w:rPr>
        <w:t>, συνολικά βρίσκεται κάτω από 10% της αγοράς.</w:t>
      </w:r>
    </w:p>
    <w:p w14:paraId="772CBAE2" w14:textId="77777777" w:rsidR="00EA2B9A" w:rsidRPr="00A3477A" w:rsidRDefault="00EA2B9A" w:rsidP="00EA2B9A">
      <w:pPr>
        <w:spacing w:before="100" w:beforeAutospacing="1" w:after="100" w:afterAutospacing="1" w:line="240" w:lineRule="auto"/>
        <w:rPr>
          <w:rFonts w:ascii="Eurobank Sans" w:eastAsia="Times New Roman" w:hAnsi="Eurobank Sans" w:cs="Times New Roman"/>
          <w:kern w:val="0"/>
          <w:lang w:eastAsia="el-GR"/>
          <w14:ligatures w14:val="none"/>
        </w:rPr>
      </w:pPr>
      <w:r w:rsidRPr="00A3477A">
        <w:rPr>
          <w:rFonts w:ascii="Eurobank Sans" w:eastAsia="Times New Roman" w:hAnsi="Eurobank Sans" w:cs="Times New Roman"/>
          <w:b/>
          <w:bCs/>
          <w:kern w:val="0"/>
          <w:lang w:eastAsia="el-GR"/>
          <w14:ligatures w14:val="none"/>
        </w:rPr>
        <w:t>2030:</w:t>
      </w:r>
      <w:r w:rsidRPr="00A3477A">
        <w:rPr>
          <w:rFonts w:ascii="Eurobank Sans" w:eastAsia="Times New Roman" w:hAnsi="Eurobank Sans" w:cs="Times New Roman"/>
          <w:kern w:val="0"/>
          <w:lang w:eastAsia="el-GR"/>
          <w14:ligatures w14:val="none"/>
        </w:rPr>
        <w:t xml:space="preserve"> Η αγορά αναμένεται να μεγαλώσει σημαντικά (+50%), και αυτό δημιουργεί ευκαιρία για τη Eurobank να επεκτείνει το αποτύπωμά της πέρα από τα παραδοσιακά δάνεια, ιδίως στο </w:t>
      </w:r>
      <w:r w:rsidRPr="00A3477A">
        <w:rPr>
          <w:rFonts w:ascii="Eurobank Sans" w:eastAsia="Times New Roman" w:hAnsi="Eurobank Sans" w:cs="Times New Roman"/>
          <w:b/>
          <w:bCs/>
          <w:kern w:val="0"/>
          <w:lang w:eastAsia="el-GR"/>
          <w14:ligatures w14:val="none"/>
        </w:rPr>
        <w:t>leasing</w:t>
      </w:r>
      <w:r w:rsidRPr="00A3477A">
        <w:rPr>
          <w:rFonts w:ascii="Eurobank Sans" w:eastAsia="Times New Roman" w:hAnsi="Eurobank Sans" w:cs="Times New Roman"/>
          <w:kern w:val="0"/>
          <w:lang w:eastAsia="el-GR"/>
          <w14:ligatures w14:val="none"/>
        </w:rPr>
        <w:t xml:space="preserve"> και στα </w:t>
      </w:r>
      <w:r w:rsidRPr="00A3477A">
        <w:rPr>
          <w:rFonts w:ascii="Eurobank Sans" w:eastAsia="Times New Roman" w:hAnsi="Eurobank Sans" w:cs="Times New Roman"/>
          <w:b/>
          <w:bCs/>
          <w:kern w:val="0"/>
          <w:lang w:eastAsia="el-GR"/>
          <w14:ligatures w14:val="none"/>
        </w:rPr>
        <w:t>εταιρικά σχήματα</w:t>
      </w:r>
      <w:r w:rsidRPr="00A3477A">
        <w:rPr>
          <w:rFonts w:ascii="Eurobank Sans" w:eastAsia="Times New Roman" w:hAnsi="Eurobank Sans" w:cs="Times New Roman"/>
          <w:kern w:val="0"/>
          <w:lang w:eastAsia="el-GR"/>
          <w14:ligatures w14:val="none"/>
        </w:rPr>
        <w:t>.</w:t>
      </w:r>
    </w:p>
    <w:p w14:paraId="350D2B4E" w14:textId="04914465" w:rsidR="00EA2B9A" w:rsidRPr="00A3477A" w:rsidRDefault="00EA2B9A" w:rsidP="00EA2B9A">
      <w:pPr>
        <w:spacing w:before="100" w:beforeAutospacing="1" w:after="100" w:afterAutospacing="1" w:line="240" w:lineRule="auto"/>
        <w:rPr>
          <w:rFonts w:ascii="Eurobank Sans" w:eastAsia="Times New Roman" w:hAnsi="Eurobank Sans" w:cs="Times New Roman"/>
          <w:kern w:val="0"/>
          <w:lang w:eastAsia="el-GR"/>
          <w14:ligatures w14:val="none"/>
        </w:rPr>
      </w:pPr>
      <w:r w:rsidRPr="00A3477A">
        <w:rPr>
          <w:rFonts w:ascii="Eurobank Sans" w:eastAsia="Times New Roman" w:hAnsi="Eurobank Sans" w:cs="Times New Roman"/>
          <w:b/>
          <w:bCs/>
          <w:kern w:val="0"/>
          <w:lang w:val="en-US" w:eastAsia="el-GR"/>
          <w14:ligatures w14:val="none"/>
        </w:rPr>
        <w:t>Pocket</w:t>
      </w:r>
      <w:r w:rsidRPr="00A3477A">
        <w:rPr>
          <w:rFonts w:ascii="Eurobank Sans" w:eastAsia="Times New Roman" w:hAnsi="Eurobank Sans" w:cs="Times New Roman"/>
          <w:b/>
          <w:bCs/>
          <w:kern w:val="0"/>
          <w:lang w:eastAsia="el-GR"/>
          <w14:ligatures w14:val="none"/>
        </w:rPr>
        <w:t xml:space="preserve"> </w:t>
      </w:r>
      <w:r w:rsidRPr="00A3477A">
        <w:rPr>
          <w:rFonts w:ascii="Eurobank Sans" w:eastAsia="Times New Roman" w:hAnsi="Eurobank Sans" w:cs="Times New Roman"/>
          <w:b/>
          <w:bCs/>
          <w:kern w:val="0"/>
          <w:lang w:val="en-US" w:eastAsia="el-GR"/>
          <w14:ligatures w14:val="none"/>
        </w:rPr>
        <w:t>of</w:t>
      </w:r>
      <w:r w:rsidRPr="00A3477A">
        <w:rPr>
          <w:rFonts w:ascii="Eurobank Sans" w:eastAsia="Times New Roman" w:hAnsi="Eurobank Sans" w:cs="Times New Roman"/>
          <w:b/>
          <w:bCs/>
          <w:kern w:val="0"/>
          <w:lang w:eastAsia="el-GR"/>
          <w14:ligatures w14:val="none"/>
        </w:rPr>
        <w:t xml:space="preserve"> </w:t>
      </w:r>
      <w:r w:rsidRPr="00A3477A">
        <w:rPr>
          <w:rFonts w:ascii="Eurobank Sans" w:eastAsia="Times New Roman" w:hAnsi="Eurobank Sans" w:cs="Times New Roman"/>
          <w:b/>
          <w:bCs/>
          <w:kern w:val="0"/>
          <w:lang w:val="en-US" w:eastAsia="el-GR"/>
          <w14:ligatures w14:val="none"/>
        </w:rPr>
        <w:t>growth</w:t>
      </w:r>
      <w:r w:rsidRPr="00A3477A">
        <w:rPr>
          <w:rFonts w:ascii="Eurobank Sans" w:eastAsia="Times New Roman" w:hAnsi="Eurobank Sans" w:cs="Times New Roman"/>
          <w:b/>
          <w:bCs/>
          <w:kern w:val="0"/>
          <w:lang w:eastAsia="el-GR"/>
          <w14:ligatures w14:val="none"/>
        </w:rPr>
        <w:t xml:space="preserve">: </w:t>
      </w:r>
      <w:proofErr w:type="gramStart"/>
      <w:r w:rsidR="00664964" w:rsidRPr="00A3477A">
        <w:rPr>
          <w:rFonts w:ascii="Eurobank Sans" w:eastAsia="Times New Roman" w:hAnsi="Eurobank Sans" w:cs="Times New Roman"/>
          <w:kern w:val="0"/>
          <w:lang w:val="en-US" w:eastAsia="el-GR"/>
          <w14:ligatures w14:val="none"/>
        </w:rPr>
        <w:t>H</w:t>
      </w:r>
      <w:r w:rsidRPr="00A3477A">
        <w:rPr>
          <w:rFonts w:ascii="Eurobank Sans" w:eastAsia="Times New Roman" w:hAnsi="Eurobank Sans" w:cs="Times New Roman"/>
          <w:kern w:val="0"/>
          <w:lang w:eastAsia="el-GR"/>
          <w14:ligatures w14:val="none"/>
        </w:rPr>
        <w:t xml:space="preserve"> συνολική αγορά χρηματοδότησης αυτοκινήτων αναμένεται να αυξηθεί κατά 50% μέχρι το</w:t>
      </w:r>
      <w:proofErr w:type="gramEnd"/>
      <w:r w:rsidRPr="00A3477A">
        <w:rPr>
          <w:rFonts w:ascii="Eurobank Sans" w:eastAsia="Times New Roman" w:hAnsi="Eurobank Sans" w:cs="Times New Roman"/>
          <w:kern w:val="0"/>
          <w:lang w:eastAsia="el-GR"/>
          <w14:ligatures w14:val="none"/>
        </w:rPr>
        <w:t xml:space="preserve"> 2030, φτάνοντας τα 380 εκατ. ευρώ, με περισσότερες πωλήσεις και μεγαλύτερη χρηματοδοτική διείσδυση. Αυτό σημαίνει ότι υπάρχει σημαντικό περιθώριο ανάπτυξης για την τράπεζα, αν διευρύνουμε τη δραστηριότητά μας και σε αυτούς τους νέους τομείς που παρουσιάζουν την μεγαλύτερη ανάπτυξη.  </w:t>
      </w:r>
    </w:p>
    <w:p w14:paraId="6102ADF7" w14:textId="3D68F6AC" w:rsidR="00A3477A" w:rsidRPr="00A3477A" w:rsidRDefault="00A3477A" w:rsidP="00EA2B9A">
      <w:pPr>
        <w:spacing w:before="100" w:beforeAutospacing="1" w:after="100" w:afterAutospacing="1" w:line="240" w:lineRule="auto"/>
        <w:rPr>
          <w:rFonts w:ascii="Eurobank Sans" w:eastAsia="Times New Roman" w:hAnsi="Eurobank Sans" w:cs="Times New Roman"/>
          <w:kern w:val="0"/>
          <w:lang w:eastAsia="el-GR"/>
          <w14:ligatures w14:val="none"/>
        </w:rPr>
      </w:pPr>
      <w:r w:rsidRPr="00A3477A">
        <w:rPr>
          <w:rFonts w:ascii="Eurobank Sans" w:eastAsia="Times New Roman" w:hAnsi="Eurobank Sans" w:cs="Times New Roman"/>
          <w:kern w:val="0"/>
          <w:lang w:eastAsia="el-GR"/>
          <w14:ligatures w14:val="none"/>
        </w:rPr>
        <w:t>--------------------------------------------------------------------------------------------</w:t>
      </w:r>
    </w:p>
    <w:p w14:paraId="754456BB" w14:textId="45816F1B" w:rsidR="00A3477A" w:rsidRPr="00A3477A" w:rsidRDefault="00A3477A" w:rsidP="00A3477A">
      <w:pPr>
        <w:spacing w:before="100" w:beforeAutospacing="1" w:after="100" w:afterAutospacing="1" w:line="240" w:lineRule="auto"/>
        <w:rPr>
          <w:rFonts w:ascii="Eurobank Sans" w:eastAsia="Times New Roman" w:hAnsi="Eurobank Sans" w:cs="Times New Roman"/>
          <w:kern w:val="0"/>
          <w:lang w:eastAsia="el-GR"/>
          <w14:ligatures w14:val="none"/>
        </w:rPr>
      </w:pPr>
      <w:r>
        <w:rPr>
          <w:rFonts w:ascii="Eurobank Sans" w:eastAsia="Times New Roman" w:hAnsi="Eurobank Sans" w:cs="Times New Roman"/>
          <w:kern w:val="0"/>
          <w:lang w:eastAsia="el-GR"/>
          <w14:ligatures w14:val="none"/>
        </w:rPr>
        <w:t>Δ</w:t>
      </w:r>
      <w:r w:rsidRPr="00A3477A">
        <w:rPr>
          <w:rFonts w:ascii="Eurobank Sans" w:eastAsia="Times New Roman" w:hAnsi="Eurobank Sans" w:cs="Times New Roman"/>
          <w:kern w:val="0"/>
          <w:lang w:eastAsia="el-GR"/>
          <w14:ligatures w14:val="none"/>
        </w:rPr>
        <w:t>ημιουργία μιας ολοκληρωμένης και αυτόνομης επιχειρησιακής μονάδας που θα ασχολείται αποκλειστικά με τη χρηματοδότηση αυτοκινήτων. Αυτή η μονάδα θα έχει πλήρη ευθύνη για όλο τον κύκλο ζωής του προϊόντος (από τη στρατηγική έως τα οικονομικά αποτελέσματα), γεγονός που επιτρέπει ταχύτερη λήψη αποφάσεων, μεγαλύτερη ευελιξία και καλύτερη προσαρμογή στις ανάγκες της αγοράς.</w:t>
      </w:r>
    </w:p>
    <w:p w14:paraId="65EED2D4" w14:textId="4A243237" w:rsidR="00A3477A" w:rsidRPr="00A5616C" w:rsidRDefault="00A3477A" w:rsidP="00A3477A">
      <w:pPr>
        <w:spacing w:before="100" w:beforeAutospacing="1" w:after="100" w:afterAutospacing="1" w:line="240" w:lineRule="auto"/>
        <w:rPr>
          <w:rFonts w:ascii="Eurobank Sans" w:eastAsia="Times New Roman" w:hAnsi="Eurobank Sans" w:cs="Times New Roman"/>
          <w:kern w:val="0"/>
          <w:lang w:eastAsia="el-GR"/>
          <w14:ligatures w14:val="none"/>
        </w:rPr>
      </w:pPr>
      <w:r>
        <w:rPr>
          <w:rFonts w:ascii="Eurobank Sans" w:eastAsia="Times New Roman" w:hAnsi="Eurobank Sans" w:cs="Times New Roman"/>
          <w:kern w:val="0"/>
          <w:lang w:eastAsia="el-GR"/>
          <w14:ligatures w14:val="none"/>
        </w:rPr>
        <w:t>Σ</w:t>
      </w:r>
      <w:r w:rsidRPr="00A3477A">
        <w:rPr>
          <w:rFonts w:ascii="Eurobank Sans" w:eastAsia="Times New Roman" w:hAnsi="Eurobank Sans" w:cs="Times New Roman"/>
          <w:kern w:val="0"/>
          <w:lang w:eastAsia="el-GR"/>
          <w14:ligatures w14:val="none"/>
        </w:rPr>
        <w:t>υνεργασία σε ανώτατο επίπεδο διοίκησης, με τη δημιουργία ειδικών επιτροπών που θα διασφαλίζουν τον έλεγχο και τη λογοδοσία, ενώ τονίζεται και η δυνατότητα διεθνούς επέκτασης, ειδικά στον τομέα του leasing.</w:t>
      </w:r>
      <w:r>
        <w:rPr>
          <w:rFonts w:ascii="Eurobank Sans" w:eastAsia="Times New Roman" w:hAnsi="Eurobank Sans" w:cs="Times New Roman"/>
          <w:kern w:val="0"/>
          <w:lang w:eastAsia="el-GR"/>
          <w14:ligatures w14:val="none"/>
        </w:rPr>
        <w:t xml:space="preserve"> </w:t>
      </w:r>
      <w:r w:rsidRPr="00A3477A">
        <w:rPr>
          <w:rFonts w:ascii="Eurobank Sans" w:eastAsia="Times New Roman" w:hAnsi="Eurobank Sans" w:cs="Times New Roman"/>
          <w:kern w:val="0"/>
          <w:lang w:eastAsia="el-GR"/>
          <w14:ligatures w14:val="none"/>
        </w:rPr>
        <w:t xml:space="preserve">Εν ολίγοις, </w:t>
      </w:r>
      <w:r>
        <w:rPr>
          <w:rFonts w:ascii="Eurobank Sans" w:eastAsia="Times New Roman" w:hAnsi="Eurobank Sans" w:cs="Times New Roman"/>
          <w:kern w:val="0"/>
          <w:lang w:eastAsia="el-GR"/>
          <w14:ligatures w14:val="none"/>
        </w:rPr>
        <w:t xml:space="preserve">ζωτικής </w:t>
      </w:r>
      <w:r w:rsidRPr="00A3477A">
        <w:rPr>
          <w:rFonts w:ascii="Eurobank Sans" w:eastAsia="Times New Roman" w:hAnsi="Eurobank Sans" w:cs="Times New Roman"/>
          <w:kern w:val="0"/>
          <w:lang w:eastAsia="el-GR"/>
          <w14:ligatures w14:val="none"/>
        </w:rPr>
        <w:t>σημασία</w:t>
      </w:r>
      <w:r>
        <w:rPr>
          <w:rFonts w:ascii="Eurobank Sans" w:eastAsia="Times New Roman" w:hAnsi="Eurobank Sans" w:cs="Times New Roman"/>
          <w:kern w:val="0"/>
          <w:lang w:eastAsia="el-GR"/>
          <w14:ligatures w14:val="none"/>
        </w:rPr>
        <w:t>ς</w:t>
      </w:r>
      <w:r w:rsidRPr="00A3477A">
        <w:rPr>
          <w:rFonts w:ascii="Eurobank Sans" w:eastAsia="Times New Roman" w:hAnsi="Eurobank Sans" w:cs="Times New Roman"/>
          <w:kern w:val="0"/>
          <w:lang w:eastAsia="el-GR"/>
          <w14:ligatures w14:val="none"/>
        </w:rPr>
        <w:t xml:space="preserve"> </w:t>
      </w:r>
      <w:r>
        <w:rPr>
          <w:rFonts w:ascii="Eurobank Sans" w:eastAsia="Times New Roman" w:hAnsi="Eurobank Sans" w:cs="Times New Roman"/>
          <w:kern w:val="0"/>
          <w:lang w:eastAsia="el-GR"/>
          <w14:ligatures w14:val="none"/>
        </w:rPr>
        <w:t xml:space="preserve">η </w:t>
      </w:r>
      <w:r w:rsidRPr="00A3477A">
        <w:rPr>
          <w:rFonts w:ascii="Eurobank Sans" w:eastAsia="Times New Roman" w:hAnsi="Eurobank Sans" w:cs="Times New Roman"/>
          <w:kern w:val="0"/>
          <w:lang w:eastAsia="el-GR"/>
          <w14:ligatures w14:val="none"/>
        </w:rPr>
        <w:t>οργανωτικής αναδιάρθρωσης για να καταστεί η εταιρεία πιο ανταγωνιστική, ευέλικτη και παγκόσμια κλιμακούμενη στον τομέα της χρηματοδότησης αυτοκινήτων.</w:t>
      </w:r>
    </w:p>
    <w:p w14:paraId="689A110A" w14:textId="77777777" w:rsidR="00A46895" w:rsidRPr="00A5616C" w:rsidRDefault="00A46895" w:rsidP="00A3477A">
      <w:pPr>
        <w:spacing w:before="100" w:beforeAutospacing="1" w:after="100" w:afterAutospacing="1" w:line="240" w:lineRule="auto"/>
        <w:rPr>
          <w:rFonts w:ascii="Eurobank Sans" w:eastAsia="Times New Roman" w:hAnsi="Eurobank Sans" w:cs="Times New Roman"/>
          <w:kern w:val="0"/>
          <w:lang w:eastAsia="el-GR"/>
          <w14:ligatures w14:val="none"/>
        </w:rPr>
      </w:pPr>
    </w:p>
    <w:p w14:paraId="771BA3BC" w14:textId="55945543" w:rsidR="00A5616C" w:rsidRPr="00A5616C" w:rsidRDefault="00A5616C" w:rsidP="00A5616C">
      <w:pPr>
        <w:numPr>
          <w:ilvl w:val="0"/>
          <w:numId w:val="2"/>
        </w:numPr>
        <w:spacing w:before="100" w:beforeAutospacing="1" w:after="100" w:afterAutospacing="1" w:line="240" w:lineRule="auto"/>
        <w:rPr>
          <w:rFonts w:ascii="Eurobank Sans" w:eastAsia="Times New Roman" w:hAnsi="Eurobank Sans" w:cs="Times New Roman"/>
          <w:kern w:val="0"/>
          <w:lang w:eastAsia="el-GR"/>
          <w14:ligatures w14:val="none"/>
        </w:rPr>
      </w:pPr>
      <w:r w:rsidRPr="00A5616C">
        <w:rPr>
          <w:rFonts w:ascii="Eurobank Sans" w:eastAsia="Times New Roman" w:hAnsi="Eurobank Sans" w:cs="Times New Roman"/>
          <w:b/>
          <w:bCs/>
          <w:kern w:val="0"/>
          <w:lang w:eastAsia="el-GR"/>
          <w14:ligatures w14:val="none"/>
        </w:rPr>
        <w:t>Αιτήσεις Δανείων</w:t>
      </w:r>
      <w:r w:rsidRPr="00A5616C">
        <w:rPr>
          <w:rFonts w:ascii="Eurobank Sans" w:eastAsia="Times New Roman" w:hAnsi="Eurobank Sans" w:cs="Times New Roman"/>
          <w:kern w:val="0"/>
          <w:lang w:eastAsia="el-GR"/>
          <w14:ligatures w14:val="none"/>
        </w:rPr>
        <w:t xml:space="preserve">: μείωση </w:t>
      </w:r>
      <w:r>
        <w:rPr>
          <w:rFonts w:ascii="Eurobank Sans" w:eastAsia="Times New Roman" w:hAnsi="Eurobank Sans" w:cs="Times New Roman"/>
          <w:kern w:val="0"/>
          <w:lang w:eastAsia="el-GR"/>
          <w14:ligatures w14:val="none"/>
        </w:rPr>
        <w:t>από</w:t>
      </w:r>
      <w:r w:rsidRPr="00A5616C">
        <w:rPr>
          <w:rFonts w:ascii="Eurobank Sans" w:eastAsia="Times New Roman" w:hAnsi="Eurobank Sans" w:cs="Times New Roman"/>
          <w:kern w:val="0"/>
          <w:lang w:eastAsia="el-GR"/>
          <w14:ligatures w14:val="none"/>
        </w:rPr>
        <w:t xml:space="preserve"> </w:t>
      </w:r>
      <w:r w:rsidRPr="00A5616C">
        <w:rPr>
          <w:rFonts w:ascii="Eurobank Sans" w:eastAsia="Times New Roman" w:hAnsi="Eurobank Sans" w:cs="Times New Roman"/>
          <w:b/>
          <w:bCs/>
          <w:kern w:val="0"/>
          <w:lang w:eastAsia="el-GR"/>
          <w14:ligatures w14:val="none"/>
        </w:rPr>
        <w:t>10.2 χιλ. το 2021</w:t>
      </w:r>
      <w:r w:rsidRPr="00A5616C">
        <w:rPr>
          <w:rFonts w:ascii="Eurobank Sans" w:eastAsia="Times New Roman" w:hAnsi="Eurobank Sans" w:cs="Times New Roman"/>
          <w:kern w:val="0"/>
          <w:lang w:eastAsia="el-GR"/>
          <w14:ligatures w14:val="none"/>
        </w:rPr>
        <w:t xml:space="preserve"> σε </w:t>
      </w:r>
      <w:r w:rsidRPr="00A5616C">
        <w:rPr>
          <w:rFonts w:ascii="Eurobank Sans" w:eastAsia="Times New Roman" w:hAnsi="Eurobank Sans" w:cs="Times New Roman"/>
          <w:b/>
          <w:bCs/>
          <w:kern w:val="0"/>
          <w:lang w:eastAsia="el-GR"/>
          <w14:ligatures w14:val="none"/>
        </w:rPr>
        <w:t>8.9 χιλ. το 2024</w:t>
      </w:r>
      <w:r w:rsidRPr="00A5616C">
        <w:rPr>
          <w:rFonts w:ascii="Eurobank Sans" w:eastAsia="Times New Roman" w:hAnsi="Eurobank Sans" w:cs="Times New Roman"/>
          <w:kern w:val="0"/>
          <w:lang w:eastAsia="el-GR"/>
          <w14:ligatures w14:val="none"/>
        </w:rPr>
        <w:t>.</w:t>
      </w:r>
    </w:p>
    <w:p w14:paraId="7A655509" w14:textId="53F50B3D" w:rsidR="00A5616C" w:rsidRPr="00A5616C" w:rsidRDefault="00A5616C" w:rsidP="00A5616C">
      <w:pPr>
        <w:numPr>
          <w:ilvl w:val="0"/>
          <w:numId w:val="2"/>
        </w:numPr>
        <w:spacing w:before="100" w:beforeAutospacing="1" w:after="100" w:afterAutospacing="1" w:line="240" w:lineRule="auto"/>
        <w:rPr>
          <w:rFonts w:ascii="Eurobank Sans" w:eastAsia="Times New Roman" w:hAnsi="Eurobank Sans" w:cs="Times New Roman"/>
          <w:kern w:val="0"/>
          <w:lang w:eastAsia="el-GR"/>
          <w14:ligatures w14:val="none"/>
        </w:rPr>
      </w:pPr>
      <w:r w:rsidRPr="00A5616C">
        <w:rPr>
          <w:rFonts w:ascii="Eurobank Sans" w:eastAsia="Times New Roman" w:hAnsi="Eurobank Sans" w:cs="Times New Roman"/>
          <w:b/>
          <w:bCs/>
          <w:kern w:val="0"/>
          <w:lang w:eastAsia="el-GR"/>
          <w14:ligatures w14:val="none"/>
        </w:rPr>
        <w:t>Ποσοστό</w:t>
      </w:r>
      <w:r>
        <w:rPr>
          <w:rFonts w:ascii="Eurobank Sans" w:eastAsia="Times New Roman" w:hAnsi="Eurobank Sans" w:cs="Times New Roman"/>
          <w:b/>
          <w:bCs/>
          <w:kern w:val="0"/>
          <w:lang w:eastAsia="el-GR"/>
          <w14:ligatures w14:val="none"/>
        </w:rPr>
        <w:t xml:space="preserve"> </w:t>
      </w:r>
      <w:r>
        <w:rPr>
          <w:rFonts w:ascii="Eurobank Sans" w:eastAsia="Times New Roman" w:hAnsi="Eurobank Sans" w:cs="Times New Roman"/>
          <w:b/>
          <w:bCs/>
          <w:kern w:val="0"/>
          <w:lang w:val="en-US" w:eastAsia="el-GR"/>
          <w14:ligatures w14:val="none"/>
        </w:rPr>
        <w:t>Booking</w:t>
      </w:r>
      <w:r w:rsidRPr="00A5616C">
        <w:rPr>
          <w:rFonts w:ascii="Eurobank Sans" w:eastAsia="Times New Roman" w:hAnsi="Eurobank Sans" w:cs="Times New Roman"/>
          <w:b/>
          <w:bCs/>
          <w:kern w:val="0"/>
          <w:lang w:eastAsia="el-GR"/>
          <w14:ligatures w14:val="none"/>
        </w:rPr>
        <w:t xml:space="preserve"> </w:t>
      </w:r>
      <w:r>
        <w:rPr>
          <w:rFonts w:ascii="Eurobank Sans" w:eastAsia="Times New Roman" w:hAnsi="Eurobank Sans" w:cs="Times New Roman"/>
          <w:b/>
          <w:bCs/>
          <w:kern w:val="0"/>
          <w:lang w:val="en-US" w:eastAsia="el-GR"/>
          <w14:ligatures w14:val="none"/>
        </w:rPr>
        <w:t>rate</w:t>
      </w:r>
      <w:r w:rsidRPr="00A5616C">
        <w:rPr>
          <w:rFonts w:ascii="Eurobank Sans" w:eastAsia="Times New Roman" w:hAnsi="Eurobank Sans" w:cs="Times New Roman"/>
          <w:kern w:val="0"/>
          <w:lang w:eastAsia="el-GR"/>
          <w14:ligatures w14:val="none"/>
        </w:rPr>
        <w:t>: επίσης με</w:t>
      </w:r>
      <w:r>
        <w:rPr>
          <w:rFonts w:ascii="Eurobank Sans" w:eastAsia="Times New Roman" w:hAnsi="Eurobank Sans" w:cs="Times New Roman"/>
          <w:kern w:val="0"/>
          <w:lang w:eastAsia="el-GR"/>
          <w14:ligatures w14:val="none"/>
        </w:rPr>
        <w:t xml:space="preserve">ίωση </w:t>
      </w:r>
      <w:r w:rsidRPr="00A5616C">
        <w:rPr>
          <w:rFonts w:ascii="Eurobank Sans" w:eastAsia="Times New Roman" w:hAnsi="Eurobank Sans" w:cs="Times New Roman"/>
          <w:kern w:val="0"/>
          <w:lang w:eastAsia="el-GR"/>
          <w14:ligatures w14:val="none"/>
        </w:rPr>
        <w:t xml:space="preserve">από </w:t>
      </w:r>
      <w:r w:rsidRPr="00A5616C">
        <w:rPr>
          <w:rFonts w:ascii="Eurobank Sans" w:eastAsia="Times New Roman" w:hAnsi="Eurobank Sans" w:cs="Times New Roman"/>
          <w:b/>
          <w:bCs/>
          <w:kern w:val="0"/>
          <w:lang w:eastAsia="el-GR"/>
          <w14:ligatures w14:val="none"/>
        </w:rPr>
        <w:t>46% το 2021</w:t>
      </w:r>
      <w:r w:rsidRPr="00A5616C">
        <w:rPr>
          <w:rFonts w:ascii="Eurobank Sans" w:eastAsia="Times New Roman" w:hAnsi="Eurobank Sans" w:cs="Times New Roman"/>
          <w:kern w:val="0"/>
          <w:lang w:eastAsia="el-GR"/>
          <w14:ligatures w14:val="none"/>
        </w:rPr>
        <w:t xml:space="preserve"> σε </w:t>
      </w:r>
      <w:r w:rsidRPr="00A5616C">
        <w:rPr>
          <w:rFonts w:ascii="Eurobank Sans" w:eastAsia="Times New Roman" w:hAnsi="Eurobank Sans" w:cs="Times New Roman"/>
          <w:b/>
          <w:bCs/>
          <w:kern w:val="0"/>
          <w:lang w:eastAsia="el-GR"/>
          <w14:ligatures w14:val="none"/>
        </w:rPr>
        <w:t>3</w:t>
      </w:r>
      <w:r w:rsidRPr="00A5616C">
        <w:rPr>
          <w:rFonts w:ascii="Eurobank Sans" w:eastAsia="Times New Roman" w:hAnsi="Eurobank Sans" w:cs="Times New Roman"/>
          <w:b/>
          <w:bCs/>
          <w:kern w:val="0"/>
          <w:lang w:eastAsia="el-GR"/>
          <w14:ligatures w14:val="none"/>
        </w:rPr>
        <w:t>6</w:t>
      </w:r>
      <w:r w:rsidRPr="00A5616C">
        <w:rPr>
          <w:rFonts w:ascii="Eurobank Sans" w:eastAsia="Times New Roman" w:hAnsi="Eurobank Sans" w:cs="Times New Roman"/>
          <w:b/>
          <w:bCs/>
          <w:kern w:val="0"/>
          <w:lang w:eastAsia="el-GR"/>
          <w14:ligatures w14:val="none"/>
        </w:rPr>
        <w:t xml:space="preserve">% το </w:t>
      </w:r>
      <w:r>
        <w:rPr>
          <w:rFonts w:ascii="Eurobank Sans" w:eastAsia="Times New Roman" w:hAnsi="Eurobank Sans" w:cs="Times New Roman"/>
          <w:b/>
          <w:bCs/>
          <w:kern w:val="0"/>
          <w:lang w:eastAsia="el-GR"/>
          <w14:ligatures w14:val="none"/>
        </w:rPr>
        <w:t>μέχρι σήμερα</w:t>
      </w:r>
      <w:r w:rsidRPr="00A5616C">
        <w:rPr>
          <w:rFonts w:ascii="Eurobank Sans" w:eastAsia="Times New Roman" w:hAnsi="Eurobank Sans" w:cs="Times New Roman"/>
          <w:kern w:val="0"/>
          <w:lang w:eastAsia="el-GR"/>
          <w14:ligatures w14:val="none"/>
        </w:rPr>
        <w:t xml:space="preserve">, </w:t>
      </w:r>
    </w:p>
    <w:p w14:paraId="1C7C3049" w14:textId="25B32A88" w:rsidR="00A5616C" w:rsidRPr="00A5616C" w:rsidRDefault="00A5616C" w:rsidP="00A5616C">
      <w:pPr>
        <w:numPr>
          <w:ilvl w:val="0"/>
          <w:numId w:val="2"/>
        </w:numPr>
        <w:spacing w:before="100" w:beforeAutospacing="1" w:after="100" w:afterAutospacing="1" w:line="240" w:lineRule="auto"/>
        <w:rPr>
          <w:rFonts w:ascii="Eurobank Sans" w:eastAsia="Times New Roman" w:hAnsi="Eurobank Sans" w:cs="Times New Roman"/>
          <w:kern w:val="0"/>
          <w:lang w:eastAsia="el-GR"/>
          <w14:ligatures w14:val="none"/>
        </w:rPr>
      </w:pPr>
      <w:r w:rsidRPr="00A5616C">
        <w:rPr>
          <w:rFonts w:ascii="Eurobank Sans" w:eastAsia="Times New Roman" w:hAnsi="Eurobank Sans" w:cs="Times New Roman"/>
          <w:b/>
          <w:bCs/>
          <w:kern w:val="0"/>
          <w:lang w:eastAsia="el-GR"/>
          <w14:ligatures w14:val="none"/>
        </w:rPr>
        <w:t>Μερίδιο Αγοράς</w:t>
      </w:r>
      <w:r w:rsidRPr="00A5616C">
        <w:rPr>
          <w:rFonts w:ascii="Eurobank Sans" w:eastAsia="Times New Roman" w:hAnsi="Eurobank Sans" w:cs="Times New Roman"/>
          <w:kern w:val="0"/>
          <w:lang w:eastAsia="el-GR"/>
          <w14:ligatures w14:val="none"/>
        </w:rPr>
        <w:t xml:space="preserve">: πτώση από </w:t>
      </w:r>
      <w:r w:rsidRPr="00A5616C">
        <w:rPr>
          <w:rFonts w:ascii="Eurobank Sans" w:eastAsia="Times New Roman" w:hAnsi="Eurobank Sans" w:cs="Times New Roman"/>
          <w:b/>
          <w:bCs/>
          <w:kern w:val="0"/>
          <w:lang w:eastAsia="el-GR"/>
          <w14:ligatures w14:val="none"/>
        </w:rPr>
        <w:t>~25% το 2021</w:t>
      </w:r>
      <w:r w:rsidRPr="00A5616C">
        <w:rPr>
          <w:rFonts w:ascii="Eurobank Sans" w:eastAsia="Times New Roman" w:hAnsi="Eurobank Sans" w:cs="Times New Roman"/>
          <w:kern w:val="0"/>
          <w:lang w:eastAsia="el-GR"/>
          <w14:ligatures w14:val="none"/>
        </w:rPr>
        <w:t xml:space="preserve"> να πέφτει </w:t>
      </w:r>
      <w:r w:rsidRPr="00A5616C">
        <w:rPr>
          <w:rFonts w:ascii="Eurobank Sans" w:eastAsia="Times New Roman" w:hAnsi="Eurobank Sans" w:cs="Times New Roman"/>
          <w:b/>
          <w:bCs/>
          <w:kern w:val="0"/>
          <w:lang w:eastAsia="el-GR"/>
          <w14:ligatures w14:val="none"/>
        </w:rPr>
        <w:t>στο ~13% το 2024</w:t>
      </w:r>
      <w:r w:rsidRPr="00A5616C">
        <w:rPr>
          <w:rFonts w:ascii="Eurobank Sans" w:eastAsia="Times New Roman" w:hAnsi="Eurobank Sans" w:cs="Times New Roman"/>
          <w:kern w:val="0"/>
          <w:lang w:eastAsia="el-GR"/>
          <w14:ligatures w14:val="none"/>
        </w:rPr>
        <w:t xml:space="preserve"> στους ανεξάρτητους διανομείς.</w:t>
      </w:r>
    </w:p>
    <w:p w14:paraId="6355174A" w14:textId="77777777" w:rsidR="00A5616C" w:rsidRPr="00A5616C" w:rsidRDefault="00A5616C" w:rsidP="00A5616C">
      <w:pPr>
        <w:spacing w:before="100" w:beforeAutospacing="1" w:after="100" w:afterAutospacing="1" w:line="240" w:lineRule="auto"/>
        <w:rPr>
          <w:rFonts w:ascii="Eurobank Sans" w:eastAsia="Times New Roman" w:hAnsi="Eurobank Sans" w:cs="Times New Roman"/>
          <w:kern w:val="0"/>
          <w:lang w:eastAsia="el-GR"/>
          <w14:ligatures w14:val="none"/>
        </w:rPr>
      </w:pPr>
      <w:r w:rsidRPr="00A5616C">
        <w:rPr>
          <w:rFonts w:ascii="Eurobank Sans" w:eastAsia="Times New Roman" w:hAnsi="Eurobank Sans" w:cs="Times New Roman"/>
          <w:kern w:val="0"/>
          <w:lang w:eastAsia="el-GR"/>
          <w14:ligatures w14:val="none"/>
        </w:rPr>
        <w:t xml:space="preserve">Η μείωση αυτή συνδέεται με τις γενικότερες τάσεις στην αγορά μεταχειρισμένων αυτοκινήτων, όπου αναμένεται </w:t>
      </w:r>
      <w:r w:rsidRPr="00A5616C">
        <w:rPr>
          <w:rFonts w:ascii="Eurobank Sans" w:eastAsia="Times New Roman" w:hAnsi="Eurobank Sans" w:cs="Times New Roman"/>
          <w:b/>
          <w:bCs/>
          <w:kern w:val="0"/>
          <w:lang w:eastAsia="el-GR"/>
          <w14:ligatures w14:val="none"/>
        </w:rPr>
        <w:t>αύξηση 15% στις πωλήσεις μεταχειρισμένων αυτοκινήτων από το 2021 έως το 2024</w:t>
      </w:r>
      <w:r w:rsidRPr="00A5616C">
        <w:rPr>
          <w:rFonts w:ascii="Eurobank Sans" w:eastAsia="Times New Roman" w:hAnsi="Eurobank Sans" w:cs="Times New Roman"/>
          <w:kern w:val="0"/>
          <w:lang w:eastAsia="el-GR"/>
          <w14:ligatures w14:val="none"/>
        </w:rPr>
        <w:t>.</w:t>
      </w:r>
    </w:p>
    <w:p w14:paraId="01CCD960" w14:textId="77777777" w:rsidR="00A5616C" w:rsidRPr="00A5616C" w:rsidRDefault="00A5616C" w:rsidP="00A3477A">
      <w:pPr>
        <w:spacing w:before="100" w:beforeAutospacing="1" w:after="100" w:afterAutospacing="1" w:line="240" w:lineRule="auto"/>
        <w:rPr>
          <w:rFonts w:ascii="Eurobank Sans" w:eastAsia="Times New Roman" w:hAnsi="Eurobank Sans" w:cs="Times New Roman"/>
          <w:kern w:val="0"/>
          <w:lang w:eastAsia="el-GR"/>
          <w14:ligatures w14:val="none"/>
        </w:rPr>
      </w:pPr>
    </w:p>
    <w:p w14:paraId="3A8759BD" w14:textId="77777777" w:rsidR="00EA2B9A" w:rsidRPr="004F4D6D" w:rsidRDefault="00EA2B9A">
      <w:pPr>
        <w:rPr>
          <w:rFonts w:ascii="Eurobank Sans" w:hAnsi="Eurobank Sans"/>
        </w:rPr>
      </w:pPr>
    </w:p>
    <w:sectPr w:rsidR="00EA2B9A" w:rsidRPr="004F4D6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1"/>
    <w:family w:val="modern"/>
    <w:pitch w:val="fixed"/>
    <w:sig w:usb0="E0002E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urobank Sans">
    <w:altName w:val="Eurobank Sans"/>
    <w:panose1 w:val="02000503000000020004"/>
    <w:charset w:val="A1"/>
    <w:family w:val="auto"/>
    <w:pitch w:val="variable"/>
    <w:sig w:usb0="A00002BF" w:usb1="5000000A"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82358"/>
    <w:multiLevelType w:val="multilevel"/>
    <w:tmpl w:val="51B63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864F5A"/>
    <w:multiLevelType w:val="multilevel"/>
    <w:tmpl w:val="E234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076634">
    <w:abstractNumId w:val="0"/>
  </w:num>
  <w:num w:numId="2" w16cid:durableId="885525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B9A"/>
    <w:rsid w:val="001536B0"/>
    <w:rsid w:val="004F4D6D"/>
    <w:rsid w:val="00582525"/>
    <w:rsid w:val="00621DD8"/>
    <w:rsid w:val="00664964"/>
    <w:rsid w:val="006D1CA5"/>
    <w:rsid w:val="00874175"/>
    <w:rsid w:val="00A3477A"/>
    <w:rsid w:val="00A46895"/>
    <w:rsid w:val="00A5616C"/>
    <w:rsid w:val="00EA2B9A"/>
    <w:rsid w:val="00F376F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28CB5"/>
  <w15:chartTrackingRefBased/>
  <w15:docId w15:val="{35AD2028-C775-4A7C-A7B9-64E9D2571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B9A"/>
    <w:rPr>
      <w:rFonts w:eastAsiaTheme="majorEastAsia" w:cstheme="majorBidi"/>
      <w:color w:val="272727" w:themeColor="text1" w:themeTint="D8"/>
    </w:rPr>
  </w:style>
  <w:style w:type="paragraph" w:styleId="Title">
    <w:name w:val="Title"/>
    <w:basedOn w:val="Normal"/>
    <w:next w:val="Normal"/>
    <w:link w:val="TitleChar"/>
    <w:uiPriority w:val="10"/>
    <w:qFormat/>
    <w:rsid w:val="00EA2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B9A"/>
    <w:pPr>
      <w:spacing w:before="160"/>
      <w:jc w:val="center"/>
    </w:pPr>
    <w:rPr>
      <w:i/>
      <w:iCs/>
      <w:color w:val="404040" w:themeColor="text1" w:themeTint="BF"/>
    </w:rPr>
  </w:style>
  <w:style w:type="character" w:customStyle="1" w:styleId="QuoteChar">
    <w:name w:val="Quote Char"/>
    <w:basedOn w:val="DefaultParagraphFont"/>
    <w:link w:val="Quote"/>
    <w:uiPriority w:val="29"/>
    <w:rsid w:val="00EA2B9A"/>
    <w:rPr>
      <w:i/>
      <w:iCs/>
      <w:color w:val="404040" w:themeColor="text1" w:themeTint="BF"/>
    </w:rPr>
  </w:style>
  <w:style w:type="paragraph" w:styleId="ListParagraph">
    <w:name w:val="List Paragraph"/>
    <w:basedOn w:val="Normal"/>
    <w:uiPriority w:val="34"/>
    <w:qFormat/>
    <w:rsid w:val="00EA2B9A"/>
    <w:pPr>
      <w:ind w:left="720"/>
      <w:contextualSpacing/>
    </w:pPr>
  </w:style>
  <w:style w:type="character" w:styleId="IntenseEmphasis">
    <w:name w:val="Intense Emphasis"/>
    <w:basedOn w:val="DefaultParagraphFont"/>
    <w:uiPriority w:val="21"/>
    <w:qFormat/>
    <w:rsid w:val="00EA2B9A"/>
    <w:rPr>
      <w:i/>
      <w:iCs/>
      <w:color w:val="0F4761" w:themeColor="accent1" w:themeShade="BF"/>
    </w:rPr>
  </w:style>
  <w:style w:type="paragraph" w:styleId="IntenseQuote">
    <w:name w:val="Intense Quote"/>
    <w:basedOn w:val="Normal"/>
    <w:next w:val="Normal"/>
    <w:link w:val="IntenseQuoteChar"/>
    <w:uiPriority w:val="30"/>
    <w:qFormat/>
    <w:rsid w:val="00EA2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B9A"/>
    <w:rPr>
      <w:i/>
      <w:iCs/>
      <w:color w:val="0F4761" w:themeColor="accent1" w:themeShade="BF"/>
    </w:rPr>
  </w:style>
  <w:style w:type="character" w:styleId="IntenseReference">
    <w:name w:val="Intense Reference"/>
    <w:basedOn w:val="DefaultParagraphFont"/>
    <w:uiPriority w:val="32"/>
    <w:qFormat/>
    <w:rsid w:val="00EA2B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538</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Pouloupatis Vassileios</dc:creator>
  <cp:keywords/>
  <dc:description/>
  <cp:lastModifiedBy>Pouloupatis Vassileios</cp:lastModifiedBy>
  <cp:revision>6</cp:revision>
  <dcterms:created xsi:type="dcterms:W3CDTF">2025-10-03T13:20:00Z</dcterms:created>
  <dcterms:modified xsi:type="dcterms:W3CDTF">2025-11-06T13:27:00Z</dcterms:modified>
</cp:coreProperties>
</file>