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every metric in Hyperoptic_Prediction_Analysis_FIXED.ipynb is computed</w:t>
      </w:r>
    </w:p>
    <w:p>
      <w:pPr>
        <w:pStyle w:val="Heading1"/>
      </w:pPr>
      <w:r>
        <w:t>Churn Flag / churn rate</w:t>
      </w:r>
    </w:p>
    <w:p>
      <w:r>
        <w:t>Churn Flag = 1 if Termination Date is not null (after '-' → NaN), else 0. Churn rate = mean(Churn Flag) × 100 = 6,947/10,000 = 69.47%.</w:t>
      </w:r>
    </w:p>
    <w:p>
      <w:pPr>
        <w:pStyle w:val="Heading1"/>
      </w:pPr>
      <w:r>
        <w:t>Tenure Days / Tenure Months</w:t>
      </w:r>
    </w:p>
    <w:p>
      <w:r>
        <w:t>Termination Date − Activation Date in days; Tenure Months = Tenure Days / 30.44 (mean 435 days ≈ 14.3 mo for churners, median 367 ≈ 12.1 mo). Same-day terminations have tenure 0 (28 rows).</w:t>
      </w:r>
    </w:p>
    <w:p>
      <w:pPr>
        <w:pStyle w:val="Heading1"/>
      </w:pPr>
      <w:r>
        <w:t>Tenure Band</w:t>
      </w:r>
    </w:p>
    <w:p>
      <w:r>
        <w:t>pd.cut on Tenure Months into 0–3, 3–6, 6–12, 12–24, 24–36, 36–48, 48+ months.</w:t>
      </w:r>
    </w:p>
    <w:p>
      <w:pPr>
        <w:pStyle w:val="Heading1"/>
      </w:pPr>
      <w:r>
        <w:t>Contract Type / Competitor Band / Bundle Group</w:t>
      </w:r>
    </w:p>
    <w:p>
      <w:r>
        <w:t>Mappings: Contract Duration 0→'Monthly Rolling', 12→'12 Months', 24→'24 Months'. Competitor Band = '0','1 Competitor','2 Competitors'. Bundle Group = 50Mb/150Mb/500Mb/1Gb/Other from Download Mbps.</w:t>
      </w:r>
    </w:p>
    <w:p>
      <w:pPr>
        <w:pStyle w:val="Heading1"/>
      </w:pPr>
      <w:r>
        <w:t>Churn-by tables (contract, city, competitors, bundle, cohort)</w:t>
      </w:r>
    </w:p>
    <w:p>
      <w:r>
        <w:t>groupby(factor) → Total_Customers, Churned_Customers, Active_Customers, Churn_Rate = churned/total ×100, Share_of_Total_Churn = churned/6,947 ×100.</w:t>
      </w:r>
    </w:p>
    <w:p>
      <w:pPr>
        <w:pStyle w:val="Heading1"/>
      </w:pPr>
      <w:r>
        <w:t>Termination reasons</w:t>
      </w:r>
    </w:p>
    <w:p>
      <w:r>
        <w:t>value_counts on Termination Reason restricted to churned rows; Share = count/6,947 (Moving Home/Going Away 5,701 = 82.06%).</w:t>
      </w:r>
    </w:p>
    <w:p>
      <w:pPr>
        <w:pStyle w:val="Heading1"/>
      </w:pPr>
      <w:r>
        <w:t>Chi-square + Cramér's V</w:t>
      </w:r>
    </w:p>
    <w:p>
      <w:r>
        <w:t>scipy.stats.chi2_contingency on the churn×factor contingency table; Cramér's V = sqrt(χ² / (n·(min(rows,cols)−1))). Values: contract 0.242, city 0.182, bundle 0.108, competitors 0.033.</w:t>
      </w:r>
    </w:p>
    <w:p>
      <w:pPr>
        <w:pStyle w:val="Heading1"/>
      </w:pPr>
      <w:r>
        <w:t>Point-biserial / Spearman</w:t>
      </w:r>
    </w:p>
    <w:p>
      <w:r>
        <w:t>Point-biserial r between Churn Flag and numerics (contract duration, competitors, cohort year). Spearman rank correlation for Tenure Months × Churn (skewed → non-parametric).</w:t>
      </w:r>
    </w:p>
    <w:p>
      <w:pPr>
        <w:pStyle w:val="Heading1"/>
      </w:pPr>
      <w:r>
        <w:t>Logistic odds-ratio model</w:t>
      </w:r>
    </w:p>
    <w:p>
      <w:r>
        <w:t>statsmodels sm.Logit: Churn Flag ~ get_dummies(Contract Type, City, Bundle Group, Competitor Band, drop_first=True). OR = exp(coefficient), sig. from p-values. Headline: 24-month OR 0.224***, monthly OR 1.279***, Manchester OR 1.513***, Nottingham OR 0.362***, 50Mb OR 1.393***, competitors n.s. (p 0.126/0.717).</w:t>
      </w:r>
    </w:p>
    <w:p>
      <w:pPr>
        <w:pStyle w:val="Heading1"/>
      </w:pPr>
      <w:r>
        <w:t>sklearn predictive model</w:t>
      </w:r>
    </w:p>
    <w:p>
      <w:r>
        <w:t>Pipeline(ColumnTransformer(OneHotEncoder(handle_unknown='ignore')) + LogisticRegression(max_iter=1000)) on FEATURES = Contract Type, City, Bundle Group, Number of Competitors, Activation Year; 80/20 stratified split, random_state=42. Metrics: accuracy 0.78, precision 0.809, recall 0.895, ROC-AUC 0.797.</w:t>
      </w:r>
    </w:p>
    <w:p>
      <w:pPr>
        <w:pStyle w:val="Heading1"/>
      </w:pPr>
      <w:r>
        <w:t>Robustness check</w:t>
      </w:r>
    </w:p>
    <w:p>
      <w:r>
        <w:t>Same pipeline without Activation Year → AUC 0.645, showing the cohort window carries much of the lift.</w:t>
      </w:r>
    </w:p>
    <w:p>
      <w:pPr>
        <w:pStyle w:val="Heading1"/>
      </w:pPr>
      <w:r>
        <w:t>Outputs</w:t>
      </w:r>
    </w:p>
    <w:p>
      <w:r>
        <w:t>cleaned_data.csv, churn_model.joblib (pipeline + levels + metrics), charts/*.png, Case_Study_Data_1_analysis.xlsx.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