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Churn Analysis — Presentation Q&amp;A (business users)</w:t>
      </w:r>
    </w:p>
    <w:p>
      <w:r>
        <w:rPr>
          <w:b/>
        </w:rPr>
        <w:t>Q1. You report 69.5% churn — that sounds catastrophic. Is our business really losing 70% of customers?</w:t>
      </w:r>
    </w:p>
    <w:p>
      <w:r>
        <w:t>No — and slide 1 flags this. The base is churn-weighted: the dataset covers activations Jan 2020–Dec 2024 and terminations to Sep 2025, so older cohorts have had up to 5+ years to churn while recent ones only months. The 69.5% is a recorded-events rate, useful for comparing groups, not the live annual churn rate. A survival-based view would give the true rate.</w:t>
      </w:r>
    </w:p>
    <w:p>
      <w:r>
        <w:rPr>
          <w:b/>
        </w:rPr>
        <w:t>Q2. Why do you say most churn is 'structural, not dissatisfaction'?</w:t>
      </w:r>
    </w:p>
    <w:p>
      <w:r>
        <w:t>82% of terminated customers gave 'Moving Home/Going Away' — 5,701 of 6,947 churners. Complaint + Package/Deal/Cost reasons are under 2% combined. If they're leaving because of geography, not service, retention spending should target movers and contract terms rather than service-quality fixes.</w:t>
      </w:r>
    </w:p>
    <w:p>
      <w:r>
        <w:rPr>
          <w:b/>
        </w:rPr>
        <w:t>Q3. Are you saying competitors don't matter? That seems counterintuitive.</w:t>
      </w:r>
    </w:p>
    <w:p>
      <w:r>
        <w:t>Competitor *count* (0/1/2) is not statistically significant once contract, city and cohort are controlled (p = 0.13 / 0.72). That means simply having a rival in the postcode doesn't raise churn — but it says nothing about rival price or offer quality, which we don't have in the data.</w:t>
      </w:r>
    </w:p>
    <w:p>
      <w:r>
        <w:rPr>
          <w:b/>
        </w:rPr>
        <w:t>Q4. Why is contract length such a big effect — is it real or mechanical?</w:t>
      </w:r>
    </w:p>
    <w:p>
      <w:r>
        <w:t>Both. 24-month customers churn at 42.5% vs ~75% for monthly/12-month, and after controls the odds ratio is 0.22 — 78% lower churn odds. Part is mechanical (you can't churn mid-contract without penalty), but that mechanical lock-in is exactly the retention lever: migrate customers to 24-month terms at renewal.</w:t>
      </w:r>
    </w:p>
    <w:p>
      <w:r>
        <w:rPr>
          <w:b/>
        </w:rPr>
        <w:t>Q5. Manchester churns 77% — is Manchester a service problem?</w:t>
      </w:r>
    </w:p>
    <w:p>
      <w:r>
        <w:t>Possibly, but the data alone can't say. After controls, Manchester churns ~51% more than Leeds (OR 1.51) and Nottingham is best at 41%. Next step in the deck is a Manchester/Leeds deep-dive on install times, fault tickets and overbuild density to separate service quality from structural factors.</w:t>
      </w:r>
    </w:p>
    <w:p>
      <w:r>
        <w:rPr>
          <w:b/>
        </w:rPr>
        <w:t>Q6. Why does 2024 show only 37% churn — did we improve?</w:t>
      </w:r>
    </w:p>
    <w:p>
      <w:r>
        <w:t>It's an artifact, not an improvement. 2024 activations had at most ~9 months of observation (data ends Sep 2025) vs up to 5 years for 2020. Report on a survival basis — churn per months-at-risk — to compare cohorts fairly.</w:t>
      </w:r>
    </w:p>
    <w:p>
      <w:r>
        <w:rPr>
          <w:b/>
        </w:rPr>
        <w:t>Q7. Several early-tenure bands show 100% churn — should we panic?</w:t>
      </w:r>
    </w:p>
    <w:p>
      <w:r>
        <w:t>Those 100% bars are a denominator artifact (very few customers reach those bands). But there are ~1,070 real churners within 6 months of activation, including 28 same-day terminations — worth an onboarding/install-experience review, which is in the recommendations.</w:t>
      </w:r>
    </w:p>
    <w:p>
      <w:r>
        <w:rPr>
          <w:b/>
        </w:rPr>
        <w:t>Q8. What's the business case for the recommendations?</w:t>
      </w:r>
    </w:p>
    <w:p>
      <w:r>
        <w:t>The base is churn-weighted so revenue estimates need care, but directionally: moving even a third of monthly/12-month churners onto 24-month terms applies a 78% odds reduction to a large group; the mover's programme targets the single largest loss driver (82%); and market context (altnet prices £22→£19, overbuild) means acquisition gets costlier while retention gets more valuable.</w:t>
      </w:r>
    </w:p>
    <w:p>
      <w:r>
        <w:rPr>
          <w:b/>
        </w:rPr>
        <w:t>Q9. How reliable is the predictive model?</w:t>
      </w:r>
    </w:p>
    <w:p>
      <w:r>
        <w:t>Holdout accuracy 78%, AUC 0.80, recall 89% — it correctly flags ~9 in 10 churners. It's interpretable (logistic regression odds ratios), so we can explain every score. It's good enough to rank customers for retention outreach, though not to predict individual certainty.</w:t>
      </w:r>
    </w:p>
    <w:p>
      <w:r>
        <w:rPr>
          <w:b/>
        </w:rPr>
        <w:t>Q10. What would you do differently with more data?</w:t>
      </w:r>
    </w:p>
    <w:p>
      <w:r>
        <w:t>Add price paid, tenure-to-date on the live book, termination destination (in/out of footprint), competitor offer details, and service-quality signals (tickets, outages). That's exactly the 'enrich the model' next step — competitor count was flat but rival pricing likely isn't.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