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485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gridCol w:w="6315"/>
        <w:tblGridChange w:id="0">
          <w:tblGrid>
            <w:gridCol w:w="10170"/>
            <w:gridCol w:w="631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50 і менше км/год – система не реагує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до 1000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Житель дивана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1000 до 2000 кроків включно –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“Лежибока”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2000 до 4000 кроків включно – “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Рухай тілом!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ubik" w:cs="Rubik" w:eastAsia="Rubik" w:hAnsi="Rubik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 низька,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середня,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 висока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).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Яка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4"/>
                <w:szCs w:val="24"/>
                <w:u w:val="singl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640x480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1280x720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1600x1200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1920x1080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ff0000"/>
                <w:sz w:val="24"/>
                <w:szCs w:val="24"/>
                <w:u w:val="single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  <w:rtl w:val="0"/>
              </w:rPr>
              <w:t xml:space="preserve">На мою думку варіант 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ff0000"/>
                <w:sz w:val="26"/>
                <w:szCs w:val="26"/>
                <w:rtl w:val="0"/>
              </w:rPr>
              <w:t xml:space="preserve">В</w:t>
            </w: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  <w:rtl w:val="0"/>
              </w:rPr>
              <w:t xml:space="preserve">. Перевіряємо  мінімальні та максимальні граничні значення.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6"/>
                <w:szCs w:val="26"/>
                <w:rtl w:val="0"/>
              </w:rPr>
              <w:t xml:space="preserve">Якщо застосунок буде працювати з цими показниками розподільчої здатності то на пристроях з середньою розподільчою  здатністю застосунок повинен працювати автоматично.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Relationship Id="rId5" Type="http://schemas.openxmlformats.org/officeDocument/2006/relationships/font" Target="fonts/NunitoSans-regular.ttf"/><Relationship Id="rId6" Type="http://schemas.openxmlformats.org/officeDocument/2006/relationships/font" Target="fonts/NunitoSans-bold.ttf"/><Relationship Id="rId7" Type="http://schemas.openxmlformats.org/officeDocument/2006/relationships/font" Target="fonts/NunitoSans-italic.ttf"/><Relationship Id="rId8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