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10.0" w:type="dxa"/>
        <w:jc w:val="left"/>
        <w:tblInd w:w="-110.000000000000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10.000000000001"/>
        <w:gridCol w:w="4500"/>
        <w:tblGridChange w:id="0">
          <w:tblGrid>
            <w:gridCol w:w="4610.000000000001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  SOAP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REST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Використовує тiльки XML 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використовує JSON та XML формати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працює з любим протоколом прикладного рівня: SMTP FTP HTTP HTTPs POP3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працює тільки по HTTP/HTTPs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візуально приятный синтаксис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 гнучкий та простий у використанні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власну безпеку-WS-безпека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менш безпечний у порівнянні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 вимогливий до великого об’єму ресурсів та пропускної здатності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вимогливий до ресурсів мінімуму достатньо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