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Протокол - Пациент 19.12.2025 13:42</w:t>
      </w:r>
    </w:p>
    <w:p>
      <w:pPr>
        <w:jc w:val="center"/>
      </w:pPr>
      <w:r>
        <w:t>Дата: 19.12.2025 13:42</w:t>
      </w:r>
    </w:p>
    <w:p/>
    <w:p>
      <w:r>
        <w:t># ПРОТОКОЛ ПЕРВИЧНОГО ОСМОТРА ПАЦИЕНТА</w:t>
      </w:r>
    </w:p>
    <w:p>
      <w:r>
        <w:t xml:space="preserve">**Дата осмотра:** ___________  </w:t>
      </w:r>
    </w:p>
    <w:p>
      <w:r>
        <w:t xml:space="preserve">**ФИО пациента:** ___________  </w:t>
      </w:r>
    </w:p>
    <w:p>
      <w:r>
        <w:t>**Возраст:** _____  **Пол:** _____</w:t>
      </w:r>
    </w:p>
    <w:p>
      <w:r>
        <w:t>---</w:t>
      </w:r>
    </w:p>
    <w:p>
      <w:pPr>
        <w:pStyle w:val="Heading2"/>
      </w:pPr>
      <w:r>
        <w:rPr>
          <w:b/>
        </w:rPr>
        <w:t>Жалобы:</w:t>
      </w:r>
    </w:p>
    <w:p>
      <w:r>
        <w:t>На момент осмотра пациент предъявляет жалобы на кашель непродуктивного характера, одышку смешанного типа при физической нагрузке и в покое, общую слабость. Лихорадка в анамнезе (точные цифры температуры не уточнены пациентом).</w:t>
      </w:r>
    </w:p>
    <w:p>
      <w:pPr>
        <w:pStyle w:val="Heading2"/>
      </w:pPr>
      <w:r>
        <w:rPr>
          <w:b/>
        </w:rPr>
        <w:t>Анамнез заболевания:</w:t>
      </w:r>
    </w:p>
    <w:p>
      <w:r>
        <w:t>Считает себя больным в течение последних пяти дней, когда впервые появились вышеуказанные жалобы. Заболевание развивалось остро, на фоне контакта с инфекционным больным (детали контакта уточняются). Самостоятельно медикаментозную терапию не принимал. За медицинской помощью обратился в связи с нарастанием одышки и сохраняющимся кашлем.</w:t>
      </w:r>
    </w:p>
    <w:p>
      <w:pPr>
        <w:pStyle w:val="Heading2"/>
      </w:pPr>
      <w:r>
        <w:rPr>
          <w:b/>
        </w:rPr>
        <w:t>Анамнез жизни:</w:t>
      </w:r>
    </w:p>
    <w:p>
      <w:r>
        <w:t>Курит в течение 20 лет (индекс курильщика уточняется при детализации количества сигарет в день). Хронические заболевания, аллергологический анамнез, наследственность, профессиональные вредности, перенесенные операции и травмы требуют дополнительного уточнения при детальном сборе анамнеза. Эпидемиологический анамнез: контакт с инфекционным больным в течение последней недели.</w:t>
      </w:r>
    </w:p>
    <w:p>
      <w:pPr>
        <w:pStyle w:val="Heading2"/>
      </w:pPr>
      <w:r>
        <w:rPr>
          <w:b/>
        </w:rPr>
        <w:t>Объективный осмотр:</w:t>
      </w:r>
    </w:p>
    <w:p>
      <w:r>
        <w:t>Общее состояние средней степени тяжести, сознание ясное, положение активное. Периферические лимфоузлы не увеличены, безболезненные, подвижные. Кожные покровы физиологической окраски, умеренной влажности, высыпаний нет. Слизистые оболочки розовые, влажные, чистые. Пульс ритмичный, удовлетворительного наполнения и напряжения (частота уточняется). АД (значения уточняются). ЧДД (значение уточняется, ожидается тахипноэ). Границы относительной сердечной тупости в пределах нормы, тоны сердца ясные, ритмичные, шумов нет. При аускультации лёгких дыхание жёсткое, выслушиваются хрипы в правых отделах (характер хрипов: сухие/влажные, локализация уточняется), перкуторно возможно укорочение перкуторного звука справа. Живот мягкий, безболезненный при пальпации во всех отделах, участвует в акте дыхания. Печень у края рёберной дуги, безболезненная, селезёнка не пальпируется. Симптом поколачивания по поясничной области отрицательный с обеих сторон. Стул и диурез в норме (со слов пациента). Периферических отёков нет. Неврологический статус: очаговой неврологической симптоматики не выявлено, менингеальные знаки отрицательные.</w:t>
      </w:r>
    </w:p>
    <w:p>
      <w:pPr>
        <w:pStyle w:val="Heading2"/>
      </w:pPr>
      <w:r>
        <w:rPr>
          <w:b/>
        </w:rPr>
        <w:t>Предварительный диагноз:</w:t>
      </w:r>
    </w:p>
    <w:p>
      <w:r>
        <w:t>Внебольничная пневмония справа, неуточнённая (J18.9 по МКБ-10). Хроническая обструктивная болезнь лёгких (ХОБЛ), обострение (предположительно, требует подтверждения спирометрией) (J44.0/J44.1). Никотиновая зависимость (F17.2).</w:t>
      </w:r>
    </w:p>
    <w:p>
      <w:pPr>
        <w:pStyle w:val="Heading2"/>
      </w:pPr>
      <w:r>
        <w:rPr>
          <w:b/>
        </w:rPr>
        <w:t>Рекомендованные обследования:</w:t>
      </w:r>
    </w:p>
    <w:p>
      <w:r>
        <w:t>1. ОАК с лейкоформулой, СОЭ</w:t>
      </w:r>
    </w:p>
    <w:p>
      <w:r>
        <w:t>2. ОАМ</w:t>
      </w:r>
    </w:p>
    <w:p>
      <w:r>
        <w:t>3. Биохимия крови: глюкоза, креатинин, мочевина, АЛТ, АСТ, общий билирубин, СРБ, прокальцитонин</w:t>
      </w:r>
    </w:p>
    <w:p>
      <w:r>
        <w:t>4. Коагулограмма (АЧТВ, МНО, фибриноген, D-димер)</w:t>
      </w:r>
    </w:p>
    <w:p>
      <w:r>
        <w:t>5. Рентгенография органов грудной клетки в 2 проекциях (при необходимости КТ ОГК)</w:t>
      </w:r>
    </w:p>
    <w:p>
      <w:r>
        <w:t>6. ЭКГ в 12 отведениях</w:t>
      </w:r>
    </w:p>
    <w:p>
      <w:r>
        <w:t>7. Пульсоксиметрия (SpO2)</w:t>
      </w:r>
    </w:p>
    <w:p>
      <w:r>
        <w:t>8. Микробиологическое исследование мокроты (бактериоскопия, посев с определением чувствительности к антибиотикам)</w:t>
      </w:r>
    </w:p>
    <w:p>
      <w:r>
        <w:t>9. Экспресс-тесты на SARS-CoV-2, грипп A/B (при наличии эпидпоказаний)</w:t>
      </w:r>
    </w:p>
    <w:p>
      <w:r>
        <w:t>10. Спирометрия с бронходилатационной пробой (после купирования острого состояния)</w:t>
      </w:r>
    </w:p>
    <w:p>
      <w:pPr>
        <w:pStyle w:val="Heading2"/>
      </w:pPr>
      <w:r>
        <w:rPr>
          <w:b/>
        </w:rPr>
        <w:t>Терапия:</w:t>
      </w:r>
    </w:p>
    <w:p>
      <w:pPr>
        <w:pStyle w:val="ListBullet"/>
      </w:pPr>
      <w:r>
        <w:t>Рекомендации по режиму, диете: Полупостельный режим до нормализации температуры и стабилизации состояния. Обильное тёплое питьё до 2–2,5 л/сут. Диета № 15 (общий стол) с ограничением острых, жареных блюд, достаточным содержанием белка. Полный отказ от курения (обязательно).</w:t>
      </w:r>
    </w:p>
    <w:p>
      <w:pPr>
        <w:pStyle w:val="ListBullet"/>
      </w:pPr>
      <w:r>
        <w:t>Фармакотерапия:</w:t>
      </w:r>
    </w:p>
    <w:p>
      <w:r>
        <w:t>Амоксициллин/клавуланат (Амоксиклав, Аугментин, Флемоклав Солютаб) 875/125 мг per os 2 раза/сут 7–10 дней или Азитромицин (Сумамед, Азитрокс, Зи-фактор) 500 мг per os 1 раз/сут 3–5 дней (при непереносимости β-лактамов или атипичной флоре).</w:t>
      </w:r>
    </w:p>
    <w:p>
      <w:r>
        <w:t>Бронходилататоры короткого действия: Сальбутамол (Вентолин, Саламол Эко) 100 мкг 1–2 ингаляции по требованию до 4 раз/сут.</w:t>
      </w:r>
    </w:p>
    <w:p>
      <w:r>
        <w:t>Комбинированный бронходилататор длительного действия (при подтверждении ХОБЛ): Тиотропия бромид/олодатерол (Спиолто Респимат, Инспиолто) 2,5/2,5 мкг 2 ингаляции 1 раз/сут или Гликопиррония бромид/индакатерол (Ультибро Бризхалер, Хипрамол) 50/110 мкг 1 ингаляция 1 раз/сут.</w:t>
      </w:r>
    </w:p>
    <w:p>
      <w:r>
        <w:t>Муколитики: Ацетилцистеин (АЦЦ, Флуимуцил, Ацестад) 600 мг per os 1 раз/сут 7–10 дней или Амброксол (Лазолван, Амбробене, Амброгексал) 30 мг per os 3 раза/сут 7–10 дней.</w:t>
      </w:r>
    </w:p>
    <w:p>
      <w:r>
        <w:t>Жаропонижающие (при температуре &gt;38,5°C): Парацетамол (Панадол, Эффералган, Парацетамол-Хемофарм) 500–1000 мг per os до 4 раз/сут по требованию.</w:t>
      </w:r>
    </w:p>
    <w:p>
      <w:r>
        <w:t>Антикоагулянты (при высоком риске тромбоэмболических осложнений, оценка по шкале Padua/IMPROVE): Эноксапарин натрия (Клексан, Эниксум, Гемапаксан) 40 мг п/к 1 раз/сут на период иммобилизации.</w:t>
      </w:r>
    </w:p>
    <w:p>
      <w:pPr>
        <w:pStyle w:val="ListBullet"/>
      </w:pPr>
      <w:r>
        <w:t>Физиолечение: Ингаляции с 0,9% NaCl через небулайзер 2–3 раза/сут для улучшения дренажной функции бронхов. Дыхательная гимнастика (комплекс упражнений для улучшения вентиляции лёгких) после стабилизации состояния.</w:t>
      </w:r>
    </w:p>
    <w:p>
      <w:pPr>
        <w:pStyle w:val="Heading2"/>
      </w:pPr>
      <w:r>
        <w:rPr>
          <w:b/>
        </w:rPr>
        <w:t>Динамическое наблюдение:</w:t>
      </w:r>
    </w:p>
    <w:p>
      <w:r>
        <w:t>Контроль температуры тела, ЧДД, SpO2, общего состояния ежедневно. Повторный осмотр через 48–72 часа для оценки эффективности терапии. При отсутствии положительной динамики, нарастании одышки, снижении SpO2 &lt;90%, появлении признаков дыхательной недостаточности — рассмотреть вопрос о госпитализации и эскалации антибактериальной терапии (респираторные фторхинолоны: левофлоксацин 500–750 мг/сут или моксифлоксацин 400 мг/сут). Критерии госпитализации оценивать по шкалам CURB-65/PSI.</w:t>
      </w:r>
    </w:p>
    <w:p>
      <w:pPr>
        <w:pStyle w:val="Heading2"/>
      </w:pPr>
      <w:r>
        <w:rPr>
          <w:b/>
        </w:rPr>
        <w:t>Источники:</w:t>
      </w:r>
    </w:p>
    <w:p>
      <w:pPr>
        <w:pStyle w:val="ListBullet"/>
      </w:pPr>
      <w:r>
        <w:t>IDSA/ATS Guidelines for Community-Acquired Pneumonia, 2019</w:t>
      </w:r>
    </w:p>
    <w:p>
      <w:pPr>
        <w:pStyle w:val="ListBullet"/>
      </w:pPr>
      <w:r>
        <w:t>GOLD Report 2023 (Global Strategy for the Diagnosis, Management, and Prevention of COPD)</w:t>
      </w:r>
    </w:p>
    <w:p>
      <w:pPr>
        <w:pStyle w:val="ListBullet"/>
      </w:pPr>
      <w:r>
        <w:t>Российские клинические рекомендации по диагностике и лечению внебольничной пневмонии, 2021</w:t>
      </w:r>
    </w:p>
    <w:p>
      <w:pPr>
        <w:pStyle w:val="ListBullet"/>
      </w:pPr>
      <w:r>
        <w:t>Российские клинические рекомендации по диагностике и лечению ХОБЛ, 2021</w:t>
      </w:r>
    </w:p>
    <w:p>
      <w:r>
        <w:t>---</w:t>
      </w:r>
    </w:p>
    <w:p>
      <w:pPr>
        <w:pStyle w:val="Heading2"/>
      </w:pPr>
      <w:r>
        <w:rPr>
          <w:b/>
        </w:rPr>
        <w:t>Согласие пациента:</w:t>
      </w:r>
    </w:p>
    <w:p>
      <w:r>
        <w:t>&lt;small&gt;Пациент ознакомлен с планом обследования и лечения, возможными рисками и осложнениями, альтернативными методами терапии. Согласие на проведение диагностических и лечебных мероприятий получено. Пациент предупреждён о необходимости немедленного обращения за медицинской помощью при ухудшении состояния.&lt;/small&gt;</w:t>
      </w:r>
    </w:p>
    <w:p>
      <w:r>
        <w:t>---</w:t>
      </w:r>
    </w:p>
    <w:p>
      <w:r>
        <w:t xml:space="preserve">**Подпись врача:** ___________  </w:t>
      </w:r>
    </w:p>
    <w:p>
      <w:r>
        <w:t>**Подпись пациента:** ___________</w:t>
      </w:r>
    </w:p>
    <w:p>
      <w:r>
        <w:br w:type="page"/>
      </w:r>
    </w:p>
    <w:p>
      <w:pPr>
        <w:jc w:val="right"/>
      </w:pPr>
      <w:r>
        <w:t>Врач: ____________________ /ФИО/</w:t>
        <w:br/>
      </w:r>
      <w:r>
        <w:t>Дата: 19.12.2025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