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BF13F3">
      <w:pPr>
        <w:pStyle w:val="3"/>
      </w:pPr>
      <w:bookmarkStart w:id="0" w:name="X25e853829aaa91d554af63b2ccc6bf8a918ff86"/>
      <w:r>
        <w:t>Регистрация на SAAS платформе новых сотрудников и ролей от тенанта</w:t>
      </w:r>
    </w:p>
    <w:p w14:paraId="291F8CCA">
      <w:r>
        <w:t>Один большой флоу целиком — от появления банка до рабочего дня сотрудника.</w:t>
      </w:r>
    </w:p>
    <w:p w14:paraId="7B8B6F7F">
      <w:pPr>
        <w:pStyle w:val="20"/>
      </w:pPr>
      <w:r>
        <w:rPr>
          <w:b/>
          <w:bCs/>
        </w:rPr>
        <w:t>Шаг 1. Регистрация банка</w:t>
      </w:r>
    </w:p>
    <w:p w14:paraId="0A5BC252">
      <w:pPr>
        <w:pStyle w:val="20"/>
      </w:pPr>
      <w:r>
        <w:t>Менеджер платформы через Admin UI нажимает “Подключить банк”, пишет название и email владельца. Дальше система работает сама.</w:t>
      </w:r>
    </w:p>
    <w:p w14:paraId="5764DAA2">
      <w:pPr>
        <w:pStyle w:val="20"/>
      </w:pPr>
      <w:r>
        <w:t>Admin Service получает команду и идёт в Keycloak через Keycloak Admin API. Это единственный способ что-то создать в Keycloak — прямая запись в его базу недопустима, так как ломает кэши.</w:t>
      </w:r>
    </w:p>
    <w:p w14:paraId="7D67BB96">
      <w:pPr>
        <w:pStyle w:val="20"/>
      </w:pPr>
      <w:r>
        <w:t xml:space="preserve">Admin Service создаёт в Keycloak пользователя с этим email (Keycloak Admin API: POST /admin/realms/{realm}/users) и назначает ему глобальную realm-роль bank_admin (Keycloak Admin API: POST /admin/realms/{realm}/users/{user-id}/role-mappings/realm) </w:t>
      </w:r>
      <w:r>
        <w:rPr>
          <w:rFonts w:hint="default"/>
          <w:lang w:val="ru-RU"/>
        </w:rPr>
        <w:t>-</w:t>
      </w:r>
      <w:r>
        <w:t xml:space="preserve"> это одна из 5 базовых ролей платформы, которые общие для всех банков. Затем Admin Service инициирует в Keycloak триггер на смену пароля (Keycloak Admin API: PUT /admin/realms/{realm}/users/{user-id}/execute-actions-email с телом [“UPDATE_PASSWORD”]). Keycloak сам отправляет владельцу email со ссылкой (живет один час). Владелец переходит по ссылке и задаёт пароль. Пароли в открытом виде нигде не передаются и не логируются.</w:t>
      </w:r>
    </w:p>
    <w:p w14:paraId="1259CBF8">
      <w:pPr>
        <w:pStyle w:val="20"/>
      </w:pPr>
      <w:r>
        <w:rPr>
          <w:b/>
          <w:bCs/>
        </w:rPr>
        <w:t>Шаг 2. Как банк добавляет свои роли и привязывает их к методам</w:t>
      </w:r>
    </w:p>
    <w:p w14:paraId="271EDB23">
      <w:pPr>
        <w:pStyle w:val="20"/>
      </w:pPr>
      <w:r>
        <w:t xml:space="preserve">Владелец банка в своём UI создаёт роль (например, senior_operator). Admin Service создаёт её как </w:t>
      </w:r>
      <w:r>
        <w:rPr>
          <w:b/>
          <w:bCs/>
        </w:rPr>
        <w:t>client-роль</w:t>
      </w:r>
      <w:r>
        <w:t>, привязанную строго к конкретному клиенту (банку) внутри Keycloak (Keycloak Admin API: POST /admin/realms/{realm}/clients/{client-uuid}/roles). Это обеспечивает изоляцию на уровне IAM — чужие client-роли банкам не видны.</w:t>
      </w:r>
    </w:p>
    <w:p w14:paraId="728E1005">
      <w:pPr>
        <w:pStyle w:val="20"/>
      </w:pPr>
      <w:r>
        <w:t xml:space="preserve">Далее владелец отмечает галочками, какие методы АБС разрешены для senior_operator. Admin Service сохраняет этот маппинг в свою выделенную реляционную БД </w:t>
      </w:r>
      <w:r>
        <w:rPr>
          <w:b/>
          <w:bCs/>
        </w:rPr>
        <w:t>PostgreSQL</w:t>
      </w:r>
      <w:r>
        <w:t xml:space="preserve"> (схема/БД admin_db, SQL: INSERT/UPDATE в таблицу role_permissions).</w:t>
      </w:r>
    </w:p>
    <w:p w14:paraId="23CF9EE8">
      <w:r>
        <w:rPr>
          <w:b/>
          <w:bCs/>
        </w:rPr>
        <w:t>Архитектурная изоляция таблицы role_permissions:</w:t>
      </w:r>
      <w:r>
        <w:t xml:space="preserve"> Эта таблица используется исключительно как </w:t>
      </w:r>
      <w:r>
        <w:rPr>
          <w:i/>
          <w:iCs/>
        </w:rPr>
        <w:t>мастер-система для хранения конфигурации</w:t>
      </w:r>
      <w:r>
        <w:t xml:space="preserve"> (она просто фиксирует, какие именно галочки админ нажал в UI). База логически или физически отделена от бизнес-данных АБС.</w:t>
      </w:r>
    </w:p>
    <w:p w14:paraId="27C44BA4">
      <w:r>
        <w:rPr>
          <w:b/>
          <w:bCs/>
        </w:rPr>
        <w:t>Кто использует эту таблицу:</w:t>
      </w:r>
      <w:r>
        <w:t xml:space="preserve"> Только сам Admin Service (чтобы считать настройки и отрисовать их в интерфейсе владельца банка) и </w:t>
      </w:r>
      <w:r>
        <w:rPr>
          <w:b/>
          <w:bCs/>
        </w:rPr>
        <w:t>OPA Bundle Server</w:t>
      </w:r>
      <w:r>
        <w:t xml:space="preserve"> (чтобы выгрузить текущий слепок связей «роль-метод» и превратить его в плоский JSON). * </w:t>
      </w:r>
      <w:r>
        <w:rPr>
          <w:b/>
          <w:bCs/>
        </w:rPr>
        <w:t>Кто в эту таблицу НИКОГДА не ходит:</w:t>
      </w:r>
      <w:r>
        <w:t xml:space="preserve"> Ни API Gateway (Kong), ни бэкенд АБС, ни сам движок OPA не делают никаких SQL-запросов к этой базе при обработке запросов пользователей. Это полностью исключает деградацию производительности БД при высокой операционной нагрузке.</w:t>
      </w:r>
    </w:p>
    <w:p w14:paraId="769C535B">
      <w:r>
        <w:t xml:space="preserve">Чтобы новые права применились без задержек (до 30-60 секунд), Admin Service синхронно вызывает внутренний API выделенного микросервиса — </w:t>
      </w:r>
      <w:r>
        <w:rPr>
          <w:b/>
          <w:bCs/>
        </w:rPr>
        <w:t>OPA Bundle Server</w:t>
      </w:r>
      <w:r>
        <w:t xml:space="preserve"> (POST /internal/v1/bundle/trigger).</w:t>
      </w:r>
    </w:p>
    <w:p w14:paraId="63C78A0E">
      <w:pPr>
        <w:pStyle w:val="20"/>
      </w:pPr>
      <w:r>
        <w:t xml:space="preserve">Получив этот синхронный сигнал, </w:t>
      </w:r>
      <w:r>
        <w:rPr>
          <w:b/>
          <w:bCs/>
        </w:rPr>
        <w:t>OPA Bundle Server</w:t>
      </w:r>
      <w:r>
        <w:t xml:space="preserve"> запускает асинхронный процесс (воркер): выгребает актуальные связи из таблицы role_permissions в PostgreSQL, формирует из них файл data.json и пушит обновленный бандл напрямую в OPA (OPA REST API: PUT /v1/policies/bundle).</w:t>
      </w:r>
    </w:p>
    <w:p w14:paraId="68764D4A">
      <w:pPr>
        <w:pStyle w:val="20"/>
      </w:pPr>
      <w:r>
        <w:t xml:space="preserve">Если синхронный вызов от Admin Service до OPA Bundle Server не прошел (например, из-за временного сетевого сбоя), в качестве страховки (fallback) внутри </w:t>
      </w:r>
      <w:r>
        <w:rPr>
          <w:b/>
          <w:bCs/>
        </w:rPr>
        <w:t>OPA Bundle Server</w:t>
      </w:r>
      <w:r>
        <w:t xml:space="preserve"> работает периодический cron-джоб, который раз в 5 минут самостоятельно инициирует пересборку и доставку бандла. Git для хранения динамических маппингов ролей не используется, что исключает мусорные авто-коммиты и конфликты слияния.</w:t>
      </w:r>
    </w:p>
    <w:p w14:paraId="1FA43849">
      <w:pPr>
        <w:pStyle w:val="20"/>
      </w:pPr>
      <w:r>
        <w:rPr>
          <w:b/>
          <w:bCs/>
        </w:rPr>
        <w:t>Шаг 3. Как владелец банка добавляет сотрудников</w:t>
      </w:r>
    </w:p>
    <w:p w14:paraId="1DF589A3">
      <w:pPr>
        <w:numPr>
          <w:ilvl w:val="0"/>
          <w:numId w:val="7"/>
        </w:numPr>
      </w:pPr>
      <w:r>
        <w:rPr>
          <w:b/>
          <w:bCs/>
        </w:rPr>
        <w:t>Ручной режим (по одному):</w:t>
      </w:r>
      <w:r>
        <w:t xml:space="preserve"> Владелец вводит email, ФИО и выбирает роль. Система создаёт пользователя (Keycloak Admin API: POST /admin/realms/{realm}/users), мапит выбранную роль и вызывает триггер отправки письма (Keycloak Admin API: PUT /admin/realms/{realm}/users/{user-id}/execute-actions-email). Keycloak шлет сотруднику письмо для установки пароля.</w:t>
      </w:r>
    </w:p>
    <w:p w14:paraId="56F1C85C">
      <w:pPr>
        <w:numPr>
          <w:ilvl w:val="0"/>
          <w:numId w:val="7"/>
        </w:numPr>
      </w:pPr>
      <w:r>
        <w:rPr>
          <w:b/>
          <w:bCs/>
        </w:rPr>
        <w:t>Bulk-режим (списком):</w:t>
      </w:r>
      <w:r>
        <w:t xml:space="preserve"> Владелец загружает CSV-файл. UI отправляет его в Admin Service (REST API: POST /api/v1/employees/import), который мгновенно отвечает 202 Accepted и возвращает task_id. Далее работает фоновый воркер: он читает строки и по одной вызывает Keycloak Admin API в рамках асинхронной джобы.</w:t>
      </w:r>
    </w:p>
    <w:p w14:paraId="2151BF62">
      <w:r>
        <w:rPr>
          <w:b/>
          <w:bCs/>
        </w:rPr>
        <w:t>Идемпотентность и обработка ошибок:</w:t>
      </w:r>
      <w:r>
        <w:t xml:space="preserve"> Обработка CSV не требует распределенных транзакций. Если строка содержит ошибку (например, дубликат email), воркер фиксирует её статус и </w:t>
      </w:r>
      <w:r>
        <w:rPr>
          <w:b/>
          <w:bCs/>
        </w:rPr>
        <w:t>продолжает работу</w:t>
      </w:r>
      <w:r>
        <w:t>. Успешно созданные учётки начинают работать сразу. Владелец видит по task_id отчёт (REST API: GET /api/v1/employees/import/tasks/{task_id}): “создано 998, ошибок 2 (причины)”.</w:t>
      </w:r>
    </w:p>
    <w:p w14:paraId="595D34D5">
      <w:pPr>
        <w:pStyle w:val="20"/>
      </w:pPr>
      <w:r>
        <w:rPr>
          <w:b/>
          <w:bCs/>
        </w:rPr>
        <w:t>Шаг 4. Рабочий день сотрудника</w:t>
      </w:r>
    </w:p>
    <w:p w14:paraId="138C67CE">
      <w:pPr>
        <w:pStyle w:val="20"/>
      </w:pPr>
      <w:r>
        <w:t>Сотрудник логинится через UI банка. UI отправляет запрос к Keycloak, Keycloak проверяет креды и выдаёт JWT (OAuth2/OIDC API: POST /realms/{realm}/protocol/openid-connect/token), содержащий sub (id сотрудника), tenant_id и массив ролей. Токен живёт 1 час.</w:t>
      </w:r>
    </w:p>
    <w:p w14:paraId="3F94D996">
      <w:pPr>
        <w:pStyle w:val="20"/>
      </w:pPr>
      <w:r>
        <w:t>Каждый запрос к АБС проходит через API Gateway (Kong), который делает три вещи:</w:t>
      </w:r>
    </w:p>
    <w:p w14:paraId="2F4EA770">
      <w:pPr>
        <w:numPr>
          <w:ilvl w:val="0"/>
          <w:numId w:val="8"/>
        </w:numPr>
      </w:pPr>
      <w:r>
        <w:t>Проверяет подпись JWT математически, используя публичные ключи (Keycloak JWKS API: GET /realms/{realm}/protocol/openid-connect/certs).</w:t>
      </w:r>
    </w:p>
    <w:p w14:paraId="003AB410">
      <w:pPr>
        <w:numPr>
          <w:ilvl w:val="0"/>
          <w:numId w:val="8"/>
        </w:numPr>
      </w:pPr>
      <w:r>
        <w:rPr>
          <w:b/>
          <w:bCs/>
        </w:rPr>
        <w:t>Проверяет Redis blacklist:</w:t>
      </w:r>
      <w:r>
        <w:t xml:space="preserve"> проверяет наличие ключей блокировки пользователя или тенанта (Redis API: EXISTS или MGET по ключам blacklist:user:{user_id} and blacklist:tenant:{tenant_id}).</w:t>
      </w:r>
    </w:p>
    <w:p w14:paraId="5E3A19D6">
      <w:pPr>
        <w:numPr>
          <w:ilvl w:val="0"/>
          <w:numId w:val="8"/>
        </w:numPr>
      </w:pPr>
      <w:r>
        <w:t>Вызывает OPA, передавая контекст запроса (OPA Data API: POST /v1/data/authz/allow).</w:t>
      </w:r>
    </w:p>
    <w:p w14:paraId="1739F3CD">
      <w:r>
        <w:t>OPA сверяет контекст со своим in-memory кэшем (тем самым data.json, который ему прислал OPA Bundle Server).</w:t>
      </w:r>
    </w:p>
    <w:p w14:paraId="77FCC4EE">
      <w:pPr>
        <w:pStyle w:val="4"/>
      </w:pPr>
      <w:bookmarkStart w:id="1" w:name="X6dd942e81695e908bbe90398fa2c69aa10be111"/>
      <w:r>
        <w:t>Структурный пример конфигурации OPA (Конфиг и Логика)</w:t>
      </w:r>
      <w:bookmarkEnd w:id="1"/>
    </w:p>
    <w:p w14:paraId="7381FA39">
      <w:r>
        <w:rPr>
          <w:b/>
          <w:bCs/>
        </w:rPr>
        <w:t>1. Динамические данные в памяти OPA (data.json):</w:t>
      </w:r>
      <w:r>
        <w:t xml:space="preserve"> Формируется автоматически на основе таблицы role_permissions для всех тенантов. Показывает разделение на базовые (основные) и кастомные (дополнительные) роли. json { “tenants”: { “bank-007”: { “name”: “Альфа-Банк”, “status”: “active”, “roles”: { “bank_admin”: { “description”: “Основная роль: Администратор”, “allowed_methods”: [“*”] }, “senior_operator”: { “description”: “Дополнительная роль: Старший операционист”, “allowed_methods”: [ “GET /api/v1/clients/*“,”POST /api/v1/loans/approve” ] } } }, “bank-008”: { “name”: “Омега-Банк”, “status”: “blocked”, “roles”: { “auditor”: { “description”: “Дополнительная роль: Аудитор”, “allowed_methods”: [“GET /api/v1/reports/*”] } } } } }</w:t>
      </w:r>
    </w:p>
    <w:p w14:paraId="078E0BB1">
      <w:r>
        <w:rPr>
          <w:b/>
          <w:bCs/>
        </w:rPr>
        <w:t>2. Входной запрос от Kong (input.json):</w:t>
      </w:r>
      <w:r>
        <w:t xml:space="preserve"> Контекст, извлеченный из JWT токена сотрудника и HTTP-запроса. json { “input”: { “tenant_id”: “bank-007”, “roles”: [“senior_operator”], “method”: “POST”, “path”: “/api/v1/loans/approve” } }</w:t>
      </w:r>
    </w:p>
    <w:p w14:paraId="7FB18BAF">
      <w:r>
        <w:rPr>
          <w:b/>
          <w:bCs/>
        </w:rPr>
        <w:t>3. Универсальные правила авторизации (authz.rego в Git):</w:t>
      </w:r>
      <w:r>
        <w:t xml:space="preserve"> Статичный код политики, обрабатывающий входящий контекст на основе переданной даты. rego package abac.api.authz import future.keywords.in</w:t>
      </w:r>
    </w:p>
    <w:p w14:paraId="73AB2221">
      <w:r>
        <w:t>default allow = false</w:t>
      </w:r>
    </w:p>
    <w:p w14:paraId="126D3FB3">
      <w:pPr>
        <w:pStyle w:val="2"/>
      </w:pPr>
      <w:bookmarkStart w:id="2" w:name="проверка-активности-банка"/>
      <w:r>
        <w:t>Проверка активности банка</w:t>
      </w:r>
      <w:bookmarkEnd w:id="2"/>
    </w:p>
    <w:p w14:paraId="7FD1B7AF">
      <w:r>
        <w:t>is_tenant_active { data.tenants[input.tenant_id].status == “active” }</w:t>
      </w:r>
    </w:p>
    <w:p w14:paraId="628363DB">
      <w:pPr>
        <w:pStyle w:val="2"/>
      </w:pPr>
      <w:bookmarkStart w:id="3" w:name="X9cc539651b044807959f1d8965a7df053b32de1"/>
      <w:r>
        <w:t>Основное правило авторизации по массиву ролей</w:t>
      </w:r>
      <w:bookmarkEnd w:id="3"/>
    </w:p>
    <w:p w14:paraId="64926950">
      <w:r>
        <w:t>allow { is_tenant_active some user_role in input.roles allowed_endpoints := data.tenants[input.tenant_id].roles[user_role].allowed_methods some endpoint in allowed_endpoints match_endpoint(endpoint, input.method, input.path) }</w:t>
      </w:r>
    </w:p>
    <w:p w14:paraId="4FEB11A3">
      <w:r>
        <w:t xml:space="preserve">match_endpoint(endpoint, </w:t>
      </w:r>
      <w:r>
        <w:rPr>
          <w:i/>
          <w:iCs/>
        </w:rPr>
        <w:t xml:space="preserve">, </w:t>
      </w:r>
      <w:r>
        <w:t>) { endpoint == “</w:t>
      </w:r>
      <w:r>
        <w:rPr>
          <w:i/>
          <w:iCs/>
        </w:rPr>
        <w:t>” } match_endpoint(endpoint, method, path) { endpoint == sprintf(”%s %s”, [method, path]) } match_endpoint(endpoint, method, path) { endswith(endpoint, ”</w:t>
      </w:r>
      <w:r>
        <w:t>”) prefix := trim_suffix(endpoint, “*“) startswith(sprintf(”%s %s”, [method, path]), prefix) }</w:t>
      </w:r>
    </w:p>
    <w:p w14:paraId="1C76D81E">
      <w:r>
        <w:t xml:space="preserve">Если OPA отвечает allow, Kong проксирует запрос в бэкенд АБС. Бэкенд считывает tenant_id из токена и применяет </w:t>
      </w:r>
      <w:r>
        <w:rPr>
          <w:b/>
          <w:bCs/>
        </w:rPr>
        <w:t>RLS (Row-Level Security)</w:t>
      </w:r>
      <w:r>
        <w:t xml:space="preserve"> в своей бизнес-БД PostgreSQL (SQL: выполняется пре-хук SET LOCAL app.current_tenant = ‘bank-007’). Даже при гипотетической ошибке OPA банк физически не сможет прочитать чужие данные из соседнего тенанта.</w:t>
      </w:r>
    </w:p>
    <w:p w14:paraId="0DA11764">
      <w:pPr>
        <w:pStyle w:val="20"/>
      </w:pPr>
      <w:r>
        <w:rPr>
          <w:b/>
          <w:bCs/>
        </w:rPr>
        <w:t>Шаг 5. Изменения в процессе работы</w:t>
      </w:r>
    </w:p>
    <w:p w14:paraId="2B5CC6EE">
      <w:pPr>
        <w:numPr>
          <w:ilvl w:val="0"/>
          <w:numId w:val="7"/>
        </w:numPr>
      </w:pPr>
      <w:r>
        <w:rPr>
          <w:b/>
          <w:bCs/>
        </w:rPr>
        <w:t>Сотрудник уволен:</w:t>
      </w:r>
      <w:r>
        <w:t xml:space="preserve"> Владелец нажимает “Уволить”. Admin Service синхронно добавляет user_id в Redis стоп-лист (Redis API: SET blacklist:user:{user_id} true EX 3600) с </w:t>
      </w:r>
      <w:r>
        <w:rPr>
          <w:b/>
          <w:bCs/>
        </w:rPr>
        <w:t>TTL записи равным 1 часу</w:t>
      </w:r>
      <w:r>
        <w:t xml:space="preserve"> (максимальное время жизни токена), чтобы ключ автоматически удалился и не забивал память RAM. Затем асинхронно выставляет флаг блокировки в профиле (Keycloak Admin API: PUT /admin/realms/{realm}/users/{user-id} с телом {“enabled”: false}).</w:t>
      </w:r>
    </w:p>
    <w:p w14:paraId="2E06EC96">
      <w:pPr>
        <w:numPr>
          <w:ilvl w:val="0"/>
          <w:numId w:val="7"/>
        </w:numPr>
      </w:pPr>
      <w:r>
        <w:rPr>
          <w:b/>
          <w:bCs/>
        </w:rPr>
        <w:t>Сотрудник сменил роль:</w:t>
      </w:r>
      <w:r>
        <w:t xml:space="preserve"> Admin Service обновляет маппинг ролей пользователя (Keycloak Admin API: POST /admin/realms/{realm}/users/{user-id}/role-mappings/clients/{client-uuid} и DELETE для старой роли). Новый токен при авто-refresh подтянет обновленный массив ролей.</w:t>
      </w:r>
    </w:p>
    <w:p w14:paraId="79A48829">
      <w:pPr>
        <w:numPr>
          <w:ilvl w:val="0"/>
          <w:numId w:val="7"/>
        </w:numPr>
      </w:pPr>
      <w:r>
        <w:rPr>
          <w:b/>
          <w:bCs/>
        </w:rPr>
        <w:t>Появился новый метод АБС для существующих парадигм:</w:t>
      </w:r>
      <w:r>
        <w:t xml:space="preserve"> Разработчик выкатывает метод. Архитектору </w:t>
      </w:r>
      <w:r>
        <w:rPr>
          <w:b/>
          <w:bCs/>
        </w:rPr>
        <w:t>не нужно править Rego</w:t>
      </w:r>
      <w:r>
        <w:t>. Метод просто регистрируется в БД admin_db через миграцию или внутренний эндпоинт, становится доступен в UI для галочек и попадает в OPA через data.json.</w:t>
      </w:r>
    </w:p>
    <w:p w14:paraId="7CD03AA0">
      <w:pPr>
        <w:numPr>
          <w:ilvl w:val="0"/>
          <w:numId w:val="7"/>
        </w:numPr>
      </w:pPr>
      <w:r>
        <w:rPr>
          <w:b/>
          <w:bCs/>
        </w:rPr>
        <w:t>Появилась принципиально новая парадигма (например, доступ по расписанию):</w:t>
      </w:r>
      <w:r>
        <w:t xml:space="preserve"> Только в этом случае архитектор правит .rego файлы в Git. CI собирает новый базовый bundle и деплоит его в OPA.</w:t>
      </w:r>
    </w:p>
    <w:p w14:paraId="3B7AA39F">
      <w:r>
        <w:rPr>
          <w:b/>
          <w:bCs/>
        </w:rPr>
        <w:t>Шаг 6. Смена статуса самого банка</w:t>
      </w:r>
    </w:p>
    <w:p w14:paraId="08C280A1">
      <w:pPr>
        <w:pStyle w:val="20"/>
      </w:pPr>
      <w:r>
        <w:t>При блокировке банка менеджер меняет статус в Admin UI. Сценарий выполняется в две фазы:</w:t>
      </w:r>
    </w:p>
    <w:p w14:paraId="2D7ADEE2">
      <w:pPr>
        <w:numPr>
          <w:ilvl w:val="0"/>
          <w:numId w:val="9"/>
        </w:numPr>
      </w:pPr>
      <w:r>
        <w:rPr>
          <w:b/>
          <w:bCs/>
        </w:rPr>
        <w:t>Синхронно:</w:t>
      </w:r>
      <w:r>
        <w:t xml:space="preserve"> Admin Service добавляет идентификатор тенанта в Redis стоп-лист </w:t>
      </w:r>
      <w:r>
        <w:rPr>
          <w:b/>
          <w:bCs/>
        </w:rPr>
        <w:t>без TTL</w:t>
      </w:r>
      <w:r>
        <w:t xml:space="preserve"> (Redis API: SET blacklist:tenant:{tenant_id} true). С этой миллисекунды Kong на входе рубит любые запросы этого банка.</w:t>
      </w:r>
    </w:p>
    <w:p w14:paraId="5F38D194">
      <w:pPr>
        <w:numPr>
          <w:ilvl w:val="0"/>
          <w:numId w:val="9"/>
        </w:numPr>
      </w:pPr>
      <w:r>
        <w:rPr>
          <w:b/>
          <w:bCs/>
        </w:rPr>
        <w:t>Асинхронно:</w:t>
      </w:r>
      <w:r>
        <w:t xml:space="preserve"> Задача на полную блокировку сущностей отправляется в очередь сообщений (Broker API: BasicPublish в RabbitMQ/Kafka). Фоновый воркер вычитывает задачу и планомерно деактивирует клиентское приложение банка (Keycloak Admin API: PUT /admin/realms/{realm}/clients/{client-uuid} -&gt; {“enabled”: false}) и обходит пользователей. Использование гарантированной очереди с настроенными Retry и Dead Letter Queue (DLQ) обеспечивает </w:t>
      </w:r>
      <w:r>
        <w:rPr>
          <w:b/>
          <w:bCs/>
        </w:rPr>
        <w:t>eventual consistency</w:t>
      </w:r>
      <w:r>
        <w:t xml:space="preserve"> даже в случае временной недоступности Keycloak на момент блокировки.</w:t>
      </w:r>
      <w:bookmarkStart w:id="4" w:name="архитектурные-решения-adr-summary"/>
      <w:bookmarkStart w:id="5" w:name="_GoBack"/>
      <w:bookmarkEnd w:id="5"/>
    </w:p>
    <w:bookmarkEnd w:id="0"/>
    <w:bookmarkEnd w:id="4"/>
    <w:sectPr>
      <w:pgSz w:w="12240" w:h="15840"/>
      <w:pgMar w:top="1440" w:right="600" w:bottom="1440" w:left="6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7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12729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="Times New Roman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6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6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  <w:color w:val="254061" w:themeColor="accent1" w:themeShade="80"/>
      <w:sz w:val="24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  <w:color w:val="254061" w:themeColor="accent1" w:themeShade="80"/>
      <w:sz w:val="24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Times New Roman" w:cs="Times New Roman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  <w:rPr>
      <w:rFonts w:ascii="Times New Roman" w:hAnsi="Times New Roman"/>
      <w:sz w:val="24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  <w:rPr>
      <w:rFonts w:ascii="Times New Roman" w:hAnsi="Times New Roman"/>
      <w:sz w:val="24"/>
    </w:r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rPr>
      <w:rFonts w:ascii="Times New Roman" w:hAnsi="Times New Roman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rFonts w:ascii="Times New Roman" w:hAnsi="Times New Roman"/>
      <w:i/>
      <w:i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 w:themeColor="accent1"/>
      <w:sz w:val="24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rPr>
      <w:rFonts w:ascii="Times New Roman" w:hAnsi="Times New Roman"/>
      <w:sz w:val="22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4">
    <w:name w:val="Source Code"/>
    <w:basedOn w:val="1"/>
    <w:uiPriority w:val="0"/>
    <w:pPr>
      <w:wordWrap w:val="0"/>
    </w:pPr>
  </w:style>
  <w:style w:type="character" w:customStyle="1" w:styleId="165">
    <w:name w:val="KeywordTok"/>
    <w:uiPriority w:val="0"/>
    <w:rPr>
      <w:b/>
      <w:color w:val="007020"/>
    </w:rPr>
  </w:style>
  <w:style w:type="character" w:customStyle="1" w:styleId="166">
    <w:name w:val="DataTypeTok"/>
    <w:uiPriority w:val="0"/>
    <w:rPr>
      <w:color w:val="902000"/>
    </w:rPr>
  </w:style>
  <w:style w:type="character" w:customStyle="1" w:styleId="167">
    <w:name w:val="DecValTok"/>
    <w:uiPriority w:val="0"/>
    <w:rPr>
      <w:color w:val="40A070"/>
    </w:rPr>
  </w:style>
  <w:style w:type="character" w:customStyle="1" w:styleId="168">
    <w:name w:val="BaseNTok"/>
    <w:uiPriority w:val="0"/>
    <w:rPr>
      <w:color w:val="40A070"/>
    </w:rPr>
  </w:style>
  <w:style w:type="character" w:customStyle="1" w:styleId="169">
    <w:name w:val="FloatTok"/>
    <w:uiPriority w:val="0"/>
    <w:rPr>
      <w:color w:val="40A070"/>
    </w:rPr>
  </w:style>
  <w:style w:type="character" w:customStyle="1" w:styleId="170">
    <w:name w:val="ConstantTok"/>
    <w:uiPriority w:val="0"/>
    <w:rPr>
      <w:color w:val="880000"/>
    </w:rPr>
  </w:style>
  <w:style w:type="character" w:customStyle="1" w:styleId="171">
    <w:name w:val="CharTok"/>
    <w:uiPriority w:val="0"/>
    <w:rPr>
      <w:color w:val="4070A0"/>
    </w:rPr>
  </w:style>
  <w:style w:type="character" w:customStyle="1" w:styleId="172">
    <w:name w:val="SpecialCharTok"/>
    <w:uiPriority w:val="0"/>
    <w:rPr>
      <w:color w:val="4070A0"/>
    </w:rPr>
  </w:style>
  <w:style w:type="character" w:customStyle="1" w:styleId="173">
    <w:name w:val="StringTok"/>
    <w:uiPriority w:val="0"/>
    <w:rPr>
      <w:color w:val="4070A0"/>
    </w:rPr>
  </w:style>
  <w:style w:type="character" w:customStyle="1" w:styleId="174">
    <w:name w:val="VerbatimStringTok"/>
    <w:uiPriority w:val="0"/>
    <w:rPr>
      <w:color w:val="4070A0"/>
    </w:rPr>
  </w:style>
  <w:style w:type="character" w:customStyle="1" w:styleId="175">
    <w:name w:val="SpecialStringTok"/>
    <w:uiPriority w:val="0"/>
    <w:rPr>
      <w:color w:val="BB6688"/>
    </w:rPr>
  </w:style>
  <w:style w:type="character" w:customStyle="1" w:styleId="176">
    <w:name w:val="ImportTok"/>
    <w:uiPriority w:val="0"/>
    <w:rPr>
      <w:b/>
      <w:color w:val="008000"/>
    </w:rPr>
  </w:style>
  <w:style w:type="character" w:customStyle="1" w:styleId="177">
    <w:name w:val="CommentTok"/>
    <w:qFormat/>
    <w:uiPriority w:val="0"/>
    <w:rPr>
      <w:i/>
      <w:color w:val="60A0B0"/>
    </w:rPr>
  </w:style>
  <w:style w:type="character" w:customStyle="1" w:styleId="178">
    <w:name w:val="DocumentationTok"/>
    <w:qFormat/>
    <w:uiPriority w:val="0"/>
    <w:rPr>
      <w:i/>
      <w:color w:val="BA2121"/>
    </w:rPr>
  </w:style>
  <w:style w:type="character" w:customStyle="1" w:styleId="179">
    <w:name w:val="AnnotationTok"/>
    <w:qFormat/>
    <w:uiPriority w:val="0"/>
    <w:rPr>
      <w:b/>
      <w:i/>
      <w:color w:val="60A0B0"/>
    </w:rPr>
  </w:style>
  <w:style w:type="character" w:customStyle="1" w:styleId="180">
    <w:name w:val="CommentVarTok"/>
    <w:qFormat/>
    <w:uiPriority w:val="0"/>
    <w:rPr>
      <w:b/>
      <w:i/>
      <w:color w:val="60A0B0"/>
    </w:rPr>
  </w:style>
  <w:style w:type="character" w:customStyle="1" w:styleId="181">
    <w:name w:val="OtherTok"/>
    <w:qFormat/>
    <w:uiPriority w:val="0"/>
    <w:rPr>
      <w:color w:val="007020"/>
    </w:rPr>
  </w:style>
  <w:style w:type="character" w:customStyle="1" w:styleId="182">
    <w:name w:val="FunctionTok"/>
    <w:qFormat/>
    <w:uiPriority w:val="0"/>
    <w:rPr>
      <w:color w:val="06287E"/>
    </w:rPr>
  </w:style>
  <w:style w:type="character" w:customStyle="1" w:styleId="183">
    <w:name w:val="VariableTok"/>
    <w:qFormat/>
    <w:uiPriority w:val="0"/>
    <w:rPr>
      <w:color w:val="19177C"/>
    </w:rPr>
  </w:style>
  <w:style w:type="character" w:customStyle="1" w:styleId="184">
    <w:name w:val="ControlFlowTok"/>
    <w:qFormat/>
    <w:uiPriority w:val="0"/>
    <w:rPr>
      <w:b/>
      <w:color w:val="007020"/>
    </w:rPr>
  </w:style>
  <w:style w:type="character" w:customStyle="1" w:styleId="185">
    <w:name w:val="OperatorTok"/>
    <w:qFormat/>
    <w:uiPriority w:val="0"/>
    <w:rPr>
      <w:color w:val="666666"/>
    </w:rPr>
  </w:style>
  <w:style w:type="character" w:customStyle="1" w:styleId="186">
    <w:name w:val="BuiltInTok"/>
    <w:qFormat/>
    <w:uiPriority w:val="0"/>
    <w:rPr>
      <w:color w:val="008000"/>
    </w:rPr>
  </w:style>
  <w:style w:type="character" w:customStyle="1" w:styleId="187">
    <w:name w:val="ExtensionTok"/>
    <w:qFormat/>
    <w:uiPriority w:val="0"/>
  </w:style>
  <w:style w:type="character" w:customStyle="1" w:styleId="188">
    <w:name w:val="PreprocessorTok"/>
    <w:qFormat/>
    <w:uiPriority w:val="0"/>
    <w:rPr>
      <w:color w:val="BC7A00"/>
    </w:rPr>
  </w:style>
  <w:style w:type="character" w:customStyle="1" w:styleId="189">
    <w:name w:val="AttributeTok"/>
    <w:qFormat/>
    <w:uiPriority w:val="0"/>
    <w:rPr>
      <w:color w:val="7D9029"/>
    </w:rPr>
  </w:style>
  <w:style w:type="character" w:customStyle="1" w:styleId="190">
    <w:name w:val="RegionMarkerTok"/>
    <w:qFormat/>
    <w:uiPriority w:val="0"/>
  </w:style>
  <w:style w:type="character" w:customStyle="1" w:styleId="191">
    <w:name w:val="InformationTok"/>
    <w:qFormat/>
    <w:uiPriority w:val="0"/>
    <w:rPr>
      <w:b/>
      <w:i/>
      <w:color w:val="60A0B0"/>
    </w:rPr>
  </w:style>
  <w:style w:type="character" w:customStyle="1" w:styleId="192">
    <w:name w:val="WarningTok"/>
    <w:qFormat/>
    <w:uiPriority w:val="0"/>
    <w:rPr>
      <w:b/>
      <w:i/>
      <w:color w:val="60A0B0"/>
    </w:rPr>
  </w:style>
  <w:style w:type="character" w:customStyle="1" w:styleId="193">
    <w:name w:val="AlertTok"/>
    <w:qFormat/>
    <w:uiPriority w:val="0"/>
    <w:rPr>
      <w:b/>
      <w:color w:val="FF0000"/>
    </w:rPr>
  </w:style>
  <w:style w:type="character" w:customStyle="1" w:styleId="194">
    <w:name w:val="ErrorTok"/>
    <w:qFormat/>
    <w:uiPriority w:val="0"/>
    <w:rPr>
      <w:b/>
      <w:color w:val="FF0000"/>
    </w:rPr>
  </w:style>
  <w:style w:type="character" w:customStyle="1" w:styleId="195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2026-06-22T16:20:00Z</dcterms:created>
  <dc:creator>Vasil Burkin</dc:creator>
  <cp:lastModifiedBy>Vasil Burkin</cp:lastModifiedBy>
  <dcterms:modified xsi:type="dcterms:W3CDTF">2026-06-22T16:31:13Z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1049-12.2.0.23203</vt:lpwstr>
  </property>
  <property fmtid="{D5CDD505-2E9C-101B-9397-08002B2CF9AE}" pid="3" name="ICV">
    <vt:lpwstr>E89F987CA26741ADB22E1E4B078725B3_12</vt:lpwstr>
  </property>
</Properties>
</file>