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5qhv32vt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Аудит архитектуры MVP Capital Bank (НФТ и соответствие требованиям)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spd1oohl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Анализ атрибутов качества, сформулированных командой MVP (Confluence)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um2wr4wa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Производительность (PER-1 … PER-12)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0897596677701"/>
        <w:gridCol w:w="2125.590510063527"/>
        <w:gridCol w:w="3143.6116856150165"/>
        <w:gridCol w:w="3002.219855677309"/>
        <w:tblGridChange w:id="0">
          <w:tblGrid>
            <w:gridCol w:w="754.0897596677701"/>
            <w:gridCol w:w="2125.590510063527"/>
            <w:gridCol w:w="3143.6116856150165"/>
            <w:gridCol w:w="3002.219855677309"/>
          </w:tblGrid>
        </w:tblGridChange>
      </w:tblGrid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 требования (кратко)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Насколько архитектура MVP реально тянет (по оценке из архитектуры и профиля нагрузки, см. разделы 2 и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формулировки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отклика на действия пользователя &lt; 1 c в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Для простых экранов и текущей предполагаемой нагрузки (до ~8–12 тяжёлых денежных операций/с, см. 3.3) реалистично. При выходе за этот диапазон задержки будут расти.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Есть метрика и квантиль, но нет привязки к конкретным сценариям и условиям нагрузки.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То же для нажатия кнопки/загрузки страниц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По сути тот же KPI, что PER-1. Фактическая реализуемость аналогична.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Дублирует PER-1, создаёт двусмысленность: два почти идентичных требования к одному и тому же показателю.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До 500 запросов/транзакций в минуту без деградации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500/мин = ~8,3 запроса/с. Оценка архитектурной ёмкости ABS (раздел 3) — 8–12 тяжёлых операций/с. Требование попадает в этот коридор, но без запаса.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Есть число и критерий, но формулировка «запросов или транзакций» размыта, не указан профиль операций.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Актуальность данных, задержка обновления ≤ 5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текущей архитектуре все ключевые данные читаются онлайн из ABS, фактическая задержка ≈ 0–1 c. Требование выполняется, но ценой жёсткой синхронной связи с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Формально корректно, но не разделяет типы данных (балансы, справочники, аналитика) и не фиксирует цену SLA по архитектуре.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До 50 одновременных запросов без просадки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При нагрузке порядка 8–12 тяжёлых операций/с 50 параллельных HTTP-запросов не критичны. Основным ограничителем будет не «одновременность», а RPS и блокировки в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«50 одновременных запросов» без сценария и метода измерения — слабый показатель, трудно воспроизводим в тестах.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Полная загрузка страницы ≤ 3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Для простых экранов — достижимо. Если на странице отображается результат денежной операции с онлайновым вызовом ABS, при пиках нагрузки возможен выход за 3 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Измеримый показатель, но без указания окружения (мобильная сеть/десктоп) и профиля нагрузки.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Поисковые запросы ≤ 1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При небольших объёмах данных и текущей архитектуре требование реалистично. При росте объёмов поиск будет упираться в те же общие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Нормальная формулировка, но без объёмов данных и характеристик поиска.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Все транзакционные операции (перевод/оплата/пополнение) ≤ 3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При нагрузке до 8–12 оп/с P95 по оценке укладывается в 0,8–1,2 c. При росте до 20–25 оп/с P95 выходит за 3 c. Требование выполняется только в текущем масштабе.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Хороший KPI, но без указания допустимого диапазона нагрузок; фактически воспринимается как «3 c всегда».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Внутренние API ≤ 500 мс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Для сложных цепочек с 3–5 последовательными вызовами и участием ABS хотя бы один сегмент цепочки будет иметь задержку более 500 мс под нагрузкой.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Есть числовой лимит, но не указано, относится ли он к среднему, P95 или P99; такая трактовка плохо управляется.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PER-10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Наличие индексов в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Архитектура не препятствует выполнению, это базовая практика проектирования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Это скорее правило реализации/чеклист, чем нефункциональное требование верхнего уровня.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PER-11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Кэширование часто запрашиваемых данных на клиенте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Частично выполняется на фронте, но ключевые данные (балансы) всё равно читаются online из ABS, поэтому реальная производительность определяется серверной частью.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Описывает способ реализации, а не требуемый эффект; не привязан к измеримой метрике.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PER-12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Динамическая загрузка страниц без полной перезагрузки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Завязано на архитектуре фронта (SPA), back-end здесь вторичен.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Это требование к UX/фронту; не связано напрямую с производительностью сервера и ABS.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 по PER:</w:t>
        <w:br w:type="textWrapping"/>
      </w:r>
      <w:r w:rsidDel="00000000" w:rsidR="00000000" w:rsidRPr="00000000">
        <w:rPr>
          <w:rtl w:val="0"/>
        </w:rPr>
        <w:t xml:space="preserve"> Численные значения частично согласуются с архитектурным потенциалом (коридор 8–12 тяжёлых операций/с, см. 3.3), но набор требований неоднороден: часть — дубли, часть — указания «как делать», а не «какого результата ожидать». Сценарий, нагрузка и среда выполнения почти нигде явно не заданы, из-за чего трудно понять, при каких именно условиях эти показатели должны выполняться.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wtbhbwvxs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Безопасность (SEC-1 … SEC-15)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0897596677701"/>
        <w:gridCol w:w="2097.3121440759855"/>
        <w:gridCol w:w="3426.39534549043"/>
        <w:gridCol w:w="2747.714561789437"/>
        <w:tblGridChange w:id="0">
          <w:tblGrid>
            <w:gridCol w:w="754.0897596677701"/>
            <w:gridCol w:w="2097.3121440759855"/>
            <w:gridCol w:w="3426.39534549043"/>
            <w:gridCol w:w="2747.7145617894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 архитектуре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формулировки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Обязательная аутентификация и двухфакторная авторизация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Архитектура с Gateway и Keycloak поддерживает эти требования, реализация реалистична.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Формулировки разумные, но без параметров стойкости (срок жизни кода, пороги попыток).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Защита веб-приложения от OWASP Top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Технический стек не мешает этому, но сам по себе не гарантирует. Требуется конкретный процесс тестирования и защиты.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Остаётся декларацией без измеримых критериев и процедур проверки.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Ролевое разграничение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Поддерживается средствами Keycloak и сервисных ролей.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Нормально, но не привязано к доменным областям; роли описаны на уровне функций/экранов.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SEC-5,6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Скрытый ввод пароля и проверка после полного ввода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Реализуется на уровне клиентского приложения.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 к UX/фронту, не к архитектуре платформы.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SEC-7,8,9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Блокировки при неудачных попытках и автологаут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Поддерживаются возможностями Identity-провайдера, архитектура не ограничивает.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Формулировки корректны, но без требований к журналированию и аналитике этих событий.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Завершение сессий с других устройств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Может быть реализовано в контуре аутентификации; архитектура это допускает.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описан, но без SLA по времени инвалидирования сессий.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геоданным только с согласия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На архитектуру платформы влияет минимально.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Корректное юридическое требование.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Шифрование данных и документов в передаче и хранении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TLS реализуем, шифрование БД зависит от инфраструктуры и настроек. В текущем описании архитектуры этот аспект не раскрыт.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Формулировка слишком общая («все данные всегда»), без указания средств и допустимого влияния на производительность.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паролей с SHA-256 + соль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Современные провайдеры (Keycloak и др.) используют более сложные схемы (PBKDF2/Bcrypt/Argon2). Требование чрезмерно конкретизирует алгоритм и рискует устареть.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Лучше формулировать на уровне класса алгоритмов и параметров, а не конкретного хэша.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Годичный срок хранения журнала действий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Вписывается в наличие Audit-сервиса; объёмы и архивирование в архитектуре не проработаны.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Требование разумное, но без оценок объёмов и требований к защите и доступу к журналам.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о входе с нового устройства и изменениях настроек безопасности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Реализуемо через уведомления, архитектура поддерживает.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Содержательно верно, но без указания каналов и сроков доставки.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 по SEC:</w:t>
        <w:br w:type="textWrapping"/>
      </w:r>
      <w:r w:rsidDel="00000000" w:rsidR="00000000" w:rsidRPr="00000000">
        <w:rPr>
          <w:rtl w:val="0"/>
        </w:rPr>
        <w:t xml:space="preserve"> Архитектура MVP в целом поддерживает реализуемость перечисленных требований. Основной пробел - отсутствие в требованиях явного поведенческого слоя безопасности (антифрод, анализ аномалий, скоринг рисков). Текущий набор закрывает базовую «гигиену» (аутентификация, роли, шифрование), но не учитывает специфику финансовых операций.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6j5ttwdbq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Требования к защите / соответствию (SAF-1 … SAF-9)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SAF-блок описывает соответствие нормативным актам, резервное копирование и организационные меры безопасности.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Архитектура MVP этим требованиям </w:t>
      </w:r>
      <w:r w:rsidDel="00000000" w:rsidR="00000000" w:rsidRPr="00000000">
        <w:rPr>
          <w:b w:val="1"/>
          <w:bCs w:val="1"/>
          <w:rtl w:val="0"/>
        </w:rPr>
        <w:t xml:space="preserve">не противоречит</w:t>
      </w:r>
      <w:r w:rsidDel="00000000" w:rsidR="00000000" w:rsidRPr="00000000">
        <w:rPr>
          <w:rtl w:val="0"/>
        </w:rPr>
        <w:t xml:space="preserve">, но они практически не конкретизированы на уровне технических решений.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SAF-5 (резервное копирование) подразумевает продуманную стратегию бэкапов ABS и сервисных БД. В архитектурном описании эта стратегия не показана.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SAF-7 (логирование payload, request id и т.п.) согласуется с наличием отдельного Audit-сервиса, но требования к формату, объёмам и хранению логов отсутствуют.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 по SAF:</w:t>
        <w:br w:type="textWrapping"/>
      </w:r>
      <w:r w:rsidDel="00000000" w:rsidR="00000000" w:rsidRPr="00000000">
        <w:rPr>
          <w:rtl w:val="0"/>
        </w:rPr>
        <w:t xml:space="preserve"> Это корректная рамка организационно-правовых требований, но без детализации того, как архитектура системы эти требования обеспечивает.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v57ehec6y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Доступность (AVL-1 … AVL-9)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2.3681256553114"/>
        <w:gridCol w:w="2238.703974013692"/>
        <w:gridCol w:w="3200.168417590099"/>
        <w:gridCol w:w="2804.27129376452"/>
        <w:tblGridChange w:id="0">
          <w:tblGrid>
            <w:gridCol w:w="782.3681256553114"/>
            <w:gridCol w:w="2238.703974013692"/>
            <w:gridCol w:w="3200.168417590099"/>
            <w:gridCol w:w="2804.271293764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 архитектуре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Доступность системы ≥ 99,9% (≤ 43 минут простоя в месяц)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 учётом единственного контура учёта ABS и зависимости всех денежных операций от него реалистичный уровень доступности ближе к 99,0–99,5%.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Целевой показатель сформулирован корректно, но выбранная архитектура без дополнительных механизмов отказоустойчивости его не обеспечивает.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Плановые обновления ночью и не более 10% от общего простоя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При централизации логики в ABS/Products/Payments крупные обновления потребуют заметного времени простоя. Вписаться в ~4 минуты/месяц практически невозможно.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Требование по сути недостижимо для описанной архитектуры, но это в документе не отражено.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Непрерывный мониторинг с интервалом не более 1 минуты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Архитектурно реализуемо средствами мониторинга и оркестрации.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Формулировка нормальная, но не указывает конкретные показатели и пороги SLO.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Восстановление ключевых подсистем за ≤ 2 часов (RTO)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При отсутствии описанной схемы реплик и резервирования ABS укладывание в RTO=2 часа выглядит оптимистично.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Требование корректное, но требует детальной проработки на уровне инфраструктуры.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Геораспределение  обеспечивать доступность по зонам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MVP геораспределения не предусматривает; требование пока носит декларативный характер.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AVL-6–AVL-8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Поддержка 24×7, уведомления о работах и сообщениях об ошибках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Относятся к организационным процессам и UX, архитектуру платформы практически не затрагивают.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AVL-9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Автоматический перезапуск сервисов при сбоях (например, в Kubernetes)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При контейнерном развертывании реализуемо, но в архитектурном описании оркестратор не представлен.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 по AVL:</w:t>
        <w:br w:type="textWrapping"/>
      </w:r>
      <w:r w:rsidDel="00000000" w:rsidR="00000000" w:rsidRPr="00000000">
        <w:rPr>
          <w:rtl w:val="0"/>
        </w:rPr>
        <w:t xml:space="preserve"> Заявленный уровень доступности 99,9% и требования к плановым работам находятся в противоречии с реальными возможностями текущей архитектуры (единая ABS и централизованный продуктовый монолит). Это расхождение в документе не проговорено.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jjbfn57u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Надёжность (ROB-1 … ROB-9)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ROB-требования касаются автозапуска, сохранности данных и поведения при ошибках.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Автовосстановление сервисов (ROB-1, 6, 7, 8) согласуется с контейнерной архитектурой, но из-за единой БД ABS отказ этого контура по-прежнему останавливает денежные операции.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по сохранности данных (ROB-2, 5, 9) логичны, но для витрин и сервисов, работающих по событиям, механизмы восстановления не описаны; ответственность фактически лежит на ABS как единственном устойчивом хранилище.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ROB-3, 4 относятся к работе с удалением данных и больше затрагивают UX и бизнес-логику, чем архитектуру платформы.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 по ROB:</w:t>
        <w:br w:type="textWrapping"/>
      </w:r>
      <w:r w:rsidDel="00000000" w:rsidR="00000000" w:rsidRPr="00000000">
        <w:rPr>
          <w:rtl w:val="0"/>
        </w:rPr>
        <w:t xml:space="preserve"> Набор требований корректен, но смешивает UX-аспекты, инфраструктуру и поведение при сбоях. Ключевой архитектурный риск (централизация в ABS) в этом блоке никак не отражён.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4g67d6jz4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Общий вывод по требованиям команды MVP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Нефункциональные требования в Confluence в целом очерчивают нормальные целевые показатели для банковского приложения, но описаны неравномерно: часть — на уровне метрик, часть — на уровне способов реализации, часть — декларации без критериев.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Числовые ориентиры по производительности и доступности соответствуют масштабу небольшого банка, но не подкреплены архитектурными решениями для дальнейшего роста.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уровне требований не зафиксированы ключевые архитектурные ограничения (единая ABS, продуктовый монолит) и не отражены зоны повышенного риска (масштабируемость, отказоустойчивость, поведенческая безопасность).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qqt972ro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 архитектуры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qa2vshhna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Роль ABS / Core Banking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5679605544515"/>
        <w:gridCol w:w="4012.9405549545927"/>
        <w:gridCol w:w="3739.0032955145784"/>
        <w:tblGridChange w:id="0">
          <w:tblGrid>
            <w:gridCol w:w="1273.5679605544515"/>
            <w:gridCol w:w="4012.9405549545927"/>
            <w:gridCol w:w="3739.00329551457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Роль ABS/Core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ABS Simulator — центр всей денежной логики: без него не работают ни платежи, ни актуализация балансов, ни создание/изменение счетов и договоров.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Core Banking — центр учёта (счета, проводки, регистры). Бизнес-логика продуктов и каналов вынесена в отдельные доменные контуры.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Симптом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Любой сценарий, где клиент видит или двигает деньги, проходит по критическому пути через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Значительная часть сценариев выполняется на витринах и продуктовых сервисах; ядро учёта вызывается только для проведения проводки.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g5yoe4bue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Продуктовый слой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6.5809665165657"/>
        <w:gridCol w:w="3378.5595330935075"/>
        <w:gridCol w:w="4200.37131141355"/>
        <w:tblGridChange w:id="0">
          <w:tblGrid>
            <w:gridCol w:w="1446.5809665165657"/>
            <w:gridCol w:w="3378.5595330935075"/>
            <w:gridCol w:w="4200.3713114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Один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Products Service</w:t>
            </w:r>
            <w:r w:rsidDel="00000000" w:rsidR="00000000" w:rsidRPr="00000000">
              <w:rPr>
                <w:rtl w:val="0"/>
              </w:rPr>
              <w:t xml:space="preserve"> для карт, кредитов и депозитов. Одна схема, общие таблицы.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Несколько доменных сервисов: Card Products, Loan Products, Deposit Products, Tariffs/Pricing, Limits и др.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Характер логики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Проверки, статусы и параметры всех продуктов сосредоточены в одном модуле.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домен имеет собственное хранилище и инварианты, контракты между доменами чётко определены.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 любого продукта приводит к изменению общего кода и схемы.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Большинство изменений локализуются в соответствующем доменном сервисе либо небольшой их группе.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aftryg7eb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Стиль интеграции: синхронность против асинхронности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9.562973288626"/>
        <w:gridCol w:w="3488.3291263233245"/>
        <w:gridCol w:w="4337.619711411672"/>
        <w:tblGridChange w:id="0">
          <w:tblGrid>
            <w:gridCol w:w="1199.562973288626"/>
            <w:gridCol w:w="3488.3291263233245"/>
            <w:gridCol w:w="4337.6197114116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Стиль вызовов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Синхронный REST HTTP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по критическим денежным цепочкам: Gateway → Products → ABS, Payments → ABS, Billing → Payments →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Критические операции реализуются как асинхронные процессы вокруг ядра учёта; чтение строится на витринах и кэше, отделённых от контура записи.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Влияние цепочек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Любая задержка в ABS или Products приводит к увеличению времени отклика по всем фронтам и затрагивает весь платёжный поток.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При корректно выделенных витринах и асинхронных процессах сбои ядра учёта ограничивают именно проведение проводок, но не блокируют весь пользовательский сценарий.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xhu1nt4b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Владение данными и границы контекстов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3205.5465271313933"/>
        <w:gridCol w:w="4142.700309426178"/>
        <w:tblGridChange w:id="0">
          <w:tblGrid>
            <w:gridCol w:w="1677.2649744660512"/>
            <w:gridCol w:w="3205.5465271313933"/>
            <w:gridCol w:w="4142.7003094261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Владение продуктами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по всем типам продуктов управляются одним сервисом и одной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домен (карты, кредиты, депозиты, лимиты, тарифы) имеет своё хранилище и отвечает за собственные инварианты.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Чтение состояния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Балансы и статусы читаются напрямую из ABS или через общий продуктовый слой.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Каналы и внешние сервисы читают из специализированных витрин/моделей для чтения, обновляемых по событиям или CDC.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Пересечение контекстов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Products, Payments, Billing, Loyalty, History используют сходные модели и поля без жёстких границ контекстов.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Bounded-context'ы разнесены: пересечения идут через формализованные контракты и события, а не через общие таблицы.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bbqwwuik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Разделение команд и запросов (CQRS-аспект)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3537.1547885587784"/>
        <w:gridCol w:w="3984.105053960907"/>
        <w:tblGridChange w:id="0">
          <w:tblGrid>
            <w:gridCol w:w="1504.2519685039372"/>
            <w:gridCol w:w="3537.1547885587784"/>
            <w:gridCol w:w="3984.1050539609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команд (write)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Те же сервисы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  <w:t xml:space="preserve">) и те же БД обрабатывают изменения (открытие продукта, платеж) и валидации на актуальных данных.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Команды обрабатываются доменными сервисами и процессами, результаты фиксируются в ядре учёта и доменных хранилищах.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запросов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балансов и статусов выполняется через те же сервисы и модели, что и операции изменений; отдельного контура чтения нет.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вынесено в витрины, кэшированные модели и исторические БД, обновляемые по событиям или выгрузкам, и не участвующие в обработке команд.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Влияние нагрузки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Потоки чтения и записи конкурируют за одни и те же ресурсы — сервисы и таблицы.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Нагрузки по чтению и записи разведены по слоям; деградация одного контура меньше влияет на другой.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Эволюция моделей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Одна и та же модель используется одновременно для команд и запросов, оптимизация под один сценарий ухудшает другой.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Модели для инвариантов и для UX/аналитики развиваются независимо, под свои требования.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j5faunej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Сводная таблица по ключевым атрибутам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3248.7997786219216"/>
        <w:gridCol w:w="3638.079042036679"/>
        <w:tblGridChange w:id="0">
          <w:tblGrid>
            <w:gridCol w:w="2138.6329903650226"/>
            <w:gridCol w:w="3248.7997786219216"/>
            <w:gridCol w:w="3638.0790420366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балансов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через ABS (онлайн-обогащение балансов на каждый сценарий)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Кэшированные витрины; чтение возможно без обращения к ядру учёта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платежей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Синхронно через Payments → 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Асинхронная обработка: приём заявки и финализация разделены, вокруг ядра учёта — слабосвязанные процессы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Через общий Products Service и общую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Независимые доменные команды и сервисы по типам продуктов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Масштабирование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Вертикальное (добавление ресурсов под ABS и Products)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Горизонтальное (разделение по доменам, отдельные кластеры/БД для разных продуктовых и каналовых контуров)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Владение 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Централизованный продуктовый слой, единая модель для всех типов 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Владение данными распределено по доменам; ядро учёта — один из доменов, а не центр всего приложения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Контуры чтения/записи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Команды и запросы реализованы в одних сервисах и таблицах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Контур изменений и витрины чтения разделены; модели и нагрузки по чтению/записи разведены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ydhy8zcun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Критические архитектурные антипаттерны Capital Bank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 находится на критическом пути всех денежных сценариев и фактически является единственной точкой отказа.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Продуктовый монолит объединяет логику карт, кредитов и депозитов в одном сервисе и схеме данных.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Платёжный контур реализован как последовательность синхронных вызовов вокруг ABS, что усиливает связанность.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Командный и запросный контуры не разделены: чтение и запись используют одни и те же сервисы и модели.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Границы доменов чётко не определены, множество сервисов работают с общими моделями и полями.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grahcdf3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Количественный профиль: клиенты, продукты, операции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k28eqst88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Продуктовый ассортимент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Products Service обслуживает карты, кредиты, депозиты.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Отдельных доменных сервисов для тарифов, лимитов, сегментов нет.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архитектуре реалистично поддерживать 3–4 крупные продуктовые линейки по 2–3 простых варианта в каждой.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Оценка ассортимента:</w:t>
        <w:br w:type="textWrapping"/>
      </w:r>
      <w:r w:rsidDel="00000000" w:rsidR="00000000" w:rsidRPr="00000000">
        <w:rPr>
          <w:rtl w:val="0"/>
        </w:rPr>
        <w:t xml:space="preserve"> порядка </w:t>
      </w:r>
      <w:r w:rsidDel="00000000" w:rsidR="00000000" w:rsidRPr="00000000">
        <w:rPr>
          <w:b w:val="1"/>
          <w:bCs w:val="1"/>
          <w:rtl w:val="0"/>
        </w:rPr>
        <w:t xml:space="preserve">8–12 продуктовых вариантов</w:t>
      </w:r>
      <w:r w:rsidDel="00000000" w:rsidR="00000000" w:rsidRPr="00000000">
        <w:rPr>
          <w:rtl w:val="0"/>
        </w:rPr>
        <w:t xml:space="preserve"> без существенного усложнения логики.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xxd6w7ud2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Клиентская база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Исходя из ограниченного ассортимента и отсутствия развитой тарифной сетки: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простой продукт без сложной тарификации типично обслуживает 1–3 тыс. клиентов;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8–12 вариантов продуктов диапазон естественной ёмкости — </w:t>
      </w:r>
      <w:r w:rsidDel="00000000" w:rsidR="00000000" w:rsidRPr="00000000">
        <w:rPr>
          <w:b w:val="1"/>
          <w:bCs w:val="1"/>
          <w:rtl w:val="0"/>
        </w:rPr>
        <w:t xml:space="preserve">8–36 тыс. клиентов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Оценочный диапазон: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15–35 тыс. клиентов</w:t>
      </w:r>
      <w:r w:rsidDel="00000000" w:rsidR="00000000" w:rsidRPr="00000000">
        <w:rPr>
          <w:rtl w:val="0"/>
        </w:rPr>
        <w:t xml:space="preserve"> для текущей архитектуры без серьёзной перестройки продуктового слоя.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rhgj93j1g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Суточная нагрузка по операциям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Принимая середину диапазона: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всего клиентов: </w:t>
      </w:r>
      <w:r w:rsidDel="00000000" w:rsidR="00000000" w:rsidRPr="00000000">
        <w:rPr>
          <w:b w:val="1"/>
          <w:bCs w:val="1"/>
          <w:rtl w:val="0"/>
        </w:rPr>
        <w:t xml:space="preserve">25 тыс.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ежедневно активные (DAU): 20 % → </w:t>
      </w:r>
      <w:r w:rsidDel="00000000" w:rsidR="00000000" w:rsidRPr="00000000">
        <w:rPr>
          <w:b w:val="1"/>
          <w:bCs w:val="1"/>
          <w:rtl w:val="0"/>
        </w:rPr>
        <w:t xml:space="preserve">5 тыс. клиентов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количество денежных операций на активного клиента в день: 2.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Денежные операции: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клиентские платежи и переводы: 5 000 × 2 = </w:t>
      </w:r>
      <w:r w:rsidDel="00000000" w:rsidR="00000000" w:rsidRPr="00000000">
        <w:rPr>
          <w:b w:val="1"/>
          <w:bCs w:val="1"/>
          <w:rtl w:val="0"/>
        </w:rPr>
        <w:t xml:space="preserve">10 тыс./день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биллинг (проценты, комиссии, штрафы):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 тыс./день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автоплатежи: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 тыс./день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Итого:</w:t>
        <w:br w:type="textWrapping"/>
      </w:r>
      <w:r w:rsidDel="00000000" w:rsidR="00000000" w:rsidRPr="00000000">
        <w:rPr>
          <w:rtl w:val="0"/>
        </w:rPr>
        <w:t xml:space="preserve"> порядка </w:t>
      </w:r>
      <w:r w:rsidDel="00000000" w:rsidR="00000000" w:rsidRPr="00000000">
        <w:rPr>
          <w:b w:val="1"/>
          <w:bCs w:val="1"/>
          <w:rtl w:val="0"/>
        </w:rPr>
        <w:t xml:space="preserve">20 тыс. денежных операций в сутки через 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активном окне 10 часов это даёт: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среднюю нагрузку около </w:t>
      </w:r>
      <w:r w:rsidDel="00000000" w:rsidR="00000000" w:rsidRPr="00000000">
        <w:rPr>
          <w:b w:val="1"/>
          <w:bCs w:val="1"/>
          <w:rtl w:val="0"/>
        </w:rPr>
        <w:t xml:space="preserve">1,6 операции/с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учётом пиковых периодов (утро, вечер, массовые автосписания) — </w:t>
      </w:r>
      <w:r w:rsidDel="00000000" w:rsidR="00000000" w:rsidRPr="00000000">
        <w:rPr>
          <w:b w:val="1"/>
          <w:bCs w:val="1"/>
          <w:rtl w:val="0"/>
        </w:rPr>
        <w:t xml:space="preserve">8–12 операций/с в пике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оценки далее используются в сценариях анализа атрибутов качества (раздел 4).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1do9aaf0f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Анализ сценариев: атрибуты качества исходя из архитектуры (AS-IS)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tsi3nctiz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Производительность (Performance / Latency)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P1: Массовые клиентские платежи и автосписания в пиковый период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В течение часа накладываются клиентские переводы и оплаты, а также массовые автосписания и списания комиссий. Нагрузка достигает 8–12 денежных операций/с (см. 3.3).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Payments, Billing, ABS, частично Products (проверка лимитов и остатков), Gateway.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Все ключевые взаимодействия реализованы синхронными HTTP-вызовами; ABS — единственная транзакционная БД для денежных операций.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платёж обрабатывается в Payments с обращениями к Products и ABS. Автосписания используют тот же контур. При росте нагрузки формируется очередь запросов в ABS; задержки и блокировки в БД линейно увеличивают время отклика по всей цепочке.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При 8–12 оп/с средняя задержка операции оценивается в 300–600 мс, P95 — 0,8–1,2 c. При увеличении нагрузки до 20–25 оп/с P95 по операциям превышает 2–3 c, возрастает доля таймаутов.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производительности: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узким местом выступает цепочка Payments → ABS; архитектура обеспечивает приемлемую производительность на уровне нагрузок, характерных для 15–35 тыс. клиентов, но не содержит задела на кратный рост.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spglb6vgx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Доступность и отказоустойчивость (Availability / Reliability)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A1: Отказ или недоступность БД ABS во время пика денежных операций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В пиковое время (массовые списания, переводы, автоплатежи) возникает отказ единственной БД ABS или потеря связи с ней.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ABS, Payments, Billing, Products, Gateway, History, Loyalty, Audit.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Отказоустойчивый кластер ABS и механизм репликации в архитектурном описании не представлены. Все денежные операции завязаны на ABS.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Платежи и списания получают ошибки или таймауты на обращении к ABS. Gateway не может корректно завершать денежные сценарии. Данных для деградированного режима (кэш балансов, очереди отложенных операций) нет.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При отказе ABS доступность денежного контура на время инцидента равна 0%. При предположении нескольких подобных инцидентов в месяц суммарная недоступность денежного слоя может достигать 3–7 часов, что соответствует 99,0–99,5% доступности, но не 99,9%.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доступности:</w:t>
        <w:br w:type="textWrapping"/>
      </w:r>
      <w:r w:rsidDel="00000000" w:rsidR="00000000" w:rsidRPr="00000000">
        <w:rPr>
          <w:rtl w:val="0"/>
        </w:rPr>
        <w:t xml:space="preserve"> ABS является единственной точкой отказа для всех денежных сценариев; при её недоступности система ведёт себя как классический монолит, а не как отказоустойчивая распределённая платформа.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gfvzx3809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Согласованность данных (Consistency / Integrity)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C1: Массовые списания и несогласованность витрин при сбое событий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6712214118572"/>
        <w:gridCol w:w="7478.840589611766"/>
        <w:tblGridChange w:id="0">
          <w:tblGrid>
            <w:gridCol w:w="1546.6712214118572"/>
            <w:gridCol w:w="7478.8405896117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Пакеты списаний (комиссии, проценты, автоплатежи) создают десятки тысяч операций. В момент пика возникает кратковременный сбой брокера сообщений или сети.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Billing, Payments, ABS, History, Loyalty, Audit, Kafka.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ABS фиксирует операции в транзакционной БД. События в Kafka отправляются отдельным шагом; механизма транзакционного связывания «запись в ABS + публикация события» нет.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Денежные операции в ABS проводятся. Часть событий доходит до History/Loyalty/Audit, часть задерживается или теряется. Витрины истории и кешбэк отражают неполную картину. Восстановление целостности возможно только регламентными сверками.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Денежные данные обладают строгой консистентностью в пределах ABS. Витрины и кешбэк работают в режиме отложенной согласованности с типичным лагом 1–5 секунд; вероятность потери события при сбоях оценивается как низкая, но архитектурно не ограничена и не контролируется.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согласованности:</w:t>
        <w:br w:type="textWrapping"/>
      </w:r>
      <w:r w:rsidDel="00000000" w:rsidR="00000000" w:rsidRPr="00000000">
        <w:rPr>
          <w:rtl w:val="0"/>
        </w:rPr>
        <w:t xml:space="preserve"> денежный контур опирается на транзакционную БД и надёжен, однако вспомогательные витрины и сервисы вознаграждений не имеют формальных гарантий доставки событий и восстановления, что создаёт риск расхождений.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bcskns9gg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Масштабируемость (Scalability)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SCL1: Рост клиентской базы до 100 тыс. и увеличение ежедневных списаний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3040463217585"/>
        <w:gridCol w:w="7508.207764701864"/>
        <w:tblGridChange w:id="0">
          <w:tblGrid>
            <w:gridCol w:w="1517.3040463217585"/>
            <w:gridCol w:w="7508.2077647018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Клиентская база растёт до 100 тыс. пользователей, денежный поток — до 40–50 тыс. операций в сутки, пиковая нагрузка на ABS — до 20–25 операций/с.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ABS, Products, Payments, Billing, Kafka.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ABS, Products и Payments реализованы в единственных экземплярах без доменного шардирования и без разделения чтения/записи.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Увеличивающийся поток операций линейно нагружает ABS и продуктовый монолит. Отделить онлайн-платежи от массовых автосписаний и вынести их на независимые вычислительные и транзакционные контуры невозможно. При достижении 20–25 операций/с увеличиваются очереди запросов к ABS, растёт латентность и доля ошибок.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Реалистичный потолок без изменения архитектуры — 15–35 тыс. клиентов и 20–25 тыс. операций в сутки. Попытка выйти на 100 тыс. клиентов приводит к ухудшению P95 по денежным операциям выше 2–3 секунд и к росту числа отказов.</w:t>
            </w:r>
          </w:p>
        </w:tc>
      </w:tr>
    </w:tbl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масштабируемости:</w:t>
        <w:br w:type="textWrapping"/>
      </w:r>
      <w:r w:rsidDel="00000000" w:rsidR="00000000" w:rsidRPr="00000000">
        <w:rPr>
          <w:rtl w:val="0"/>
        </w:rPr>
        <w:t xml:space="preserve"> архитектура практически не масштабируется логически; рост обслуживаемого бизнеса возможен главным образом через вертикальное наращивание ресурсов ABS, что типично для распределённого монолита.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ytdp97z6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Модифицируемость (Modifiability / Time-to-Market)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M1: Запуск новой кредитной карты с нестандартной схемой списаний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1.9876338668082"/>
        <w:gridCol w:w="7493.524177156814"/>
        <w:tblGridChange w:id="0">
          <w:tblGrid>
            <w:gridCol w:w="1531.9876338668082"/>
            <w:gridCol w:w="7493.5241771568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Появляется необходимость запустить кредитную карту с особым грейс-периодом, комбинированными комиссиями и особыми автосписаниями.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Products, Billing, Payments, Loyalty, Gateway, клиентские приложения.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Вся продуктовая логика карт и кредитов сосредоточена в Products. Billing, Payments и Loyalty используют модели и структуры данных Products.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Для запуска продукта требуется изменить модели и логику в Products, добавить или изменить правила в Billing, адаптировать оркестрацию в Payments, скорректировать кешбэк в Loyalty и обновить контракты Gateway/UI. Изменения затрагивают несколько команд и сервисов, а точкой сборки остаётся Products.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Типичный цикл вывода такой фичи — 6–8 недель, с участием 3–4 команд и полным интеграционным тестированием. Любая ошибка в Products потенциально бьёт по нескольким денежным сценариям.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модифицируемости:</w:t>
        <w:br w:type="textWrapping"/>
      </w:r>
      <w:r w:rsidDel="00000000" w:rsidR="00000000" w:rsidRPr="00000000">
        <w:rPr>
          <w:rtl w:val="0"/>
        </w:rPr>
        <w:t xml:space="preserve"> архитектура предрасполагает к длинным кросс-командным изменениям и низкой частоте релизов; Time-to-Market новых сложных продуктов высок.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h378wvthx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Тестируемость и деплой (Testability / Deployability)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T1: Релиз новой версии продуктового монолита с изменением схемы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7291740623677"/>
        <w:gridCol w:w="7402.782636961255"/>
        <w:tblGridChange w:id="0">
          <w:tblGrid>
            <w:gridCol w:w="1622.7291740623677"/>
            <w:gridCol w:w="7402.782636961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Необходимо выпустить новую версию Products с изменением схем таблиц и логики по нескольким видам продуктов.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Products, Billing, Payments, Loyalty, Gateway, фронты.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Версионирование схем БД и контрактов сервисов не предусмотрено, зависимые сервисы ориентируются на текущую модель Products.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Релиз Products требует синхронных изменений в Billing, Payments, Loyalty и Gateway. Полноценный регресс всех денежных сценариев необходим. Ошибка в Products потенциально блокирует критические операции.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Релизы Products затрагивают 3–5 сервисов, требуют полноформатного регресса и могут выполняться не чаще одного раза в несколько недель.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тестируемости и деплою:</w:t>
        <w:br w:type="textWrapping"/>
      </w:r>
      <w:r w:rsidDel="00000000" w:rsidR="00000000" w:rsidRPr="00000000">
        <w:rPr>
          <w:rtl w:val="0"/>
        </w:rPr>
        <w:t xml:space="preserve"> архитектура ориентирована на крупные пакетные релизы, с высокой стоимостью регресса и риском инцидентов при каждом изменении продуктового слоя.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bn8g7cho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Наблюдаемость и эксплуатация (Observability / Operability)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O1: Деградация платёжного контура из-за роста латентности ABS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7291740623677"/>
        <w:gridCol w:w="7402.782636961255"/>
        <w:tblGridChange w:id="0">
          <w:tblGrid>
            <w:gridCol w:w="1622.7291740623677"/>
            <w:gridCol w:w="7402.7826369612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В течение 20–30 минут растут задержки запросов к ABS (нагрузка, проблемы с диском или сетью), что отражается на всех денежных операциях.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ABS, Payments, Billing, Gateway, History, Audit.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 и аудит вынесены в отдельные сервисы, но сквозная трассировка запросов, единые SLA/SLO по денежным сценариям и стандартный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request-id</w:t>
            </w:r>
            <w:r w:rsidDel="00000000" w:rsidR="00000000" w:rsidRPr="00000000">
              <w:rPr>
                <w:rtl w:val="0"/>
              </w:rPr>
              <w:t xml:space="preserve"> в архитектуре не описаны.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Деградация сначала проявляется в жалобах клиентов и общих графиках ошибок. Анализ требует ручного сопоставления логов Payments, ABS и History. Автоматическая локализация проблемы по цепочке затруднена.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Оценочное время обнаружения проблемы — 20–40 минут, время восстановления — 2–4 часа, с вероятностью накопления значительного хвоста «подвисших» операций.</w:t>
            </w:r>
          </w:p>
        </w:tc>
      </w:tr>
    </w:tbl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наблюдаемости:</w:t>
        <w:br w:type="textWrapping"/>
      </w:r>
      <w:r w:rsidDel="00000000" w:rsidR="00000000" w:rsidRPr="00000000">
        <w:rPr>
          <w:rtl w:val="0"/>
        </w:rPr>
        <w:t xml:space="preserve"> наблюдаемость не оформлена как отдельный архитектурный слой; рост числа сервисов увеличивает сложность эксплуатации быстрее, чем даёт пользу от декомпозиции.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pkk48izx2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4.8. Безопасность (Security)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SEC1: Быстрый вывод средств с использованием валидного токена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219840470052"/>
        <w:gridCol w:w="7434.789826976617"/>
        <w:tblGridChange w:id="0">
          <w:tblGrid>
            <w:gridCol w:w="1590.7219840470052"/>
            <w:gridCol w:w="7434.789826976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получает валидный токен авторизованного пользователя и за 10–15 минут проводит серию из 30–50 платежей и переводов в пределах лимитов.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Gateway, Payments, ABS, Keycloak, Audit.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Имеется аутентификация и авторизация через Keycloak и роли. Поведенческий анализ, антифрод и ограничения по аномальной активности в архитектуре не предусмотрены.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С точки зрения системы все операции корректны: токен валиден, лимиты не нарушены. Payments проводит операции до исчерпания лимитов; Audit фиксирует события постфактум. Автоматическая реакция на аномальное поведение отсутствует.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Время обнаружения инцидента архитектурно не ограничено; оно зависит от внешних процессов мониторинга и анализа. Объём возможного ущерба ограничен только лимитами продукта и остатком по счетам.</w:t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по безопасности:</w:t>
        <w:br w:type="textWrapping"/>
      </w:r>
      <w:r w:rsidDel="00000000" w:rsidR="00000000" w:rsidRPr="00000000">
        <w:rPr>
          <w:rtl w:val="0"/>
        </w:rPr>
        <w:t xml:space="preserve"> архитектура обеспечивает базовую техническую защиту (аутентификация, роли, шифрование), но не содержит встроенных механизмов снижения поведенческих рисков, типичных для банковских систем.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z155fmfdf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Итоговый вывод по типу архитектуры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архитектуры.</w:t>
        <w:br w:type="textWrapping"/>
      </w:r>
      <w:r w:rsidDel="00000000" w:rsidR="00000000" w:rsidRPr="00000000">
        <w:rPr>
          <w:rtl w:val="0"/>
        </w:rPr>
        <w:t xml:space="preserve"> MVP Capital Bank реализован как распределённый монолит: ключевая бизнес-логика и данные сосредоточены в ABS, Products и Payments, а микросервисы вокруг них выполняют вспомогательные функции. Связанность между сервисами высокая, критические цепочки реализованы синхронными вызовами.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Соответствие нефункциональным требованиям.</w:t>
        <w:br w:type="textWrapping"/>
      </w:r>
      <w:r w:rsidDel="00000000" w:rsidR="00000000" w:rsidRPr="00000000">
        <w:rPr>
          <w:rtl w:val="0"/>
        </w:rPr>
        <w:t xml:space="preserve"> Требования по производительности и доступности, сформулированные в Confluence, достижимы лишь в ограниченном масштабе (15–35 тыс. клиентов и 8–12 денежных операций/с). Архитектура не содержит решений, которые позволили бы выполнить те же требования при кратном росте нагрузки.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Основные ограничения.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Масштабируемость логически ограничена единым контуром ABS и продуктовым монолитом; рост бизнеса упирается в вертикальное масштабирование одного узла.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Доступность денежного контура определяется доступностью ABS; при его отказе система ведёт себя как монолит с единственной точкой отказа.</w:t>
      </w:r>
    </w:p>
    <w:p w:rsidR="00000000" w:rsidDel="00000000" w:rsidP="00000000" w:rsidRDefault="00000000" w:rsidRPr="00000000" w14:paraId="000001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Модифицируемость и деплой завязаны на крупные кросс-командные релизы продуктового слоя, что увеличивает Time-to-Market и риск изменений.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Поведенческая безопасность и риск-контур отсутствуют на уровне архитектуры и требований.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Общий вывод.</w:t>
        <w:br w:type="textWrapping"/>
      </w:r>
      <w:r w:rsidDel="00000000" w:rsidR="00000000" w:rsidRPr="00000000">
        <w:rPr>
          <w:rtl w:val="0"/>
        </w:rPr>
        <w:t xml:space="preserve"> В текущем виде архитектура MVP адекватна учебному проекту и небольшой демонстрационной банковской платформе. Для промышленной эксплуатации и масштабирования до уровней, подразумеваемых целевыми НФТ, потребуется переход от распределённого монолита к архитектуре с чёткими доменными границами, отдельными контурами чтения/записи, ослаблением зависимости от ABS по критическим путям и введением специализированных сервисов безопасности и наблюдаемости.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