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t>Project Title: Archaeology in a Barred Galaxy: Discovering Inner-Halo Substructure with Gaia DR4, Jacobi Energy, and Chemistry</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The Milky Way built its stellar halo by tearing apart dwarf galaxies and star clusters. Astronomers hunt the debris as tight clumps in orbital energy and angular momentum, E and Lz — quantities the Galaxy conserves only while it stays smooth and unchanging. In the inner Galaxy it does neither. There the rotating bar smears ancient debris across the E–Lz plane by factors of ten to a hundred (Dillamore &amp; Sanders 2025), until the clumps dissolve into the smooth halo. The same study supplies the cure. The Jacobi integral HJ = E − Ωb Lz survives the bar: it holds exactly when the bar turns steadily, and holds well even as the bar slows. Joined to stellar chemistry, HJ recovers the structure that E–Lz loses.</w:t>
      </w:r>
    </w:p>
    <w:p w14:paraId="17F7832A" w14:textId="0074C8D6">
      <w:pPr>
        <w:spacing w:before="40" w:after="0" w:line="360" w:lineRule="auto"/>
        <w:rPr>
          <w:rFonts w:ascii="Arial" w:hAnsi="Arial" w:cs="Arial"/>
          <w:sz w:val="22"/>
          <w:szCs w:val="22"/>
        </w:rPr>
      </w:pPr>
      <w:r>
        <w:t>This project applies that idea at scale for the first time. Gaia DR4 measures full six-dimensional motion — parallaxes, proper motions, and radial velocities — for more stars, across more of the sky, than any survey before it, and at last holds inner-halo debris together in HJ instead of blurring it apart. The student will add chemistry to this map, gathering metallicities and abundances from every available source: Gaia's own XP and RVS spectra, DESI, APOGEE, GALAH, and LAMOST. Working from a tested Python/AGAMA framework, the student will map the joint distribution of Jacobi energy and metallicity, measure how sharply it clusters against permutation nulls across a range of bar pattern speeds, and rank the candidate relics of shredded galaxies and dissolved clusters. The search is exploratory: the data, not our expectations, decide what is there.</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Galactic archaeology rests on a simple dynamical fact. In a Galaxy that is static and axisymmetric, a star's orbital energy E and angular momentum Lz — and, more generally, its actions — stay fixed. Debris from an accreted dwarf or star cluster therefore keeps its integrals of motion long after it has smeared into a featureless cloud in real space. Map the stars into that space and the shredded progenitors reappear as distinct clumps. Helmi and collaborators built the method on this idea, first recovering nearby debris streams through their angular momenta (Helmi et al. 1999) and then showing how a future astrometric survey could reconstruct the halo's building blocks in integral-of-motion space (Helmi &amp; de Zeeuw 2000). Chemistry preserves a parallel record of the same accretion history, and together the two define the programme of Galactic archaeology (Freeman &amp; Bland-Hawthorn 2002).</w:t>
      </w:r>
    </w:p>
    <w:p w14:paraId="809DDB42" w14:textId="7F0C3F4A">
      <w:pPr>
        <w:spacing w:before="40" w:after="0" w:line="360" w:lineRule="auto"/>
        <w:rPr>
          <w:rFonts w:ascii="Arial" w:hAnsi="Arial" w:cs="Arial"/>
          <w:sz w:val="22"/>
          <w:szCs w:val="22"/>
        </w:rPr>
      </w:pPr>
      <w:r>
        <w:t>Gaia turned that programme into a discovery machine. Its six-dimensional measurements exposed the debris of the Milky Way's last major merger — Gaia–Sausage–Enceladus — as an enormous, radially anisotropic clump dominating the inner halo in E–Lz (Belokurov et al. 2018; Helmi et al. 2018), and a growing catalogue of fainter retrograde and high-energy structures soon followed (e.g. Myeong et al. 2019). These successes share a bias, though. They pick out debris that still holds its integrals of motion — largely the younger, higher-energy accretions of the outer halo. The oldest and lowest-energy material, laid down when the Galaxy was young and stirred hardest ever since, is exactly the debris this map begins to lose.</w:t>
      </w:r>
    </w:p>
    <w:p w14:paraId="77C89E47" w14:textId="CC964084">
      <w:pPr>
        <w:spacing w:before="40" w:after="0" w:line="360" w:lineRule="auto"/>
        <w:rPr>
          <w:rFonts w:ascii="Arial" w:hAnsi="Arial" w:cs="Arial"/>
          <w:sz w:val="22"/>
          <w:szCs w:val="22"/>
        </w:rPr>
      </w:pPr>
      <w:r>
        <w:t>The inner Galaxy makes that loss concrete, and Dillamore &amp; Sanders (2025) explain why. Across an analytic toy model, test-particle simulations with bars both steady and slowing, and a cosmological zoom-in, they find one consistent result: the rotating bar inflates the E–Lz footprint of low-energy substructure ten- to a hundredfold, dissolving it into the smooth halo. The Jacobi integral endures where E and Lz do not. It holds exactly at a fixed pattern speed and stays far tighter than either quantity even as the bar decelerates, and, combined with chemistry, it keeps buried debris whole. The inner halo is not featureless, then, but structured in a coordinate no one has yet turned on a large observed sample. To do so demands full six-dimensional phase space for vast numbers of stars deep in the Galaxy.</w:t>
      </w:r>
    </w:p>
    <w:p w14:paraId="CCD8093E" w14:textId="564AC9F5">
      <w:pPr>
        <w:spacing w:before="40" w:after="0" w:line="360" w:lineRule="auto"/>
        <w:rPr>
          <w:rFonts w:ascii="Arial" w:hAnsi="Arial" w:cs="Arial"/>
          <w:sz w:val="22"/>
          <w:szCs w:val="22"/>
        </w:rPr>
      </w:pPr>
      <w:r>
        <w:t>Gaia DR4 finally supplies it. Its 5.5 years of astrometry and much larger radial-velocity catalogue map precise, all-sky six-dimensional phase space for orders of magnitude more stars than the few tens of thousands of giants any single spectroscopic survey offers today. Here lies the heart of the project: too little phase-space information, not too few ideas, has held the HJ search back, and DR4 lifts that limit. Chemistry then enters as a second, independent witness — one the bar cannot rewrite. Through [Fe/H], and where available [α/Fe], [Al/Fe], and [N/Fe], disrupted dwarfs and shredded clusters each sign their names: the dwarfs in the downturn of the α-elements, the clusters in light-element anticorrelations and nitrogen excess (e.g. Belokurov &amp; Kravtsov 2023). A group that holds together in both HJ and chemistry makes a far stronger relic than one seen in dynamics alone. The machinery already works — a multi-component AGAMA potential, scans over pattern speed, nearest-neighbour entropy, and permutation nulls recover injected debris in mock catalogues — and the task now is to scale it to DR4 and turn it on the real inner halo.</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The project turns a tested framework into a discovery search. The student first reproduces the stored benchmarks and builds a pilot sample from data already in hand, then fixes the sample, the null tests, and the grid of pattern speeds before scaling everything to Gaia DR4. Gaia DR3 and today's spectroscopy carry the pilot; DR4 carries the discovery.</w:t>
      </w:r>
    </w:p>
    <w:p w14:paraId="0684762B" w14:textId="A15EF6CA">
      <w:pPr>
        <w:pStyle w:val="ListParagraph"/>
        <w:keepLines/>
        <w:numPr>
          <w:ilvl w:val="0"/>
          <w:numId w:val="1"/>
        </w:numPr>
        <w:spacing w:before="40" w:after="0" w:line="360" w:lineRule="auto"/>
        <w:rPr>
          <w:rFonts w:ascii="Arial" w:hAnsi="Arial" w:cs="Arial"/>
          <w:sz w:val="22"/>
          <w:szCs w:val="22"/>
        </w:rPr>
      </w:pPr>
      <w:r>
        <w:rPr>
          <w:b/>
        </w:rPr>
        <w:t xml:space="preserve">Reproduce the tested framework. </w:t>
      </w:r>
      <w:r>
        <w:t>Run the existing disrupted-cluster mock — 10,000 stars from 200 disrupted clusters within a 200,000-star background — and recover its broad contrast peak before changing anything. These locked examples expose changes in units, coordinate conventions, random seeds, entropy implementation, and pattern-speed grids.</w:t>
      </w:r>
    </w:p>
    <w:p w14:paraId="DCA187E5" w14:textId="28280D35">
      <w:pPr>
        <w:pStyle w:val="ListParagraph"/>
        <w:keepLines/>
        <w:numPr>
          <w:ilvl w:val="0"/>
          <w:numId w:val="1"/>
        </w:numPr>
        <w:spacing w:before="40" w:after="0" w:line="360" w:lineRule="auto"/>
        <w:rPr>
          <w:rFonts w:ascii="Arial" w:hAnsi="Arial" w:cs="Arial"/>
          <w:sz w:val="22"/>
          <w:szCs w:val="22"/>
        </w:rPr>
      </w:pPr>
      <w:r>
        <w:rPr>
          <w:b/>
        </w:rPr>
        <w:t xml:space="preserve">Build and calibrate the pilot sample. </w:t>
      </w:r>
      <w:r>
        <w:t>Assemble a Gaia DR3 phase-space sample cross-matched to current spectroscopy (APOGEE DR17 and similar), reproducing the documented selection of roughly 11,000 metal-poor, high-eccentricity giants while excluding known globular-cluster members. Retain Gaia astrometric covariances and survey metadata, and build thick-disc and known-halo control samples. Each cut and its effect is recorded rather than treating the cross-match as uniform.</w:t>
      </w:r>
    </w:p>
    <w:p w14:paraId="3A42B317" w14:textId="66215382">
      <w:pPr>
        <w:pStyle w:val="ListParagraph"/>
        <w:keepLines/>
        <w:numPr>
          <w:ilvl w:val="0"/>
          <w:numId w:val="1"/>
        </w:numPr>
        <w:spacing w:before="40" w:after="0" w:line="360" w:lineRule="auto"/>
        <w:rPr>
          <w:rFonts w:ascii="Arial" w:hAnsi="Arial" w:cs="Arial"/>
          <w:sz w:val="22"/>
          <w:szCs w:val="22"/>
        </w:rPr>
      </w:pPr>
      <w:r>
        <w:rPr>
          <w:b/>
        </w:rPr>
        <w:t xml:space="preserve">Compute the rotating-frame coordinates. </w:t>
      </w:r>
      <w:r>
        <w:t>In a baseline disc–bulge–halo AGAMA potential, calculate E and Lz, then HJ = E − Ωb Lz over a pre-declared grid of bar pattern speeds and a small set of plausible potential variants. Compare conventional E–Lz views with HJ–[Fe/H] directly, rather than selecting the most attractive diagram by eye.</w:t>
      </w:r>
    </w:p>
    <w:p w14:paraId="A1BA7017" w14:textId="2EBD60C5">
      <w:pPr>
        <w:pStyle w:val="ListParagraph"/>
        <w:keepLines/>
        <w:numPr>
          <w:ilvl w:val="0"/>
          <w:numId w:val="1"/>
        </w:numPr>
        <w:spacing w:before="40" w:after="0" w:line="360" w:lineRule="auto"/>
        <w:rPr>
          <w:rFonts w:ascii="Arial" w:hAnsi="Arial" w:cs="Arial"/>
          <w:sz w:val="22"/>
          <w:szCs w:val="22"/>
        </w:rPr>
      </w:pPr>
      <w:r>
        <w:rPr>
          <w:b/>
        </w:rPr>
        <w:t xml:space="preserve">Measure contrast against permutation nulls. </w:t>
      </w:r>
      <w:r>
        <w:t>Estimate the nearest-neighbour entropy of the standardised HJ–[Fe/H] distribution and compare it with the entropy after permuting HJ relative to metallicity; the contrast is positive when the data contain extra chemo-dynamical structure. Calibrate its distribution across neighbour choices, energy bins, and Ωb with repeated permutations and smooth mocks, including the full trials factor. Benchmark the gain against standard E–Lz clustering to show what HJ adds.</w:t>
      </w:r>
    </w:p>
    <w:p w14:paraId="13E20F4E" w14:textId="56BC114F">
      <w:pPr>
        <w:pStyle w:val="ListParagraph"/>
        <w:keepLines/>
        <w:numPr>
          <w:ilvl w:val="0"/>
          <w:numId w:val="1"/>
        </w:numPr>
        <w:spacing w:before="40" w:after="0" w:line="360" w:lineRule="auto"/>
        <w:rPr>
          <w:rFonts w:ascii="Arial" w:hAnsi="Arial" w:cs="Arial"/>
          <w:sz w:val="22"/>
          <w:szCs w:val="22"/>
        </w:rPr>
      </w:pPr>
      <w:r>
        <w:rPr>
          <w:b/>
        </w:rPr>
        <w:t xml:space="preserve">Scale to Gaia DR4 and the full chemical catalogue. </w:t>
      </w:r>
      <w:r>
        <w:t>Ingest DR4 six-dimensional phase space and cross-match a union metallicity and abundance catalogue (Gaia XP and RVS, DESI, APOGEE, GALAH, LAMOST). Propagate the correlated astrometry, distances, radial velocities, and metallicities by Monte Carlo through the whole calculation, and repeat the search at DR4 volume and sky coverage. Existing tests show that about 5 per cent errors can shift a peak and about 10 per cent errors can create a spurious high-Ωb maximum, so realistic injections measure bias, recovery, and false positives as functions of debris fraction, age, and error.</w:t>
      </w:r>
    </w:p>
    <w:p w14:paraId="7A63E16D" w14:textId="AC08A38D">
      <w:pPr>
        <w:pStyle w:val="ListParagraph"/>
        <w:keepLines/>
        <w:numPr>
          <w:ilvl w:val="0"/>
          <w:numId w:val="1"/>
        </w:numPr>
        <w:spacing w:before="40" w:after="0" w:line="360" w:lineRule="auto"/>
        <w:rPr>
          <w:rFonts w:ascii="Arial" w:hAnsi="Arial" w:cs="Arial"/>
          <w:sz w:val="22"/>
          <w:szCs w:val="22"/>
        </w:rPr>
      </w:pPr>
      <w:r>
        <w:rPr>
          <w:b/>
        </w:rPr>
        <w:t xml:space="preserve">Localise, chemically confirm, and interpret candidate clumps. </w:t>
      </w:r>
      <w:r>
        <w:t>The global statistic detects structure but does not assign membership. Use a local-density or mixture model to identify which stars generate a robust excess, then test whether they are also chemically coherent — an α-knee for dwarf debris, or light-element anticorrelations and nitrogen enhancement for disrupted clusters. Examine their sky distribution, velocities, orbits, and multi-element chemistry, and weigh accreted-debris and disrupted-cluster interpretations against bar resonances, disc contamination, and selection boundaries. Inferring Ωb is a stretch goal, attempted only after these alternatives survive.</w:t>
      </w:r>
    </w:p>
    <w:p w14:paraId="8F26C713" w14:textId="E7D78322">
      <w:pPr>
        <w:spacing w:before="40" w:after="0" w:line="360" w:lineRule="auto"/>
        <w:rPr>
          <w:rFonts w:ascii="Arial" w:hAnsi="Arial" w:cs="Arial"/>
          <w:sz w:val="22"/>
          <w:szCs w:val="22"/>
        </w:rPr>
      </w:pPr>
      <w:r>
        <w:t>The project delivers four things: a documented, tested analysis pipeline; a reproducible chemo-dynamical sample spanning the DR3 pilot and the DR4 search; calibrated contrast curves; and a chemically vetted list of candidate inner-halo relics, or firm upper limits. Even a null result informs: the recovery tests show exactly when Jacobi energy keeps what E–Lz loses. The student will claim a bar pattern speed only if it survives changes in the noise, the assumed potential, and the sample definition.</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know basic classical mechanics and be comfortable with scientific Python and introductory probability. Previous study of Galactic dynamics, orbit integration or spectroscopic catalogues would be useful but is not required. The project involves both physical reasoning and careful statistical validation rather than a purely algorithmic clustering exercise.</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and spectroscopic catalogue queries, cross-matching and quality-controlled sample construction.</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Orbit integration and dynamical calculations in rotating Galactic potentials, including AGAMA.</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Uncertainty propagation in correlated phase-space measurements.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Density estimation, mixture modelling and statistically calibrated substructure searches.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Chemo-dynamical interpretation, selection-function tests, and reproducible visualisation.</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 C or C++ may be used for performance-critical extensions.</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Dillamore, A. M. &amp; Sanders, J. L. (2025), ‘Bar-driven dispersal of Galactic substructure’, MNRAS, 542, 1331. https://doi.org/10.1093/mnras/staf1264</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Woudenberg, H. C. &amp; Helmi, A. (2025), ‘The chaotic motion of nearby halo stars due to the Galactic bar’, A&amp;A, 700, A240. https://doi.org/10.1051/0004-6361/202555672</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Dillamore, A. M. et al. (2023), ‘Stellar halo substructure generated by bar resonances’, MNRAS, 524, 3596. https://doi.org/10.1093/mnras/stad2136</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Belokurov, V. &amp; Kravtsov, A. (2023), ‘Nitrogen enrichment and clustered star formation at the dawn of the Galaxy’, MNRAS, 525, 4456. https://doi.org/10.1093/mnras/stad2241</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Helmi, A. (2020), ‘Streams, Substructures, and the Early History of the Milky Way’, Annual Review of Astronomy and Astrophysics, 58, 205. https://doi.org/10.1146/annurev-astro-032620-021917</w:t>
      </w:r>
    </w:p>
    <w:p w14:paraId="5072D8B5" w14:textId="015C788B">
      <w:pPr>
        <w:pStyle w:val="ListParagraph"/>
        <w:keepLines/>
        <w:numPr>
          <w:ilvl w:val="0"/>
          <w:numId w:val="1"/>
        </w:numPr>
        <w:spacing w:before="40" w:after="0" w:line="360" w:lineRule="auto"/>
        <w:rPr>
          <w:rFonts w:ascii="Arial" w:hAnsi="Arial" w:cs="Arial"/>
          <w:sz w:val="22"/>
          <w:szCs w:val="22"/>
        </w:rPr>
      </w:pPr>
      <w:r>
        <w:t>Helmi, A., White, S. D. M., de Zeeuw, P. T. &amp; Zhao, H. (1999), ‘Debris streams in the solar neighbourhood as relicts from the formation of the Milky Way’, Nature, 402, 53. https://doi.org/10.1038/46980</w:t>
      </w:r>
    </w:p>
    <w:p w14:paraId="5072D8B5" w14:textId="015C788B">
      <w:pPr>
        <w:pStyle w:val="ListParagraph"/>
        <w:keepLines/>
        <w:numPr>
          <w:ilvl w:val="0"/>
          <w:numId w:val="1"/>
        </w:numPr>
        <w:spacing w:before="40" w:after="0" w:line="360" w:lineRule="auto"/>
        <w:rPr>
          <w:rFonts w:ascii="Arial" w:hAnsi="Arial" w:cs="Arial"/>
          <w:sz w:val="22"/>
          <w:szCs w:val="22"/>
        </w:rPr>
      </w:pPr>
      <w:r>
        <w:t>Helmi, A. &amp; de Zeeuw, P. T. (2000), ‘Mapping the substructure in the Galactic halo with the next generation of astrometric satellites’, MNRAS, 319, 657. https://doi.org/10.1046/j.1365-8711.2000.03895.x</w:t>
      </w:r>
    </w:p>
    <w:p w14:paraId="5072D8B5" w14:textId="015C788B">
      <w:pPr>
        <w:pStyle w:val="ListParagraph"/>
        <w:keepLines/>
        <w:numPr>
          <w:ilvl w:val="0"/>
          <w:numId w:val="1"/>
        </w:numPr>
        <w:spacing w:before="40" w:after="0" w:line="360" w:lineRule="auto"/>
        <w:rPr>
          <w:rFonts w:ascii="Arial" w:hAnsi="Arial" w:cs="Arial"/>
          <w:sz w:val="22"/>
          <w:szCs w:val="22"/>
        </w:rPr>
      </w:pPr>
      <w:r>
        <w:t>Freeman, K. &amp; Bland-Hawthorn, J. (2002), ‘The New Galaxy: Signatures of Its Formation’, ARA&amp;A, 40, 487. https://doi.org/10.1146/annurev.astro.40.060401.093840</w:t>
      </w:r>
    </w:p>
    <w:p w14:paraId="5072D8B5" w14:textId="015C788B">
      <w:pPr>
        <w:pStyle w:val="ListParagraph"/>
        <w:keepLines/>
        <w:numPr>
          <w:ilvl w:val="0"/>
          <w:numId w:val="1"/>
        </w:numPr>
        <w:spacing w:before="40" w:after="0" w:line="360" w:lineRule="auto"/>
        <w:rPr>
          <w:rFonts w:ascii="Arial" w:hAnsi="Arial" w:cs="Arial"/>
          <w:sz w:val="22"/>
          <w:szCs w:val="22"/>
        </w:rPr>
      </w:pPr>
      <w:r>
        <w:t>Belokurov, V., Erkal, D., Evans, N. W., Koposov, S. E. &amp; Deason, A. J. (2018), ‘Co-formation of the disc and the stellar halo’, MNRAS, 478, 611. https://doi.org/10.1093/mnras/sty982</w:t>
      </w:r>
    </w:p>
    <w:p w14:paraId="5072D8B5" w14:textId="015C788B">
      <w:pPr>
        <w:pStyle w:val="ListParagraph"/>
        <w:keepLines/>
        <w:numPr>
          <w:ilvl w:val="0"/>
          <w:numId w:val="1"/>
        </w:numPr>
        <w:spacing w:before="40" w:after="0" w:line="360" w:lineRule="auto"/>
        <w:rPr>
          <w:rFonts w:ascii="Arial" w:hAnsi="Arial" w:cs="Arial"/>
          <w:sz w:val="22"/>
          <w:szCs w:val="22"/>
        </w:rPr>
      </w:pPr>
      <w:r>
        <w:t>Helmi, A. et al. (2018), ‘The merger that led to the formation of the Milky Way’s inner stellar halo and thick disk’, Nature, 563, 85. https://doi.org/10.1038/s41586-018-0625-x</w:t>
      </w:r>
    </w:p>
    <w:p w14:paraId="5072D8B5" w14:textId="015C788B">
      <w:pPr>
        <w:pStyle w:val="ListParagraph"/>
        <w:keepLines/>
        <w:numPr>
          <w:ilvl w:val="0"/>
          <w:numId w:val="1"/>
        </w:numPr>
        <w:spacing w:before="40" w:after="0" w:line="360" w:lineRule="auto"/>
        <w:rPr>
          <w:rFonts w:ascii="Arial" w:hAnsi="Arial" w:cs="Arial"/>
          <w:sz w:val="22"/>
          <w:szCs w:val="22"/>
        </w:rPr>
      </w:pPr>
      <w:r>
        <w:t>Myeong, G. C., Vasiliev, E., Iorio, G., Evans, N. W. &amp; Belokurov, V. (2019), ‘Evidence for two early accretion events that built the Milky Way stellar halo’, MNRAS, 488, 1235. https://doi.org/10.1093/mnras/stz1770</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Dillamore, A. M. et al. (2025), ‘Dynamical streams in the local stellar halo’, MNRAS, 541, 214. https://doi.org/10.1093/mnras/staf965</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Vasiliev, E. (2019), ‘AGAMA: Action-based galaxy modelling architecture’, MNRAS, 482, 1525. https://doi.org/10.1093/mnras/sty2672</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Vallenari, A. et al. (2023), ‘Gaia Data Release 3: Summary of the content and survey properties’, A&amp;A, 674, A1. https://doi.org/10.1051/0004-6361/202243940</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Abdurro'uf et al. (2022), ‘The Seventeenth Data Release of the Sloan Digital Sky Surveys’, ApJS, 259, 35. https://doi.org/10.3847/1538-4365/ac4414</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Buder, S. et al. (2021), ‘The GALAH+ survey: Third data release’, MNRAS, 506, 150. https://doi.org/10.1093/mnras/stab1242</w:t>
      </w:r>
    </w:p>
    <w:p w14:paraId="2F65460A" w14:textId="94D14FC7">
      <w:pPr>
        <w:pStyle w:val="ListParagraph"/>
        <w:keepLines/>
        <w:numPr>
          <w:ilvl w:val="0"/>
          <w:numId w:val="1"/>
        </w:numPr>
        <w:spacing w:before="40" w:after="0" w:line="360" w:lineRule="auto"/>
        <w:rPr>
          <w:rFonts w:ascii="Arial" w:hAnsi="Arial" w:cs="Arial"/>
          <w:sz w:val="22"/>
          <w:szCs w:val="22"/>
        </w:rPr>
      </w:pPr>
      <w:r>
        <w:t>Cooper, A. P. et al. (2023), ‘Overview of the DESI Milky Way Survey’, ApJ, 947, 37. https://doi.org/10.3847/1538-4357/acb3c0</w:t>
      </w:r>
    </w:p>
    <w:p w14:paraId="2F65460A" w14:textId="94D14FC7">
      <w:pPr>
        <w:pStyle w:val="ListParagraph"/>
        <w:keepLines/>
        <w:numPr>
          <w:ilvl w:val="0"/>
          <w:numId w:val="1"/>
        </w:numPr>
        <w:spacing w:before="40" w:after="0" w:line="360" w:lineRule="auto"/>
        <w:rPr>
          <w:rFonts w:ascii="Arial" w:hAnsi="Arial" w:cs="Arial"/>
          <w:sz w:val="22"/>
          <w:szCs w:val="22"/>
        </w:rPr>
      </w:pPr>
      <w:r>
        <w:t>ESA/DPAC, ‘Gaia Data Release 4: content and expected archive products’. https://www.cosmos.esa.int/web/gaia/dr4</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