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1AE2C" w14:textId="33603BA3">
      <w:pPr>
        <w:pStyle w:val="Heading2"/>
        <w:rPr>
          <w:rFonts w:ascii="Arial" w:hAnsi="Arial" w:cs="Arial"/>
        </w:rPr>
      </w:pPr>
      <w:r>
        <w:rPr>
          <w:rFonts w:ascii="Arial" w:hAnsi="Arial" w:cs="Arial"/>
        </w:rPr>
        <w:t>Project Title: Discovering New Ultra-Faint Milky Way Satellites with Euclid DR1</w:t>
      </w:r>
    </w:p>
    <w:p w14:paraId="FBAA2564" w14:textId="C500C2F6">
      <w:pPr>
        <w:spacing w:before="40" w:after="0" w:line="360" w:lineRule="auto"/>
        <w:rPr>
          <w:rFonts w:ascii="Arial" w:hAnsi="Arial" w:cs="Arial"/>
          <w:sz w:val="22"/>
          <w:szCs w:val="22"/>
        </w:rPr>
      </w:pPr>
      <w:r>
        <w:rPr>
          <w:rFonts w:ascii="Arial" w:hAnsi="Arial" w:cs="Arial"/>
          <w:sz w:val="22"/>
          <w:szCs w:val="22"/>
        </w:rPr>
        <w:t>Supervisor I: Professor Vasily Belokurov (vasily@ast.cam.ac.uk)</w:t>
      </w:r>
    </w:p>
    <w:p w14:paraId="2D66C479" w14:textId="FCA94705">
      <w:pPr>
        <w:spacing w:before="40" w:after="0" w:line="360" w:lineRule="auto"/>
        <w:rPr>
          <w:rFonts w:ascii="Arial" w:hAnsi="Arial" w:cs="Arial"/>
          <w:sz w:val="22"/>
          <w:szCs w:val="22"/>
        </w:rPr>
      </w:pPr>
      <w:r>
        <w:rPr>
          <w:rFonts w:ascii="Arial" w:hAnsi="Arial" w:cs="Arial"/>
          <w:sz w:val="22"/>
          <w:szCs w:val="22"/>
        </w:rPr>
        <w:t>Supervisor II: Professor Sergey Koposov (skoposov@ed.ac.uk)</w:t>
      </w:r>
    </w:p>
    <w:p>
      <w:pPr>
        <w:spacing w:before="40" w:after="0" w:line="360" w:lineRule="auto"/>
        <w:rPr>
          <w:rFonts w:ascii="Arial" w:hAnsi="Arial" w:cs="Arial"/>
          <w:sz w:val="22"/>
          <w:szCs w:val="22"/>
        </w:rPr>
      </w:pPr>
      <w:r>
        <w:rPr>
          <w:rFonts w:ascii="Arial" w:hAnsi="Arial" w:cs="Arial"/>
          <w:sz w:val="22"/>
          <w:szCs w:val="22"/>
        </w:rPr>
        <w:t>UTO: Professor Vasily Belokurov (vasily@ast.cam.ac.uk)</w:t>
      </w:r>
    </w:p>
    <w:p w14:paraId="5DDBD6DB" w14:textId="8873A4CA">
      <w:pPr>
        <w:pStyle w:val="Heading3"/>
        <w:rPr>
          <w:rFonts w:ascii="Arial" w:hAnsi="Arial" w:cs="Arial"/>
        </w:rPr>
      </w:pPr>
      <w:r>
        <w:rPr>
          <w:rFonts w:ascii="Arial" w:hAnsi="Arial" w:cs="Arial"/>
        </w:rPr>
        <w:t>Project Summary</w:t>
      </w:r>
    </w:p>
    <w:p w14:paraId="F9EA78F9" w14:textId="74853B8A">
      <w:pPr>
        <w:spacing w:before="40" w:after="0" w:line="360" w:lineRule="auto"/>
        <w:rPr>
          <w:rFonts w:ascii="Arial" w:hAnsi="Arial" w:cs="Arial"/>
          <w:sz w:val="22"/>
          <w:szCs w:val="22"/>
        </w:rPr>
      </w:pPr>
      <w:r>
        <w:t>The faintest companions of the Milky Way shine too dimly to see in integrated light. They betray themselves only as sparse scatterings of resolved stars, old and metal-poor. These ultra-faint dwarf galaxies (UFDs) occupy the smallest dark-matter haloes known to hold stars, so counting them tests low-mass galaxy formation, reionisation, and the behaviour of dark matter on small scales. That count is still far from complete, above all for the most distant and diffuse systems.</w:t>
      </w:r>
    </w:p>
    <w:p w14:paraId="17F7832A" w14:textId="0074C8D6">
      <w:pPr>
        <w:spacing w:before="40" w:after="0" w:line="360" w:lineRule="auto"/>
        <w:rPr>
          <w:rFonts w:ascii="Arial" w:hAnsi="Arial" w:cs="Arial"/>
          <w:sz w:val="22"/>
          <w:szCs w:val="22"/>
        </w:rPr>
      </w:pPr>
      <w:r>
        <w:t>Euclid DR1 brings together deep photometry, sharp imaging, and wide sky coverage. The student will use it to discover and characterise new UFD candidates. Old, metal-poor isochrones, stepped through a range of distances, select possible member stars; a difference-of-Gaussians filter then picks out compact spatial overdensities. The student ranks each credible peak on its colour-magnitude diagram, its spatial concentration, its stability as the selection changes, Gaia astrometry for the brighter stars, and checks for galaxy clustering and imaging artefacts. Known satellites and injected mocks measure how sensitive the search is. For the strongest candidates, the student then estimates distance, luminosity, size, ellipticity, and membership. Stellar streams offer a secondary extension.</w:t>
      </w:r>
    </w:p>
    <w:p w14:paraId="9F268838" w14:textId="F5B175E1">
      <w:pPr>
        <w:pStyle w:val="Heading3"/>
        <w:rPr>
          <w:rFonts w:ascii="Arial" w:hAnsi="Arial" w:cs="Arial"/>
        </w:rPr>
      </w:pPr>
      <w:r>
        <w:rPr>
          <w:rFonts w:ascii="Arial" w:hAnsi="Arial" w:cs="Arial"/>
        </w:rPr>
        <w:t>Background</w:t>
      </w:r>
    </w:p>
    <w:p w14:paraId="809DDB42" w14:textId="7F0C3F4A">
      <w:pPr>
        <w:spacing w:before="40" w:after="0" w:line="360" w:lineRule="auto"/>
        <w:rPr>
          <w:rFonts w:ascii="Arial" w:hAnsi="Arial" w:cs="Arial"/>
          <w:sz w:val="22"/>
          <w:szCs w:val="22"/>
        </w:rPr>
      </w:pPr>
      <w:r>
        <w:t>UFDs push the galaxy population to its faintest limit. Their ancient stars and large mass-to-light ratios make them sharp probes of star formation in low-mass dark-matter haloes, and a fuller census tests how reionisation suppressed early galaxies and whether small haloes are as abundant as dark-matter models predict. But a UFD may raise only a handful of detectable stars above the foreground of Milky Way stars and compact background galaxies, and a promising overdensity may turn out to be a star cluster, a chance alignment, or a survey artefact. The search must therefore catch a weak signal without forcing every detection into a class. Telling a dark-matter-dominated dwarf from an ultra-faint star cluster may in the end require spectroscopy.</w:t>
      </w:r>
    </w:p>
    <w:p w14:paraId="77C89E47" w14:textId="CC964084">
      <w:pPr>
        <w:spacing w:before="40" w:after="0" w:line="360" w:lineRule="auto"/>
        <w:rPr>
          <w:rFonts w:ascii="Arial" w:hAnsi="Arial" w:cs="Arial"/>
          <w:sz w:val="22"/>
          <w:szCs w:val="22"/>
        </w:rPr>
      </w:pPr>
      <w:r>
        <w:t>Resolved-star surveys made this a repeatable experiment. Koposov et al. (2008, 2015) uncovered systems missed in integrated light through colour-magnitude selection and spatial filtering; Torrealba et al. (2016a, 2016b) stretched the method across a wide range of sizes and surface brightnesses. Drlica-Wagner et al. (2020) injected mock systems to measure the selection function of a survey-scale census. Cerny et al. (2021, 2023) joined matched-filter searches to structural modelling and Gaia proper motions, and left the dwarf-cluster question open whenever the evidence fell short.</w:t>
      </w:r>
    </w:p>
    <w:p w14:paraId="CCD8093E" w14:textId="564AC9F5">
      <w:pPr>
        <w:spacing w:before="40" w:after="0" w:line="360" w:lineRule="auto"/>
        <w:rPr>
          <w:rFonts w:ascii="Arial" w:hAnsi="Arial" w:cs="Arial"/>
          <w:sz w:val="22"/>
          <w:szCs w:val="22"/>
        </w:rPr>
      </w:pPr>
      <w:r>
        <w:t>Euclid extends the experiment's reach. Its sharp VIS images help separate stars from barely resolved galaxies, and its optical and near-infrared photometry reaches far fainter than Gaia across a wide area. Euclid DR1 therefore drives the search: shallower external imaging neither sets its depth nor covers its footprint, and Gaia enters only for the bright candidate members. That choice turns variable depth, bright-star masks, catalogue artefacts, and residual galaxy contamination into the controls that matter. Here a transparent search, testable field by field, serves better than a finely tuned algorithm.</w:t>
      </w:r>
    </w:p>
    <w:p w14:paraId="B63B3064" w14:textId="49220DE9">
      <w:pPr>
        <w:pStyle w:val="Heading3"/>
        <w:rPr>
          <w:rFonts w:ascii="Arial" w:hAnsi="Arial" w:cs="Arial"/>
        </w:rPr>
      </w:pPr>
      <w:r>
        <w:rPr>
          <w:rFonts w:ascii="Arial" w:hAnsi="Arial" w:cs="Arial"/>
        </w:rPr>
        <w:t>Project details</w:t>
      </w:r>
    </w:p>
    <w:p w14:paraId="CCA637A2" w14:textId="EAC83F74">
      <w:pPr>
        <w:spacing w:before="40" w:after="0" w:line="360" w:lineRule="auto"/>
        <w:rPr>
          <w:rFonts w:ascii="Arial" w:hAnsi="Arial" w:cs="Arial"/>
          <w:sz w:val="22"/>
          <w:szCs w:val="22"/>
        </w:rPr>
      </w:pPr>
      <w:r>
        <w:t>The student builds a simple pipeline, validates it on known and artificial systems, and then searches the Euclid DR1 footprint:</w:t>
      </w:r>
    </w:p>
    <w:p w14:paraId="0684762B" w14:textId="A15EF6CA">
      <w:pPr>
        <w:pStyle w:val="ListParagraph"/>
        <w:keepLines/>
        <w:numPr>
          <w:ilvl w:val="0"/>
          <w:numId w:val="1"/>
        </w:numPr>
        <w:spacing w:before="40" w:after="0" w:line="360" w:lineRule="auto"/>
        <w:rPr>
          <w:rFonts w:ascii="Arial" w:hAnsi="Arial" w:cs="Arial"/>
          <w:sz w:val="22"/>
          <w:szCs w:val="22"/>
        </w:rPr>
      </w:pPr>
      <w:r>
        <w:rPr>
          <w:b/>
        </w:rPr>
        <w:t xml:space="preserve">Define the point-source sample in the Euclid Wide Survey. </w:t>
      </w:r>
      <w:r>
        <w:t>Concentrate first on efficient star–galaxy separation and on the magnitude down to which it still works: use Euclid's VIS morphology and optical–near-infrared colours to keep point sources and reject unresolved galaxies, and find the depth within the Wide Survey where the separation stays clean enough for a satellite search. Simple catalogue cuts come first; masks, depth variation, and residual contamination enter later, only where a validation test shows the search needs them.</w:t>
      </w:r>
    </w:p>
    <w:p w14:paraId="DCA187E5" w14:textId="28280D3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Search for resolved stellar systems.</w:t>
      </w:r>
      <w:r>
        <w:rPr>
          <w:rFonts w:ascii="Arial" w:hAnsi="Arial" w:cs="Arial"/>
          <w:sz w:val="22"/>
          <w:szCs w:val="22"/>
        </w:rPr>
        <w:t xml:space="preserve"> Shift old, metal-poor isochrones over a grid of distances and select Euclid sources close to each sequence. Apply narrow and broad Gaussian smoothing to the resulting density maps; their difference suppresses the slowly varying foreground and highlights compact overdensities over a modest range of angular scales.</w:t>
      </w:r>
    </w:p>
    <w:p w14:paraId="3A42B317" w14:textId="6621538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Calibrate the search sensitivity.</w:t>
      </w:r>
      <w:r>
        <w:rPr>
          <w:rFonts w:ascii="Arial" w:hAnsi="Arial" w:cs="Arial"/>
          <w:sz w:val="22"/>
          <w:szCs w:val="22"/>
        </w:rPr>
        <w:t xml:space="preserve"> Recover known satellites and inject mock UFDs spanning distance, luminosity, size, and ellipticity. Run the same search on the mocks to measure recovery probability and completeness. Use off-isochrone selections or position-scrambled catalogues to gauge spurious peaks. Together, these tests will set detection thresholds and make non-detections interpretable without displacing the discovery search itself.</w:t>
      </w:r>
    </w:p>
    <w:p w14:paraId="A1BA7017" w14:textId="2EBD60C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Vet and rank every credible peak.</w:t>
      </w:r>
      <w:r>
        <w:rPr>
          <w:rFonts w:ascii="Arial" w:hAnsi="Arial" w:cs="Arial"/>
          <w:sz w:val="22"/>
          <w:szCs w:val="22"/>
        </w:rPr>
        <w:t xml:space="preserve"> Inspect the colour-magnitude diagram, spatial concentration, and persistence under modest changes to the isochrone selection. Use Gaia proper motions and parallaxes for brighter possible members. Compare stellar and galaxy density maps: a corresponding galaxy excess may identify an unresolved-galaxy group rather than a Milky Way system. Image cutouts, masks, depth, and catalogue flags will expose further artefacts.</w:t>
      </w:r>
    </w:p>
    <w:p w14:paraId="13E20F4E" w14:textId="56BC114F">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Characterise the strongest candidates.</w:t>
      </w:r>
      <w:r>
        <w:rPr>
          <w:rFonts w:ascii="Arial" w:hAnsi="Arial" w:cs="Arial"/>
          <w:sz w:val="22"/>
          <w:szCs w:val="22"/>
        </w:rPr>
        <w:t xml:space="preserve"> Fit spatial and colour-magnitude models to estimate membership probabilities, distance, half-light radius, ellipticity, and total luminosity. Compare these measurements with known dwarfs and clusters, and retain candidate status where the data do not determine the system's nature. Produce a prioritised list for deeper imaging or spectroscopy.</w:t>
      </w:r>
    </w:p>
    <w:p w14:paraId="7A63E16D" w14:textId="AC08A38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b/>
          <w:bCs/>
        </w:rPr>
        <w:t>Extension: search for streams.</w:t>
      </w:r>
      <w:r>
        <w:rPr>
          <w:rFonts w:ascii="Arial" w:hAnsi="Arial" w:cs="Arial"/>
          <w:sz w:val="22"/>
          <w:szCs w:val="22"/>
        </w:rPr>
        <w:t xml:space="preserve"> If the core UFD search is complete, use the same isochrone-selected maps to look for elongated, low-contrast features. This extension reuses the validated catalogue and masks rather than creating a parallel stream-search programme.</w:t>
      </w:r>
    </w:p>
    <w:p w14:paraId="8F26C713" w14:textId="E7D78322">
      <w:pPr>
        <w:spacing w:before="40" w:after="0" w:line="360" w:lineRule="auto"/>
        <w:rPr>
          <w:rFonts w:ascii="Arial" w:hAnsi="Arial" w:cs="Arial"/>
          <w:sz w:val="22"/>
          <w:szCs w:val="22"/>
        </w:rPr>
      </w:pPr>
      <w:r>
        <w:t>The main deliverable is a ranked catalogue of every credible UFD candidate, first measurements for the strongest systems, and a quantified search sensitivity across the usable Euclid DR1 footprint.</w:t>
      </w:r>
    </w:p>
    <w:p w14:paraId="1A10F48F" w14:textId="E2409257">
      <w:pPr>
        <w:pStyle w:val="Heading3"/>
        <w:rPr>
          <w:rFonts w:ascii="Arial" w:hAnsi="Arial" w:cs="Arial"/>
        </w:rPr>
      </w:pPr>
      <w:r>
        <w:rPr>
          <w:rFonts w:ascii="Arial" w:hAnsi="Arial" w:cs="Arial"/>
        </w:rPr>
        <w:t>Prerequisite skills required</w:t>
      </w:r>
    </w:p>
    <w:p w14:paraId="D533C762" w14:textId="208EEE56">
      <w:pPr>
        <w:spacing w:before="40" w:after="0" w:line="360" w:lineRule="auto"/>
        <w:rPr>
          <w:rFonts w:ascii="Arial" w:hAnsi="Arial" w:cs="Arial"/>
          <w:sz w:val="22"/>
          <w:szCs w:val="22"/>
        </w:rPr>
      </w:pPr>
      <w:r>
        <w:rPr>
          <w:rFonts w:ascii="Arial" w:hAnsi="Arial" w:cs="Arial"/>
          <w:sz w:val="22"/>
          <w:szCs w:val="22"/>
        </w:rPr>
        <w:t>The student should be comfortable with scientific Python, arrays, plotting, and basic probability. Familiarity with colour-magnitude diagrams or astronomical catalogues would help but is not required.</w:t>
      </w:r>
    </w:p>
    <w:p w14:paraId="61EE65A2" w14:textId="69269825">
      <w:pPr>
        <w:pStyle w:val="Heading3"/>
        <w:rPr>
          <w:rFonts w:ascii="Arial" w:hAnsi="Arial" w:cs="Arial"/>
        </w:rPr>
      </w:pPr>
      <w:r>
        <w:rPr>
          <w:rFonts w:ascii="Arial" w:hAnsi="Arial" w:cs="Arial"/>
        </w:rPr>
        <w:t>Other skills used in the project</w:t>
      </w:r>
    </w:p>
    <w:p w14:paraId="7304863D" w14:textId="6F3D4E24">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Querying astronomical catalogues with SQL/ADQL and working with sky coordinates in Astropy.</w:t>
      </w:r>
    </w:p>
    <w:p w14:paraId="CC446D71" w14:textId="6B87FE8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Isochrone-based colour-magnitude filtering and probabilistic membership inference.</w:t>
      </w:r>
    </w:p>
    <w:p w14:paraId="82871D3B" w14:textId="DD8EC86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Spatial density estimation, image filtering, and statistically controlled candidate searches.</w:t>
      </w:r>
    </w:p>
    <w:p w14:paraId="3DE74D55" w14:textId="3523FA2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Injection-recovery experiments and measurement of survey selection functions.</w:t>
      </w:r>
    </w:p>
    <w:p w14:paraId="392D2E71" w14:textId="D446FEEE">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Reproducible data analysis, scientific visualisation, and version control.</w:t>
      </w:r>
    </w:p>
    <w:p w14:paraId="202B1201" w14:textId="9E13F845">
      <w:pPr>
        <w:pStyle w:val="Heading3"/>
        <w:rPr>
          <w:rFonts w:ascii="Arial" w:hAnsi="Arial" w:cs="Arial"/>
        </w:rPr>
      </w:pPr>
      <w:r>
        <w:rPr>
          <w:rFonts w:ascii="Arial" w:hAnsi="Arial" w:cs="Arial"/>
        </w:rPr>
        <w:t>Acceptable Programming Languages</w:t>
      </w:r>
    </w:p>
    <w:p w14:paraId="A8ED36D5" w14:textId="F5E0A76F">
      <w:pPr>
        <w:spacing w:before="40" w:after="0" w:line="360" w:lineRule="auto"/>
        <w:rPr>
          <w:rFonts w:ascii="Arial" w:hAnsi="Arial" w:cs="Arial"/>
          <w:sz w:val="22"/>
          <w:szCs w:val="22"/>
        </w:rPr>
      </w:pPr>
      <w:r>
        <w:rPr>
          <w:rFonts w:ascii="Arial" w:hAnsi="Arial" w:cs="Arial"/>
          <w:sz w:val="22"/>
          <w:szCs w:val="22"/>
        </w:rPr>
        <w:t>Python is preferred.</w:t>
      </w:r>
    </w:p>
    <w:p w14:paraId="87E695D9" w14:textId="699532C9">
      <w:pPr>
        <w:pStyle w:val="Heading3"/>
        <w:rPr>
          <w:rFonts w:ascii="Arial" w:hAnsi="Arial" w:cs="Arial"/>
        </w:rPr>
      </w:pPr>
      <w:r>
        <w:rPr>
          <w:rFonts w:ascii="Arial" w:hAnsi="Arial" w:cs="Arial"/>
        </w:rPr>
        <w:t>Useful references (List of important papers/review articles relevant to the project)</w:t>
      </w:r>
    </w:p>
    <w:p w14:paraId="C7FC6D62" w14:textId="C5EFA34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Koposov, S. et al. (2008), 'The Luminosity Function of the Milky Way Satellites', ApJ, 686, 279. </w:t>
      </w:r>
      <w:hyperlink r:id="rId10">
        <w:r>
          <w:rPr>
            <w:rFonts w:ascii="Arial" w:hAnsi="Arial" w:cs="Arial"/>
            <w:sz w:val="22"/>
            <w:szCs w:val="22"/>
            <w:color w:val="0563C1"/>
            <w:u w:val="single"/>
          </w:rPr>
          <w:t>https://doi.org/10.1086/589911</w:t>
        </w:r>
      </w:hyperlink>
    </w:p>
    <w:p w14:paraId="62106EE0" w14:textId="C9895AD0">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Koposov, S. E., Belokurov, V., Torrealba, G. &amp; Evans, N. W. (2015), 'Beasts of the Southern Wild: Discovery of nine ultra-faint satellites in the vicinity of the Magellanic Clouds', ApJ, 805, 130. </w:t>
      </w:r>
      <w:hyperlink r:id="rId11">
        <w:r>
          <w:rPr>
            <w:rFonts w:ascii="Arial" w:hAnsi="Arial" w:cs="Arial"/>
            <w:sz w:val="22"/>
            <w:szCs w:val="22"/>
            <w:color w:val="0563C1"/>
            <w:u w:val="single"/>
          </w:rPr>
          <w:t>https://doi.org/10.1088/0004-637X/805/2/130</w:t>
        </w:r>
      </w:hyperlink>
    </w:p>
    <w:p w14:paraId="869D2584" w14:textId="162C91B2">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Torrealba, G., Koposov, S. E., Belokurov, V. &amp; Irwin, M. (2016a), 'The Feeble Giant: Discovery of a large and diffuse Milky Way dwarf galaxy in the constellation of Crater', MNRAS, 459, 2370. </w:t>
      </w:r>
      <w:hyperlink r:id="rId12">
        <w:r>
          <w:rPr>
            <w:rFonts w:ascii="Arial" w:hAnsi="Arial" w:cs="Arial"/>
            <w:sz w:val="22"/>
            <w:szCs w:val="22"/>
            <w:color w:val="0563C1"/>
            <w:u w:val="single"/>
          </w:rPr>
          <w:t>https://doi.org/10.1093/mnras/stw733</w:t>
        </w:r>
      </w:hyperlink>
    </w:p>
    <w:p w14:paraId="8C075AD7" w14:textId="0A212E5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Torrealba, G., Koposov, S. E., Belokurov, V. &amp; Irwin, M. (2016b), 'At the survey limits: discovery of the Aquarius 2 dwarf galaxy in the VST ATLAS and the SDSS data', MNRAS, 463, 712. </w:t>
      </w:r>
      <w:hyperlink r:id="rId13">
        <w:r>
          <w:rPr>
            <w:rFonts w:ascii="Arial" w:hAnsi="Arial" w:cs="Arial"/>
            <w:sz w:val="22"/>
            <w:szCs w:val="22"/>
            <w:color w:val="0563C1"/>
            <w:u w:val="single"/>
          </w:rPr>
          <w:t>https://doi.org/10.1093/mnras/stw2051</w:t>
        </w:r>
      </w:hyperlink>
    </w:p>
    <w:p w14:paraId="5072D8B5" w14:textId="015C788B">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Drlica-Wagner, A. et al. (2020), 'Milky Way Satellite Census. I. The Observational Selection Function for Milky Way Satellites in DES Y3 and Pan-STARRS DR1', ApJ, 893, 47. </w:t>
      </w:r>
      <w:hyperlink r:id="rId14">
        <w:r>
          <w:rPr>
            <w:rFonts w:ascii="Arial" w:hAnsi="Arial" w:cs="Arial"/>
            <w:sz w:val="22"/>
            <w:szCs w:val="22"/>
            <w:color w:val="0563C1"/>
            <w:u w:val="single"/>
          </w:rPr>
          <w:t>https://doi.org/10.3847/1538-4357/ab7eb9</w:t>
        </w:r>
      </w:hyperlink>
    </w:p>
    <w:p w14:paraId="076C9324" w14:textId="83A65FCD">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Cerny, W. et al. (2021), 'Eridanus IV: An Ultra-Faint Dwarf Galaxy Candidate Discovered in the DECam Local Volume Exploration Survey', ApJL, 920, L44. </w:t>
      </w:r>
      <w:hyperlink r:id="rId15">
        <w:r>
          <w:rPr>
            <w:rFonts w:ascii="Arial" w:hAnsi="Arial" w:cs="Arial"/>
            <w:sz w:val="22"/>
            <w:szCs w:val="22"/>
            <w:color w:val="0563C1"/>
            <w:u w:val="single"/>
          </w:rPr>
          <w:t>https://doi.org/10.3847/2041-8213/ac2d9a</w:t>
        </w:r>
      </w:hyperlink>
    </w:p>
    <w:p w14:paraId="DC35D2DF" w14:textId="36EBB185">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Cerny, W. et al. (2023), 'Six More Ultra-Faint Milky Way Companions Discovered in the DECam Local Volume Exploration Survey', ApJ, 953, 1. </w:t>
      </w:r>
      <w:hyperlink r:id="rId16">
        <w:r>
          <w:rPr>
            <w:rFonts w:ascii="Arial" w:hAnsi="Arial" w:cs="Arial"/>
            <w:sz w:val="22"/>
            <w:szCs w:val="22"/>
            <w:color w:val="0563C1"/>
            <w:u w:val="single"/>
          </w:rPr>
          <w:t>https://doi.org/10.3847/1538-4357/acdd78</w:t>
        </w:r>
      </w:hyperlink>
    </w:p>
    <w:p w14:paraId="92A6CF74" w14:textId="3445FB13">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Shipp, N. et al. (2018), 'Stellar Streams Discovered in the Dark Energy Survey', ApJ, 862, 114. </w:t>
      </w:r>
      <w:hyperlink r:id="rId17">
        <w:r>
          <w:rPr>
            <w:rFonts w:ascii="Arial" w:hAnsi="Arial" w:cs="Arial"/>
            <w:sz w:val="22"/>
            <w:szCs w:val="22"/>
            <w:color w:val="0563C1"/>
            <w:u w:val="single"/>
          </w:rPr>
          <w:t>https://doi.org/10.3847/1538-4357/aacdab</w:t>
        </w:r>
      </w:hyperlink>
    </w:p>
    <w:p w14:paraId="9614174E" w14:textId="7C9010D2">
      <w:pPr>
        <w:pStyle w:val="Heading3"/>
        <w:rPr>
          <w:rFonts w:ascii="Arial" w:hAnsi="Arial" w:cs="Arial"/>
        </w:rPr>
      </w:pPr>
      <w:r>
        <w:rPr>
          <w:rFonts w:ascii="Arial" w:hAnsi="Arial" w:cs="Arial"/>
        </w:rPr>
        <w:t>General References (List of papers referred to in the project)</w:t>
      </w:r>
    </w:p>
    <w:p w14:paraId="5511D3E9" w14:textId="84AE66E8">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ESA, 'Euclid mission timeline and data releases'. </w:t>
      </w:r>
      <w:hyperlink r:id="rId18">
        <w:r>
          <w:rPr>
            <w:rFonts w:ascii="Arial" w:hAnsi="Arial" w:cs="Arial"/>
            <w:sz w:val="22"/>
            <w:szCs w:val="22"/>
            <w:color w:val="0563C1"/>
            <w:u w:val="single"/>
          </w:rPr>
          <w:t>https://www.cosmos.esa.int/web/euclid/timeline</w:t>
        </w:r>
      </w:hyperlink>
    </w:p>
    <w:p w14:paraId="2F65460A" w14:textId="94D14FC7">
      <w:pPr>
        <w:pStyle w:val="ListParagraph"/>
        <w:keepLines/>
        <w:numPr>
          <w:ilvl w:val="0"/>
          <w:numId w:val="1"/>
        </w:numPr>
        <w:spacing w:before="40" w:after="0" w:line="360" w:lineRule="auto"/>
        <w:rPr>
          <w:rFonts w:ascii="Arial" w:hAnsi="Arial" w:cs="Arial"/>
          <w:sz w:val="22"/>
          <w:szCs w:val="22"/>
        </w:rPr>
      </w:pPr>
      <w:r>
        <w:t xml:space="preserve">Aussel, H. et al. (2026), ‘Euclid Quick Data Release (Q1). I. Data release overview’, A&amp;A, 711, A1. </w:t>
      </w:r>
      <w:hyperlink r:id="rId19">
        <w:r>
          <w:rPr>
            <w:rFonts w:ascii="Arial" w:hAnsi="Arial" w:cs="Arial"/>
            <w:sz w:val="22"/>
            <w:szCs w:val="22"/>
            <w:color w:val="0563C1"/>
            <w:u w:val="single"/>
          </w:rPr>
          <w:t>https://doi.org/10.1051/0004-6361/202554610</w:t>
        </w:r>
      </w:hyperlink>
    </w:p>
    <w:p w14:paraId="A57054A8" w14:textId="D27BD71A">
      <w:pPr>
        <w:pStyle w:val="ListParagraph"/>
        <w:keepLines/>
        <w:numPr>
          <w:ilvl w:val="0"/>
          <w:numId w:val="1"/>
        </w:numPr>
        <w:spacing w:before="40" w:after="0" w:line="360" w:lineRule="auto"/>
        <w:rPr>
          <w:rFonts w:ascii="Arial" w:hAnsi="Arial" w:cs="Arial"/>
          <w:sz w:val="22"/>
          <w:szCs w:val="22"/>
        </w:rPr>
      </w:pPr>
      <w:r>
        <w:rPr>
          <w:rFonts w:ascii="Arial" w:hAnsi="Arial" w:cs="Arial"/>
          <w:sz w:val="22"/>
          <w:szCs w:val="22"/>
        </w:rPr>
        <w:t xml:space="preserve">Scaramella, R. et al. (2022), 'Euclid preparation. I. The Euclid Wide Survey', A&amp;A, 662, A112. </w:t>
      </w:r>
      <w:hyperlink r:id="rId20">
        <w:r>
          <w:rPr>
            <w:rFonts w:ascii="Arial" w:hAnsi="Arial" w:cs="Arial"/>
            <w:sz w:val="22"/>
            <w:szCs w:val="22"/>
            <w:color w:val="0563C1"/>
            <w:u w:val="single"/>
          </w:rPr>
          <w:t>https://doi.org/10.1051/0004-6361/202141938</w:t>
        </w:r>
      </w:hyperlink>
    </w:p>
    <w:sectPr w:rsidR="003C12CE" w:rsidRPr="003C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6494E"/>
    <w:multiLevelType w:val="hybridMultilevel"/>
    <w:tmpl w:val="6DF266DC"/>
    <w:lvl w:ilvl="0" w:tplc="364440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60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enforcement="1" w:cryptProviderType="rsaAES" w:cryptAlgorithmClass="hash" w:cryptAlgorithmType="typeAny" w:cryptAlgorithmSid="14" w:cryptSpinCount="100000" w:hash="rc4HCAGByGdhKvQ4o4XrWrLfPnEZIdRROQESbNNBOl9Pti4N4kQPrMaAXwJ35DiFFPyrzYqOqkUrHd2jtORJug==" w:salt="saNffofjuDtwBq/h3Gufy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B2"/>
    <w:rsid w:val="003C12CE"/>
    <w:rsid w:val="006A783E"/>
    <w:rsid w:val="007323A5"/>
    <w:rsid w:val="00D663A5"/>
    <w:rsid w:val="00DF4092"/>
    <w:rsid w:val="00F705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078B"/>
  <w15:chartTrackingRefBased/>
  <w15:docId w15:val="{9EBC790E-7B21-4C75-B420-DA23C5D8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B2"/>
    <w:rPr>
      <w:rFonts w:eastAsiaTheme="majorEastAsia" w:cstheme="majorBidi"/>
      <w:color w:val="272727" w:themeColor="text1" w:themeTint="D8"/>
    </w:rPr>
  </w:style>
  <w:style w:type="paragraph" w:styleId="Title">
    <w:name w:val="Title"/>
    <w:basedOn w:val="Normal"/>
    <w:next w:val="Normal"/>
    <w:link w:val="TitleChar"/>
    <w:uiPriority w:val="10"/>
    <w:qFormat/>
    <w:rsid w:val="00F7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B2"/>
    <w:pPr>
      <w:spacing w:before="160"/>
      <w:jc w:val="center"/>
    </w:pPr>
    <w:rPr>
      <w:i/>
      <w:iCs/>
      <w:color w:val="404040" w:themeColor="text1" w:themeTint="BF"/>
    </w:rPr>
  </w:style>
  <w:style w:type="character" w:customStyle="1" w:styleId="QuoteChar">
    <w:name w:val="Quote Char"/>
    <w:basedOn w:val="DefaultParagraphFont"/>
    <w:link w:val="Quote"/>
    <w:uiPriority w:val="29"/>
    <w:rsid w:val="00F705B2"/>
    <w:rPr>
      <w:i/>
      <w:iCs/>
      <w:color w:val="404040" w:themeColor="text1" w:themeTint="BF"/>
    </w:rPr>
  </w:style>
  <w:style w:type="paragraph" w:styleId="ListParagraph">
    <w:name w:val="List Paragraph"/>
    <w:basedOn w:val="Normal"/>
    <w:uiPriority w:val="34"/>
    <w:qFormat/>
    <w:rsid w:val="00F705B2"/>
    <w:pPr>
      <w:ind w:left="720"/>
      <w:contextualSpacing/>
    </w:pPr>
  </w:style>
  <w:style w:type="character" w:styleId="IntenseEmphasis">
    <w:name w:val="Intense Emphasis"/>
    <w:basedOn w:val="DefaultParagraphFont"/>
    <w:uiPriority w:val="21"/>
    <w:qFormat/>
    <w:rsid w:val="00F705B2"/>
    <w:rPr>
      <w:i/>
      <w:iCs/>
      <w:color w:val="0F4761" w:themeColor="accent1" w:themeShade="BF"/>
    </w:rPr>
  </w:style>
  <w:style w:type="paragraph" w:styleId="IntenseQuote">
    <w:name w:val="Intense Quote"/>
    <w:basedOn w:val="Normal"/>
    <w:next w:val="Normal"/>
    <w:link w:val="IntenseQuoteChar"/>
    <w:uiPriority w:val="30"/>
    <w:qFormat/>
    <w:rsid w:val="00F7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B2"/>
    <w:rPr>
      <w:i/>
      <w:iCs/>
      <w:color w:val="0F4761" w:themeColor="accent1" w:themeShade="BF"/>
    </w:rPr>
  </w:style>
  <w:style w:type="character" w:styleId="IntenseReference">
    <w:name w:val="Intense Reference"/>
    <w:basedOn w:val="DefaultParagraphFont"/>
    <w:uiPriority w:val="32"/>
    <w:qFormat/>
    <w:rsid w:val="00F70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hyperlink" Target="https://doi.org/10.1086/589911" TargetMode="External"/><Relationship Id="rId11" Type="http://schemas.openxmlformats.org/officeDocument/2006/relationships/hyperlink" Target="https://doi.org/10.1088/0004-637X/805/2/130" TargetMode="External"/><Relationship Id="rId12" Type="http://schemas.openxmlformats.org/officeDocument/2006/relationships/hyperlink" Target="https://doi.org/10.1093/mnras/stw733" TargetMode="External"/><Relationship Id="rId13" Type="http://schemas.openxmlformats.org/officeDocument/2006/relationships/hyperlink" Target="https://doi.org/10.1093/mnras/stw2051" TargetMode="External"/><Relationship Id="rId14" Type="http://schemas.openxmlformats.org/officeDocument/2006/relationships/hyperlink" Target="https://doi.org/10.3847/1538-4357/ab7eb9" TargetMode="External"/><Relationship Id="rId15" Type="http://schemas.openxmlformats.org/officeDocument/2006/relationships/hyperlink" Target="https://doi.org/10.3847/2041-8213/ac2d9a" TargetMode="External"/><Relationship Id="rId16" Type="http://schemas.openxmlformats.org/officeDocument/2006/relationships/hyperlink" Target="https://doi.org/10.3847/1538-4357/acdd78" TargetMode="External"/><Relationship Id="rId17" Type="http://schemas.openxmlformats.org/officeDocument/2006/relationships/hyperlink" Target="https://doi.org/10.3847/1538-4357/aacdab" TargetMode="External"/><Relationship Id="rId18" Type="http://schemas.openxmlformats.org/officeDocument/2006/relationships/hyperlink" Target="https://www.cosmos.esa.int/web/euclid/timeline" TargetMode="External"/><Relationship Id="rId19" Type="http://schemas.openxmlformats.org/officeDocument/2006/relationships/hyperlink" Target="https://doi.org/10.1051/0004-6361/202554610" TargetMode="External"/><Relationship Id="rId20" Type="http://schemas.openxmlformats.org/officeDocument/2006/relationships/hyperlink" Target="https://doi.org/10.1051/0004-6361/2021419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50d568-6db7-4f8c-b568-e188b32f325b">
      <Terms xmlns="http://schemas.microsoft.com/office/infopath/2007/PartnerControls"/>
    </lcf76f155ced4ddcb4097134ff3c332f>
    <Permissions xmlns="5950d568-6db7-4f8c-b568-e188b32f325b">
      <UserInfo>
        <DisplayName/>
        <AccountId xsi:nil="true"/>
        <AccountType/>
      </UserInfo>
    </Permissions>
    <TaxCatchAll xmlns="04ce3b6f-caa0-47b7-aeb3-04f52a1d19b4" xsi:nil="true"/>
    <date xmlns="5950d568-6db7-4f8c-b568-e188b32f32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846D9F3F69524790D0324DCBB4A3BD" ma:contentTypeVersion="20" ma:contentTypeDescription="Create a new document." ma:contentTypeScope="" ma:versionID="14c482df9f7ebf416dadfef119cbc083">
  <xsd:schema xmlns:xsd="http://www.w3.org/2001/XMLSchema" xmlns:xs="http://www.w3.org/2001/XMLSchema" xmlns:p="http://schemas.microsoft.com/office/2006/metadata/properties" xmlns:ns2="5950d568-6db7-4f8c-b568-e188b32f325b" xmlns:ns3="04ce3b6f-caa0-47b7-aeb3-04f52a1d19b4" targetNamespace="http://schemas.microsoft.com/office/2006/metadata/properties" ma:root="true" ma:fieldsID="b3f82fed6ed388c2c7e850504c939df0" ns2:_="" ns3:_="">
    <xsd:import namespace="5950d568-6db7-4f8c-b568-e188b32f325b"/>
    <xsd:import namespace="04ce3b6f-caa0-47b7-aeb3-04f52a1d19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date" minOccurs="0"/>
                <xsd:element ref="ns2:MediaServiceSearchProperties" minOccurs="0"/>
                <xsd:element ref="ns2:MediaServiceBillingMetadata" minOccurs="0"/>
                <xsd:element ref="ns2:Permis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0d568-6db7-4f8c-b568-e188b32f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date" ma:index="24" nillable="true" ma:displayName="date" ma:format="DateOnly" ma:internalName="dat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ermissions" ma:index="27" nillable="true" ma:displayName="Permissions" ma:description="A record of who has permissions to this content other than site owners." ma:format="Dropdown" ma:list="UserInfo" ma:SharePointGroup="0" ma:internalName="Permission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ce3b6f-caa0-47b7-aeb3-04f52a1d19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f7daf26-d9b5-4652-93d0-deb11b88563a}" ma:internalName="TaxCatchAll" ma:showField="CatchAllData" ma:web="04ce3b6f-caa0-47b7-aeb3-04f52a1d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D9A795-B070-4B6B-8045-7FEF954CCDF7}">
  <ds:schemaRefs>
    <ds:schemaRef ds:uri="http://schemas.microsoft.com/office/2006/metadata/properties"/>
    <ds:schemaRef ds:uri="http://schemas.microsoft.com/office/infopath/2007/PartnerControls"/>
    <ds:schemaRef ds:uri="5950d568-6db7-4f8c-b568-e188b32f325b"/>
    <ds:schemaRef ds:uri="04ce3b6f-caa0-47b7-aeb3-04f52a1d19b4"/>
  </ds:schemaRefs>
</ds:datastoreItem>
</file>

<file path=customXml/itemProps2.xml><?xml version="1.0" encoding="utf-8"?>
<ds:datastoreItem xmlns:ds="http://schemas.openxmlformats.org/officeDocument/2006/customXml" ds:itemID="{96C1395C-DBD8-4CDB-BB0D-A2D32EC8FE8C}">
  <ds:schemaRefs>
    <ds:schemaRef ds:uri="http://schemas.microsoft.com/sharepoint/v3/contenttype/forms"/>
  </ds:schemaRefs>
</ds:datastoreItem>
</file>

<file path=customXml/itemProps3.xml><?xml version="1.0" encoding="utf-8"?>
<ds:datastoreItem xmlns:ds="http://schemas.openxmlformats.org/officeDocument/2006/customXml" ds:itemID="{7CAFAC6A-EBE7-4E40-98E5-3183D0695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0d568-6db7-4f8c-b568-e188b32f325b"/>
    <ds:schemaRef ds:uri="04ce3b6f-caa0-47b7-aeb3-04f52a1d1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120</Words>
  <Characters>685</Characters>
  <Application>Microsoft Office Word</Application>
  <DocSecurity>8</DocSecurity>
  <Lines>5</Lines>
  <Paragraphs>1</Paragraphs>
  <ScaleCrop>false</ScaleCrop>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Fell</dc:creator>
  <cp:keywords/>
  <dc:description/>
  <cp:lastModifiedBy>Michelle Fell</cp:lastModifiedBy>
  <cp:revision>3</cp:revision>
  <dcterms:created xsi:type="dcterms:W3CDTF">2026-05-14T09:13:00Z</dcterms:created>
  <dcterms:modified xsi:type="dcterms:W3CDTF">2026-05-14T10:31:00Z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0x010100C5846D9F3F69524790D0324DCBB4A3BD</vt:lpwstr>
  </property>
  <property fmtid="{D5CDD505-2E9C-101B-9397-08002B2CF9AE}" pid="3" name="MediaServiceImageTags">
    <vt:lpwstr/>
  </property>
</Properties>
</file>