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rPr>
          <w:rFonts w:ascii="Arial" w:hAnsi="Arial" w:cs="Arial"/>
        </w:rPr>
        <w:t>Project Title: Discovering New Ultra-Faint Milky Way Satellites with Euclid DR1</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t>The faintest companions of the Milky Way shine too dimly to see in integrated light. They betray themselves only as sparse scatterings of resolved stars, old and metal-poor. These ultra-faint dwarf galaxies (UFDs) occupy the smallest dark-matter haloes known to hold stars, so counting them tests low-mass galaxy formation, reionisation, and the behaviour of dark matter on small scales. That count is still far from complete, above all for the most distant and diffuse systems.</w:t>
      </w:r>
    </w:p>
    <w:p w14:paraId="17F7832A" w14:textId="0074C8D6">
      <w:pPr>
        <w:spacing w:before="40" w:after="0" w:line="360" w:lineRule="auto"/>
        <w:rPr>
          <w:rFonts w:ascii="Arial" w:hAnsi="Arial" w:cs="Arial"/>
          <w:sz w:val="22"/>
          <w:szCs w:val="22"/>
        </w:rPr>
      </w:pPr>
      <w:r>
        <w:t>Euclid DR1 brings together deep photometry, sharp imaging, and wide sky coverage. The student will use it to discover and characterise new UFD candidates. Old, metal-poor isochrones, stepped through a range of distances, select possible member stars; a difference-of-Gaussians filter then picks out compact spatial overdensities. The student ranks each credible peak on its colour-magnitude diagram, its spatial concentration, its stability as the selection changes, Gaia astrometry for the brighter stars, and checks for galaxy clustering and imaging artefacts. Known satellites and injected mocks measure how sensitive the search is. For the strongest candidates, the student then estimates distance, luminosity, size, ellipticity, and membership. Stellar streams offer a secondary extension.</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t>The number of ultra-faint dwarfs orbiting the Milky Way is the sharpest local constraint on the nature of dark matter: a warm or interacting particle would thin the population of low-mass haloes and the galaxies they host. That number is inferred, not counted. Only part of the sky has been searched deeply, so the observed sample is corrected to a total using the Galactocentric radial and on-sky distribution of UFDs — and that distribution is still poorly known, which makes the extrapolation, not the raw detections, the dominant uncertainty on the satellite luminosity function and hence on dark-matter constraints (Jethwa et al. 2018; Nadler et al. 2021). Mapping where UFDs lie, and to what depth they can be found, therefore matters as much as any single discovery. Their ancient stars and large mass-to-light ratios make them sharp probes of star formation in low-mass haloes, and a fuller census also tests how reionisation suppressed early galaxies. But a UFD may raise only a handful of detectable stars above the foreground of Milky Way stars and compact background galaxies, and a promising overdensity may instead be a star cluster, a chance alignment, or a survey artefact. The search must therefore catch a weak signal without forcing every detection into a class, and telling a dark-matter-dominated dwarf from an ultra-faint star cluster may in the end require spectroscopy.</w:t>
      </w:r>
    </w:p>
    <w:p w14:paraId="77C89E47" w14:textId="CC964084">
      <w:pPr>
        <w:spacing w:before="40" w:after="0" w:line="360" w:lineRule="auto"/>
        <w:rPr>
          <w:rFonts w:ascii="Arial" w:hAnsi="Arial" w:cs="Arial"/>
          <w:sz w:val="22"/>
          <w:szCs w:val="22"/>
        </w:rPr>
      </w:pPr>
      <w:r>
        <w:t>Resolved-star surveys made this a repeatable experiment. Koposov et al. (2008, 2015) uncovered systems missed in integrated light through colour-magnitude selection and spatial filtering; Torrealba et al. (2016a, 2016b) stretched the method across a wide range of sizes and surface brightnesses. Drlica-Wagner et al. (2020) injected mock systems to measure the selection function of a survey-scale census. Cerny et al. (2021, 2023) joined matched-filter searches to structural modelling and Gaia proper motions, and left the dwarf-cluster question open whenever the evidence fell short.</w:t>
      </w:r>
    </w:p>
    <w:p w14:paraId="CCD8093E" w14:textId="564AC9F5">
      <w:pPr>
        <w:spacing w:before="40" w:after="0" w:line="360" w:lineRule="auto"/>
        <w:rPr>
          <w:rFonts w:ascii="Arial" w:hAnsi="Arial" w:cs="Arial"/>
          <w:sz w:val="22"/>
          <w:szCs w:val="22"/>
        </w:rPr>
      </w:pPr>
      <w:r>
        <w:t>Euclid extends the experiment's reach. Its sharp VIS images help separate stars from barely resolved galaxies, and its optical and near-infrared photometry reaches far fainter than Gaia across a wide area. Euclid DR1 therefore drives the search: shallower external imaging neither sets its depth nor covers its footprint, and Gaia enters only for the bright candidate members. That choice turns variable depth, bright-star masks, catalogue artefacts, and residual galaxy contamination into the controls that matter. Here a transparent search, testable field by field, serves better than a finely tuned algorithm.</w:t>
      </w:r>
    </w:p>
    <w:p w14:paraId="809DDB42" w14:textId="7F0C3F4A">
      <w:pPr>
        <w:spacing w:before="40" w:after="0" w:line="360" w:lineRule="auto"/>
        <w:rPr>
          <w:rFonts w:ascii="Arial" w:hAnsi="Arial" w:cs="Arial"/>
          <w:sz w:val="22"/>
          <w:szCs w:val="22"/>
        </w:rPr>
      </w:pPr>
      <w:r>
        <w:t>The timing fits the Part III year. Euclid DR1 is released in stages — the DR1-Foundation release in November 2026, completed in mid-2027 — just as the project begins, so the student can build and validate the pipeline on public data (the Euclid Q1 release of March 2025 and existing surveys) through Michaelmas and turn it on DR1 as the new data arrive. Because DR1 is freshly released and almost entirely unexplored, the first careful search of it can still make discoveries — and this project is designed to be that search.</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t>The student builds a simple pipeline, validates it on known and artificial systems, and then searches the Euclid DR1 footprint:</w:t>
      </w:r>
    </w:p>
    <w:p w14:paraId="0684762B" w14:textId="A15EF6CA">
      <w:pPr>
        <w:pStyle w:val="ListParagraph"/>
        <w:keepLines/>
        <w:numPr>
          <w:ilvl w:val="0"/>
          <w:numId w:val="1"/>
        </w:numPr>
        <w:spacing w:before="40" w:after="0" w:line="360" w:lineRule="auto"/>
        <w:rPr>
          <w:rFonts w:ascii="Arial" w:hAnsi="Arial" w:cs="Arial"/>
          <w:sz w:val="22"/>
          <w:szCs w:val="22"/>
        </w:rPr>
      </w:pPr>
      <w:r>
        <w:rPr>
          <w:b/>
        </w:rPr>
        <w:t xml:space="preserve">Define the point-source sample in the Euclid Wide Survey. </w:t>
      </w:r>
      <w:r>
        <w:t>Concentrate first on efficient star–galaxy separation and on the magnitude down to which it still works: use Euclid's VIS morphology and optical–near-infrared colours to keep point sources and reject unresolved galaxies, and find the depth within the Wide Survey where the separation stays clean enough for a satellite search. Simple catalogue cuts come first; masks, depth variation, and residual contamination enter later, only where a validation test shows the search needs them.</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Search for resolved stellar systems.</w:t>
      </w:r>
      <w:r>
        <w:rPr>
          <w:rFonts w:ascii="Arial" w:hAnsi="Arial" w:cs="Arial"/>
          <w:sz w:val="22"/>
          <w:szCs w:val="22"/>
        </w:rPr>
        <w:t xml:space="preserve"> Shift old, metal-poor isochrones over a grid of distances and select Euclid sources close to each sequence. Apply narrow and broad Gaussian smoothing to the resulting density maps; their difference suppresses the slowly varying foreground and highlights compact overdensities over a modest range of angular scales.</w:t>
      </w:r>
    </w:p>
    <w:p w14:paraId="3A42B317" w14:textId="6621538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Calibrate the search sensitivity.</w:t>
      </w:r>
      <w:r>
        <w:rPr>
          <w:rFonts w:ascii="Arial" w:hAnsi="Arial" w:cs="Arial"/>
          <w:sz w:val="22"/>
          <w:szCs w:val="22"/>
        </w:rPr>
        <w:t xml:space="preserve"> Recover known satellites and inject mock UFDs spanning distance, luminosity, size, and ellipticity. Run the same search on the mocks to measure recovery probability and completeness. Use off-isochrone selections or position-scrambled catalogues to gauge spurious peaks. Together, these tests will set detection thresholds and make non-detections interpretable without displacing the discovery search itself.</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Vet and rank every credible peak.</w:t>
      </w:r>
      <w:r>
        <w:rPr>
          <w:rFonts w:ascii="Arial" w:hAnsi="Arial" w:cs="Arial"/>
          <w:sz w:val="22"/>
          <w:szCs w:val="22"/>
        </w:rPr>
        <w:t xml:space="preserve"> Inspect the colour-magnitude diagram, spatial concentration, and persistence under modest changes to the isochrone selection. Use Gaia proper motions and parallaxes for brighter possible members. Compare stellar and galaxy density maps: a corresponding galaxy excess may identify an unresolved-galaxy group rather than a Milky Way system. Image cutouts, masks, depth, and catalogue flags will expose further artefacts.</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Characterise the strongest candidates.</w:t>
      </w:r>
      <w:r>
        <w:rPr>
          <w:rFonts w:ascii="Arial" w:hAnsi="Arial" w:cs="Arial"/>
          <w:sz w:val="22"/>
          <w:szCs w:val="22"/>
        </w:rPr>
        <w:t xml:space="preserve"> Fit spatial and colour-magnitude models to estimate membership probabilities, distance, half-light radius, ellipticity, and total luminosity. Compare these measurements with known dwarfs and clusters, and retain candidate status where the data do not determine the system's nature. Produce a prioritised list for deeper imaging or spectroscopy.</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Extension: search for streams.</w:t>
      </w:r>
      <w:r>
        <w:rPr>
          <w:rFonts w:ascii="Arial" w:hAnsi="Arial" w:cs="Arial"/>
          <w:sz w:val="22"/>
          <w:szCs w:val="22"/>
        </w:rPr>
        <w:t xml:space="preserve"> If the core UFD search is complete, use the same isochrone-selected maps to look for elongated, low-contrast features. This extension reuses the validated catalogue and masks rather than creating a parallel stream-search programme.</w:t>
      </w:r>
    </w:p>
    <w:p w14:paraId="8F26C713" w14:textId="E7D78322">
      <w:pPr>
        <w:spacing w:before="40" w:after="0" w:line="360" w:lineRule="auto"/>
        <w:rPr>
          <w:rFonts w:ascii="Arial" w:hAnsi="Arial" w:cs="Arial"/>
          <w:sz w:val="22"/>
          <w:szCs w:val="22"/>
        </w:rPr>
      </w:pPr>
      <w:r>
        <w:t>The main deliverable is a ranked catalogue of every credible UFD candidate, first measurements for the strongest systems, and a quantified search sensitivity across the usable Euclid DR1 footprint.</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scientific Python, arrays, plotting, and basic probability. Familiarity with colour-magnitude diagrams or astronomical catalogues would help but is not required.</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Querying astronomical catalogues with SQL/ADQL and working with sky coordinates in Astropy.</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Isochrone-based colour-magnitude filtering and probabilistic membership inference.</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Spatial density estimation, image filtering, and statistically controlled candidate searches.</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Injection-recovery experiments and measurement of survey selection functions.</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Reproducible data analysis, scientific visualisation, and version control.</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Koposov, S. et al. (2008), 'The Luminosity Function of the Milky Way Satellites', ApJ, 686, 279. </w:t>
      </w:r>
      <w:hyperlink r:id="rId10">
        <w:r>
          <w:rPr>
            <w:rFonts w:ascii="Arial" w:hAnsi="Arial" w:cs="Arial"/>
            <w:sz w:val="22"/>
            <w:szCs w:val="22"/>
            <w:color w:val="0563C1"/>
            <w:u w:val="single"/>
          </w:rPr>
          <w:t>https://doi.org/10.1086/589911</w:t>
        </w:r>
      </w:hyperlink>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Koposov, S. E., Belokurov, V., Torrealba, G. &amp; Evans, N. W. (2015), 'Beasts of the Southern Wild: Discovery of nine ultra-faint satellites in the vicinity of the Magellanic Clouds', ApJ, 805, 130. </w:t>
      </w:r>
      <w:hyperlink r:id="rId11">
        <w:r>
          <w:rPr>
            <w:rFonts w:ascii="Arial" w:hAnsi="Arial" w:cs="Arial"/>
            <w:sz w:val="22"/>
            <w:szCs w:val="22"/>
            <w:color w:val="0563C1"/>
            <w:u w:val="single"/>
          </w:rPr>
          <w:t>https://doi.org/10.1088/0004-637X/805/2/130</w:t>
        </w:r>
      </w:hyperlink>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Torrealba, G., Koposov, S. E., Belokurov, V. &amp; Irwin, M. (2016a), 'The Feeble Giant: Discovery of a large and diffuse Milky Way dwarf galaxy in the constellation of Crater', MNRAS, 459, 2370. </w:t>
      </w:r>
      <w:hyperlink r:id="rId12">
        <w:r>
          <w:rPr>
            <w:rFonts w:ascii="Arial" w:hAnsi="Arial" w:cs="Arial"/>
            <w:sz w:val="22"/>
            <w:szCs w:val="22"/>
            <w:color w:val="0563C1"/>
            <w:u w:val="single"/>
          </w:rPr>
          <w:t>https://doi.org/10.1093/mnras/stw733</w:t>
        </w:r>
      </w:hyperlink>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Torrealba, G., Koposov, S. E., Belokurov, V. &amp; Irwin, M. (2016b), 'At the survey limits: discovery of the Aquarius 2 dwarf galaxy in the VST ATLAS and the SDSS data', MNRAS, 463, 712. </w:t>
      </w:r>
      <w:hyperlink r:id="rId13">
        <w:r>
          <w:rPr>
            <w:rFonts w:ascii="Arial" w:hAnsi="Arial" w:cs="Arial"/>
            <w:sz w:val="22"/>
            <w:szCs w:val="22"/>
            <w:color w:val="0563C1"/>
            <w:u w:val="single"/>
          </w:rPr>
          <w:t>https://doi.org/10.1093/mnras/stw2051</w:t>
        </w:r>
      </w:hyperlink>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Drlica-Wagner, A. et al. (2020), 'Milky Way Satellite Census. I. The Observational Selection Function for Milky Way Satellites in DES Y3 and Pan-STARRS DR1', ApJ, 893, 47. </w:t>
      </w:r>
      <w:hyperlink r:id="rId14">
        <w:r>
          <w:rPr>
            <w:rFonts w:ascii="Arial" w:hAnsi="Arial" w:cs="Arial"/>
            <w:sz w:val="22"/>
            <w:szCs w:val="22"/>
            <w:color w:val="0563C1"/>
            <w:u w:val="single"/>
          </w:rPr>
          <w:t>https://doi.org/10.3847/1538-4357/ab7eb9</w:t>
        </w:r>
      </w:hyperlink>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Cerny, W. et al. (2021), 'Eridanus IV: An Ultra-Faint Dwarf Galaxy Candidate Discovered in the DECam Local Volume Exploration Survey', ApJL, 920, L44. </w:t>
      </w:r>
      <w:hyperlink r:id="rId15">
        <w:r>
          <w:rPr>
            <w:rFonts w:ascii="Arial" w:hAnsi="Arial" w:cs="Arial"/>
            <w:sz w:val="22"/>
            <w:szCs w:val="22"/>
            <w:color w:val="0563C1"/>
            <w:u w:val="single"/>
          </w:rPr>
          <w:t>https://doi.org/10.3847/2041-8213/ac2d9a</w:t>
        </w:r>
      </w:hyperlink>
    </w:p>
    <w:p w14:paraId="DC35D2DF" w14:textId="36EBB1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Cerny, W. et al. (2023), 'Six More Ultra-Faint Milky Way Companions Discovered in the DECam Local Volume Exploration Survey', ApJ, 953, 1. </w:t>
      </w:r>
      <w:hyperlink r:id="rId16">
        <w:r>
          <w:rPr>
            <w:rFonts w:ascii="Arial" w:hAnsi="Arial" w:cs="Arial"/>
            <w:sz w:val="22"/>
            <w:szCs w:val="22"/>
            <w:color w:val="0563C1"/>
            <w:u w:val="single"/>
          </w:rPr>
          <w:t>https://doi.org/10.3847/1538-4357/acdd78</w:t>
        </w:r>
      </w:hyperlink>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Shipp, N. et al. (2018), 'Stellar Streams Discovered in the Dark Energy Survey', ApJ, 862, 114. </w:t>
      </w:r>
      <w:hyperlink r:id="rId17">
        <w:r>
          <w:rPr>
            <w:rFonts w:ascii="Arial" w:hAnsi="Arial" w:cs="Arial"/>
            <w:sz w:val="22"/>
            <w:szCs w:val="22"/>
            <w:color w:val="0563C1"/>
            <w:u w:val="single"/>
          </w:rPr>
          <w:t>https://doi.org/10.3847/1538-4357/aacdab</w:t>
        </w:r>
      </w:hyperlink>
    </w:p>
    <w:p w14:paraId="92A6CF74" w14:textId="3445FB13">
      <w:pPr>
        <w:pStyle w:val="ListParagraph"/>
        <w:keepLines/>
        <w:numPr>
          <w:ilvl w:val="0"/>
          <w:numId w:val="1"/>
        </w:numPr>
        <w:spacing w:before="40" w:after="0" w:line="360" w:lineRule="auto"/>
        <w:rPr>
          <w:rFonts w:ascii="Arial" w:hAnsi="Arial" w:cs="Arial"/>
          <w:sz w:val="22"/>
          <w:szCs w:val="22"/>
        </w:rPr>
      </w:pPr>
      <w:r>
        <w:t>Jethwa, P., Erkal, D. &amp; Belokurov, V. (2018), ‘The upper bound on the lowest mass halo’, MNRAS, 473, 2060. https://doi.org/10.1093/mnras/stx2330</w:t>
      </w:r>
    </w:p>
    <w:p w14:paraId="92A6CF74" w14:textId="3445FB13">
      <w:pPr>
        <w:pStyle w:val="ListParagraph"/>
        <w:keepLines/>
        <w:numPr>
          <w:ilvl w:val="0"/>
          <w:numId w:val="1"/>
        </w:numPr>
        <w:spacing w:before="40" w:after="0" w:line="360" w:lineRule="auto"/>
        <w:rPr>
          <w:rFonts w:ascii="Arial" w:hAnsi="Arial" w:cs="Arial"/>
          <w:sz w:val="22"/>
          <w:szCs w:val="22"/>
        </w:rPr>
      </w:pPr>
      <w:r>
        <w:t>Nadler, E. O. et al. (2021), ‘Constraints on Dark Matter Properties from Observations of Milky Way Satellite Galaxies’, Phys. Rev. Lett., 126, 091101. https://doi.org/10.1103/PhysRevLett.126.091101</w:t>
      </w:r>
    </w:p>
    <w:p w14:paraId="9614174E" w14:textId="7C9010D2">
      <w:pPr>
        <w:pStyle w:val="Heading3"/>
        <w:rPr>
          <w:rFonts w:ascii="Arial" w:hAnsi="Arial" w:cs="Arial"/>
        </w:rPr>
      </w:pPr>
      <w:r>
        <w:rPr>
          <w:rFonts w:ascii="Arial" w:hAnsi="Arial" w:cs="Arial"/>
        </w:rPr>
        <w:t>General References (List of papers referred to in the project)</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ESA, 'Euclid mission timeline and data releases'. </w:t>
      </w:r>
      <w:hyperlink r:id="rId18">
        <w:r>
          <w:rPr>
            <w:rFonts w:ascii="Arial" w:hAnsi="Arial" w:cs="Arial"/>
            <w:sz w:val="22"/>
            <w:szCs w:val="22"/>
            <w:color w:val="0563C1"/>
            <w:u w:val="single"/>
          </w:rPr>
          <w:t>https://www.cosmos.esa.int/web/euclid/timeline</w:t>
        </w:r>
      </w:hyperlink>
    </w:p>
    <w:p w14:paraId="2F65460A" w14:textId="94D14FC7">
      <w:pPr>
        <w:pStyle w:val="ListParagraph"/>
        <w:keepLines/>
        <w:numPr>
          <w:ilvl w:val="0"/>
          <w:numId w:val="1"/>
        </w:numPr>
        <w:spacing w:before="40" w:after="0" w:line="360" w:lineRule="auto"/>
        <w:rPr>
          <w:rFonts w:ascii="Arial" w:hAnsi="Arial" w:cs="Arial"/>
          <w:sz w:val="22"/>
          <w:szCs w:val="22"/>
        </w:rPr>
      </w:pPr>
      <w:r>
        <w:t xml:space="preserve">Aussel, H. et al. (2026), ‘Euclid Quick Data Release (Q1). I. Data release overview’, A&amp;A, 711, A1. </w:t>
      </w:r>
      <w:hyperlink r:id="rId19">
        <w:r>
          <w:rPr>
            <w:rFonts w:ascii="Arial" w:hAnsi="Arial" w:cs="Arial"/>
            <w:sz w:val="22"/>
            <w:szCs w:val="22"/>
            <w:color w:val="0563C1"/>
            <w:u w:val="single"/>
          </w:rPr>
          <w:t>https://doi.org/10.1051/0004-6361/202554610</w:t>
        </w:r>
      </w:hyperlink>
    </w:p>
    <w:p w14:paraId="A57054A8" w14:textId="D27BD71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Scaramella, R. et al. (2022), 'Euclid preparation. I. The Euclid Wide Survey', A&amp;A, 662, A112. </w:t>
      </w:r>
      <w:hyperlink r:id="rId20">
        <w:r>
          <w:rPr>
            <w:rFonts w:ascii="Arial" w:hAnsi="Arial" w:cs="Arial"/>
            <w:sz w:val="22"/>
            <w:szCs w:val="22"/>
            <w:color w:val="0563C1"/>
            <w:u w:val="single"/>
          </w:rPr>
          <w:t>https://doi.org/10.1051/0004-6361/202141938</w:t>
        </w:r>
      </w:hyperlink>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 Id="rId10" Type="http://schemas.openxmlformats.org/officeDocument/2006/relationships/hyperlink" Target="https://doi.org/10.1086/589911" TargetMode="External"/><Relationship Id="rId11" Type="http://schemas.openxmlformats.org/officeDocument/2006/relationships/hyperlink" Target="https://doi.org/10.1088/0004-637X/805/2/130" TargetMode="External"/><Relationship Id="rId12" Type="http://schemas.openxmlformats.org/officeDocument/2006/relationships/hyperlink" Target="https://doi.org/10.1093/mnras/stw733" TargetMode="External"/><Relationship Id="rId13" Type="http://schemas.openxmlformats.org/officeDocument/2006/relationships/hyperlink" Target="https://doi.org/10.1093/mnras/stw2051" TargetMode="External"/><Relationship Id="rId14" Type="http://schemas.openxmlformats.org/officeDocument/2006/relationships/hyperlink" Target="https://doi.org/10.3847/1538-4357/ab7eb9" TargetMode="External"/><Relationship Id="rId15" Type="http://schemas.openxmlformats.org/officeDocument/2006/relationships/hyperlink" Target="https://doi.org/10.3847/2041-8213/ac2d9a" TargetMode="External"/><Relationship Id="rId16" Type="http://schemas.openxmlformats.org/officeDocument/2006/relationships/hyperlink" Target="https://doi.org/10.3847/1538-4357/acdd78" TargetMode="External"/><Relationship Id="rId17" Type="http://schemas.openxmlformats.org/officeDocument/2006/relationships/hyperlink" Target="https://doi.org/10.3847/1538-4357/aacdab" TargetMode="External"/><Relationship Id="rId18" Type="http://schemas.openxmlformats.org/officeDocument/2006/relationships/hyperlink" Target="https://www.cosmos.esa.int/web/euclid/timeline" TargetMode="External"/><Relationship Id="rId19" Type="http://schemas.openxmlformats.org/officeDocument/2006/relationships/hyperlink" Target="https://doi.org/10.1051/0004-6361/202554610" TargetMode="External"/><Relationship Id="rId20" Type="http://schemas.openxmlformats.org/officeDocument/2006/relationships/hyperlink" Target="https://doi.org/10.1051/0004-6361/20214193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