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Discovering New Ultra-Faint Milky Way Satellites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The faintest companions of the Milky Way are invisible in integrated light. They appear only as sparse groups of resolved stars that trace an old, metal-poor population. Ultra-faint dwarf galaxies (UFDs) inhabit the smallest dark-matter haloes known to host stars, so their census tests low-mass galaxy formation, reionisation, and the small-scale behaviour of dark matter. That census remains incomplete, especially for distant or diffuse systems.</w:t>
      </w:r>
    </w:p>
    <w:p w14:paraId="17F7832A" w14:textId="0074C8D6">
      <w:pPr>
        <w:spacing w:before="40" w:after="0" w:line="360" w:lineRule="auto"/>
        <w:rPr>
          <w:rFonts w:ascii="Arial" w:hAnsi="Arial" w:cs="Arial"/>
          <w:sz w:val="22"/>
          <w:szCs w:val="22"/>
        </w:rPr>
      </w:pPr>
      <w:r>
        <w:rPr>
          <w:rFonts w:ascii="Arial" w:hAnsi="Arial" w:cs="Arial"/>
          <w:sz w:val="22"/>
          <w:szCs w:val="22"/>
        </w:rPr>
        <w:t>Euclid DR1 will combine deep photometry, sharp imaging, and wide sky coverage. The student's main aim is to discover and characterise new UFD candidates. Old, metal-poor isochrones placed at a range of distances will select possible members; a difference-of-Gaussians filter will then reveal spatial overdensities. Every credible peak will be ranked using its colour-magnitude diagram, spatial concentration, stability under changes to the selection, Gaia astrometry for brighter stars, and checks for galaxy clustering or imaging artefacts. Known systems and injected mock satellites will measure the search sensitivity. The strongest candidates will receive initial estimates of distance, luminosity, size, ellipticity, and membership. Stellar streams provide a secondary extension.</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UFDs extend the galaxy population to its lowest luminosities. Their ancient stellar populations and large inferred mass-to-light ratios make them sensitive probes of star formation in low-mass dark-matter haloes. A more complete census can test how reionisation suppressed early galaxies and whether the abundance of small haloes agrees with dark-matter models. Yet a UFD may contribute only a few detectable stars above a foreground of Milky Way stars and compact background galaxies. A plausible overdensity may instead be a star cluster, a chance alignment, or a survey artefact. The search must therefore identify weak signals without forcing every detection into a physical class. Spectroscopy may ultimately be needed to distinguish a dark-matter-dominated dwarf from an ultra-faint star cluster.</w:t>
      </w:r>
    </w:p>
    <w:p w14:paraId="77C89E47" w14:textId="CC964084">
      <w:pPr>
        <w:spacing w:before="40" w:after="0" w:line="360" w:lineRule="auto"/>
        <w:rPr>
          <w:rFonts w:ascii="Arial" w:hAnsi="Arial" w:cs="Arial"/>
          <w:sz w:val="22"/>
          <w:szCs w:val="22"/>
        </w:rPr>
      </w:pPr>
      <w:r>
        <w:rPr>
          <w:rFonts w:ascii="Arial" w:hAnsi="Arial" w:cs="Arial"/>
          <w:sz w:val="22"/>
          <w:szCs w:val="22"/>
        </w:rPr>
        <w:t>Resolved-star surveys turned this problem into a repeatable experiment. Koposov et al. (2008, 2015) used colour-magnitude selections and spatial filtering to uncover systems missed in integrated light, while Torrealba et al. (2016a, 2016b) extended the method across a broad range of sizes and surface brightnesses. Drlica-Wagner et al. (2020) used injected systems to measure the selection function of a survey-scale census. Cerny et al. (2021, 2023) combined matched-filter searches with structural modelling and Gaia proper motions, while retaining the dwarf-cluster ambiguity when the evidence remained inconclusive.</w:t>
      </w:r>
    </w:p>
    <w:p w14:paraId="CCD8093E" w14:textId="564AC9F5">
      <w:pPr>
        <w:spacing w:before="40" w:after="0" w:line="360" w:lineRule="auto"/>
        <w:rPr>
          <w:rFonts w:ascii="Arial" w:hAnsi="Arial" w:cs="Arial"/>
          <w:sz w:val="22"/>
          <w:szCs w:val="22"/>
        </w:rPr>
      </w:pPr>
      <w:r>
        <w:rPr>
          <w:rFonts w:ascii="Arial" w:hAnsi="Arial" w:cs="Arial"/>
          <w:sz w:val="22"/>
          <w:szCs w:val="22"/>
        </w:rPr>
        <w:t>Euclid changes the reach of this experiment. Its sharp VIS images help separate stars from barely resolved galaxies, while its optical and near-infrared photometry reaches far fainter than Gaia over a wide area. Euclid DR1 will therefore drive the discovery search; shallower external imaging will neither set its depth nor be required across the footprint. Gaia will enter only for bright possible members. This choice makes variable depth, bright-star masks, catalogue artefacts, and residual galaxy contamination essential controls. A transparent search whose assumptions can be tested field by field is more useful here than a highly tuned algorithm.</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The student will build a simple pipeline, validate it on known and artificial systems, and then search the Euclid DR1 footprint:</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Prepare the Euclid DR1 sample.</w:t>
      </w:r>
      <w:r>
        <w:rPr>
          <w:rFonts w:ascii="Arial" w:hAnsi="Arial" w:cs="Arial"/>
          <w:sz w:val="22"/>
          <w:szCs w:val="22"/>
        </w:rPr>
        <w:t xml:space="preserve"> Use release masks and depth information to define a well-behaved footprint and a conservative point-source sample. Measure how completeness and unresolved-galaxy contamination vary across the footprint. Begin with simple catalogue cuts and refine them only when validation tests reveal a clear need.</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Search for resolved stellar systems.</w:t>
      </w:r>
      <w:r>
        <w:rPr>
          <w:rFonts w:ascii="Arial" w:hAnsi="Arial" w:cs="Arial"/>
          <w:sz w:val="22"/>
          <w:szCs w:val="22"/>
        </w:rPr>
        <w:t xml:space="preserve"> Shift old, metal-poor isochrones over a grid of distances and select Euclid sources close to each sequence. Apply narrow and broad Gaussian smoothing to the resulting density maps; their difference suppresses the slowly varying foreground and highlights compact overdensities over a modest range of angular scales.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Calibrate the search sensitivity.</w:t>
      </w:r>
      <w:r>
        <w:rPr>
          <w:rFonts w:ascii="Arial" w:hAnsi="Arial" w:cs="Arial"/>
          <w:sz w:val="22"/>
          <w:szCs w:val="22"/>
        </w:rPr>
        <w:t xml:space="preserve"> Recover known satellites and inject mock UFDs spanning distance, luminosity, size, and ellipticity. Run the same search on the mocks to measure recovery probability and completeness. Use off-isochrone selections or position-scrambled catalogues to gauge spurious peaks. Together, these tests will set detection thresholds and make non-detections interpretable without displacing the discovery search itself.</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Vet and rank every credible peak.</w:t>
      </w:r>
      <w:r>
        <w:rPr>
          <w:rFonts w:ascii="Arial" w:hAnsi="Arial" w:cs="Arial"/>
          <w:sz w:val="22"/>
          <w:szCs w:val="22"/>
        </w:rPr>
        <w:t xml:space="preserve"> Inspect the colour-magnitude diagram, spatial concentration, and persistence under modest changes to the isochrone selection. Use Gaia proper motions and parallaxes for brighter possible members. Compare stellar and galaxy density maps: a corresponding galaxy excess may identify an unresolved-galaxy group rather than a Milky Way system. Image cutouts, masks, depth, and catalogue flags will expose further artefacts.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Characterise the strongest candidates.</w:t>
      </w:r>
      <w:r>
        <w:rPr>
          <w:rFonts w:ascii="Arial" w:hAnsi="Arial" w:cs="Arial"/>
          <w:sz w:val="22"/>
          <w:szCs w:val="22"/>
        </w:rPr>
        <w:t xml:space="preserve"> Fit spatial and colour-magnitude models to estimate membership probabilities, distance, half-light radius, ellipticity, and total luminosity. Compare these measurements with known dwarfs and clusters, and retain candidate status where the data do not determine the system's nature. Produce a prioritised list for deeper imaging or spectroscopy.</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Extension: search for streams.</w:t>
      </w:r>
      <w:r>
        <w:rPr>
          <w:rFonts w:ascii="Arial" w:hAnsi="Arial" w:cs="Arial"/>
          <w:sz w:val="22"/>
          <w:szCs w:val="22"/>
        </w:rPr>
        <w:t xml:space="preserve"> If the core UFD search is complete, use the same isochrone-selected maps to look for elongated, low-contrast features. This extension reuses the validated catalogue and masks rather than creating a parallel stream-search programme.</w:t>
      </w:r>
    </w:p>
    <w:p w14:paraId="8F26C713" w14:textId="E7D78322">
      <w:pPr>
        <w:spacing w:before="40" w:after="0" w:line="360" w:lineRule="auto"/>
        <w:rPr>
          <w:rFonts w:ascii="Arial" w:hAnsi="Arial" w:cs="Arial"/>
          <w:sz w:val="22"/>
          <w:szCs w:val="22"/>
        </w:rPr>
      </w:pPr>
      <w:r>
        <w:rPr>
          <w:rFonts w:ascii="Arial" w:hAnsi="Arial" w:cs="Arial"/>
          <w:sz w:val="22"/>
          <w:szCs w:val="22"/>
        </w:rPr>
        <w:t>The main deliverable will be a ranked catalogue of all credible UFD candidates, initial measurements for the strongest systems, and a quantified search sensitivity across the usable Euclid DR1 footprint.</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arrays, plotting, and basic probability. Familiarity with colour-magnitude diagrams or astronomical catalogues would help but is not required.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astronomical catalogues with SQL/ADQL and working with sky coordinates in Astropy.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Isochrone-based colour-magnitude filtering and probabilistic membership inference.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Spatial density estimation, image filtering, and statistically controlled candidate searches.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experiments and measurement of survey selection functions.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data analysis, scientific visualisation, and version control.</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Koposov, S. et al. (2008), 'The Luminosity Function of the Milky Way Satellites', ApJ, 686, 279. </w:t>
      </w:r>
      <w:hyperlink r:id="rId10">
        <w:r>
          <w:rPr>
            <w:rFonts w:ascii="Arial" w:hAnsi="Arial" w:cs="Arial"/>
            <w:sz w:val="22"/>
            <w:szCs w:val="22"/>
            <w:color w:val="0563C1"/>
            <w:u w:val="single"/>
          </w:rPr>
          <w:t>https://doi.org/10.1086/589911</w:t>
        </w:r>
      </w:hyperlink>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Koposov, S. E., Belokurov, V., Torrealba, G. &amp; Evans, N. W. (2015), 'Beasts of the Southern Wild: Discovery of nine ultra-faint satellites in the vicinity of the Magellanic Clouds', ApJ, 805, 130. </w:t>
      </w:r>
      <w:hyperlink r:id="rId11">
        <w:r>
          <w:rPr>
            <w:rFonts w:ascii="Arial" w:hAnsi="Arial" w:cs="Arial"/>
            <w:sz w:val="22"/>
            <w:szCs w:val="22"/>
            <w:color w:val="0563C1"/>
            <w:u w:val="single"/>
          </w:rPr>
          <w:t>https://doi.org/10.1088/0004-637X/805/2/130</w:t>
        </w:r>
      </w:hyperlink>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Torrealba, G., Koposov, S. E., Belokurov, V. &amp; Irwin, M. (2016a), 'The Feeble Giant: Discovery of a large and diffuse Milky Way dwarf galaxy in the constellation of Crater', MNRAS, 459, 2370. </w:t>
      </w:r>
      <w:hyperlink r:id="rId12">
        <w:r>
          <w:rPr>
            <w:rFonts w:ascii="Arial" w:hAnsi="Arial" w:cs="Arial"/>
            <w:sz w:val="22"/>
            <w:szCs w:val="22"/>
            <w:color w:val="0563C1"/>
            <w:u w:val="single"/>
          </w:rPr>
          <w:t>https://doi.org/10.1093/mnras/stw733</w:t>
        </w:r>
      </w:hyperlink>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Torrealba, G., Koposov, S. E., Belokurov, V. &amp; Irwin, M. (2016b), 'At the survey limits: discovery of the Aquarius 2 dwarf galaxy in the VST ATLAS and the SDSS data', MNRAS, 463, 712. </w:t>
      </w:r>
      <w:hyperlink r:id="rId13">
        <w:r>
          <w:rPr>
            <w:rFonts w:ascii="Arial" w:hAnsi="Arial" w:cs="Arial"/>
            <w:sz w:val="22"/>
            <w:szCs w:val="22"/>
            <w:color w:val="0563C1"/>
            <w:u w:val="single"/>
          </w:rPr>
          <w:t>https://doi.org/10.1093/mnras/stw2051</w:t>
        </w:r>
      </w:hyperlink>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Drlica-Wagner, A. et al. (2020), 'Milky Way Satellite Census. I. The Observational Selection Function for Milky Way Satellites in DES Y3 and Pan-STARRS DR1', ApJ, 893, 47. </w:t>
      </w:r>
      <w:hyperlink r:id="rId14">
        <w:r>
          <w:rPr>
            <w:rFonts w:ascii="Arial" w:hAnsi="Arial" w:cs="Arial"/>
            <w:sz w:val="22"/>
            <w:szCs w:val="22"/>
            <w:color w:val="0563C1"/>
            <w:u w:val="single"/>
          </w:rPr>
          <w:t>https://doi.org/10.3847/1538-4357/ab7eb9</w:t>
        </w:r>
      </w:hyperlink>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Cerny, W. et al. (2021), 'Eridanus IV: An Ultra-Faint Dwarf Galaxy Candidate Discovered in the DECam Local Volume Exploration Survey', ApJL, 920, L44. </w:t>
      </w:r>
      <w:hyperlink r:id="rId15">
        <w:r>
          <w:rPr>
            <w:rFonts w:ascii="Arial" w:hAnsi="Arial" w:cs="Arial"/>
            <w:sz w:val="22"/>
            <w:szCs w:val="22"/>
            <w:color w:val="0563C1"/>
            <w:u w:val="single"/>
          </w:rPr>
          <w:t>https://doi.org/10.3847/2041-8213/ac2d9a</w:t>
        </w:r>
      </w:hyperlink>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Cerny, W. et al. (2023), 'Six More Ultra-Faint Milky Way Companions Discovered in the DECam Local Volume Exploration Survey', ApJ, 953, 1. </w:t>
      </w:r>
      <w:hyperlink r:id="rId16">
        <w:r>
          <w:rPr>
            <w:rFonts w:ascii="Arial" w:hAnsi="Arial" w:cs="Arial"/>
            <w:sz w:val="22"/>
            <w:szCs w:val="22"/>
            <w:color w:val="0563C1"/>
            <w:u w:val="single"/>
          </w:rPr>
          <w:t>https://doi.org/10.3847/1538-4357/acdd78</w:t>
        </w:r>
      </w:hyperlink>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Shipp, N. et al. (2018), 'Stellar Streams Discovered in the Dark Energy Survey', ApJ, 862, 114. </w:t>
      </w:r>
      <w:hyperlink r:id="rId17">
        <w:r>
          <w:rPr>
            <w:rFonts w:ascii="Arial" w:hAnsi="Arial" w:cs="Arial"/>
            <w:sz w:val="22"/>
            <w:szCs w:val="22"/>
            <w:color w:val="0563C1"/>
            <w:u w:val="single"/>
          </w:rPr>
          <w:t>https://doi.org/10.3847/1538-4357/aacdab</w:t>
        </w:r>
      </w:hyperlink>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ESA, 'Euclid mission timeline and data releases'. </w:t>
      </w:r>
      <w:hyperlink r:id="rId18">
        <w:r>
          <w:rPr>
            <w:rFonts w:ascii="Arial" w:hAnsi="Arial" w:cs="Arial"/>
            <w:sz w:val="22"/>
            <w:szCs w:val="22"/>
            <w:color w:val="0563C1"/>
            <w:u w:val="single"/>
          </w:rPr>
          <w:t>https://www.cosmos.esa.int/web/euclid/timeline</w:t>
        </w:r>
      </w:hyperlink>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Aussel, H. et al. (2026), 'Euclid Quick Data Release (Q1). I. Data release overview', A&amp;A. </w:t>
      </w:r>
      <w:hyperlink r:id="rId19">
        <w:r>
          <w:rPr>
            <w:rFonts w:ascii="Arial" w:hAnsi="Arial" w:cs="Arial"/>
            <w:sz w:val="22"/>
            <w:szCs w:val="22"/>
            <w:color w:val="0563C1"/>
            <w:u w:val="single"/>
          </w:rPr>
          <w:t>https://doi.org/10.1051/0004-6361/202554610</w:t>
        </w:r>
      </w:hyperlink>
    </w:p>
    <w:p w14:paraId="A57054A8" w14:textId="D27BD71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Scaramella, R. et al. (2022), 'Euclid preparation. I. The Euclid Wide Survey', A&amp;A, 662, A112. </w:t>
      </w:r>
      <w:hyperlink r:id="rId20">
        <w:r>
          <w:rPr>
            <w:rFonts w:ascii="Arial" w:hAnsi="Arial" w:cs="Arial"/>
            <w:sz w:val="22"/>
            <w:szCs w:val="22"/>
            <w:color w:val="0563C1"/>
            <w:u w:val="single"/>
          </w:rPr>
          <w:t>https://doi.org/10.1051/0004-6361/202141938</w:t>
        </w:r>
      </w:hyperlink>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hyperlink" Target="https://doi.org/10.1086/589911" TargetMode="External"/><Relationship Id="rId11" Type="http://schemas.openxmlformats.org/officeDocument/2006/relationships/hyperlink" Target="https://doi.org/10.1088/0004-637X/805/2/130" TargetMode="External"/><Relationship Id="rId12" Type="http://schemas.openxmlformats.org/officeDocument/2006/relationships/hyperlink" Target="https://doi.org/10.1093/mnras/stw733" TargetMode="External"/><Relationship Id="rId13" Type="http://schemas.openxmlformats.org/officeDocument/2006/relationships/hyperlink" Target="https://doi.org/10.1093/mnras/stw2051" TargetMode="External"/><Relationship Id="rId14" Type="http://schemas.openxmlformats.org/officeDocument/2006/relationships/hyperlink" Target="https://doi.org/10.3847/1538-4357/ab7eb9" TargetMode="External"/><Relationship Id="rId15" Type="http://schemas.openxmlformats.org/officeDocument/2006/relationships/hyperlink" Target="https://doi.org/10.3847/2041-8213/ac2d9a" TargetMode="External"/><Relationship Id="rId16" Type="http://schemas.openxmlformats.org/officeDocument/2006/relationships/hyperlink" Target="https://doi.org/10.3847/1538-4357/acdd78" TargetMode="External"/><Relationship Id="rId17" Type="http://schemas.openxmlformats.org/officeDocument/2006/relationships/hyperlink" Target="https://doi.org/10.3847/1538-4357/aacdab" TargetMode="External"/><Relationship Id="rId18" Type="http://schemas.openxmlformats.org/officeDocument/2006/relationships/hyperlink" Target="https://www.cosmos.esa.int/web/euclid/timeline" TargetMode="External"/><Relationship Id="rId19" Type="http://schemas.openxmlformats.org/officeDocument/2006/relationships/hyperlink" Target="https://doi.org/10.1051/0004-6361/202554610" TargetMode="External"/><Relationship Id="rId20" Type="http://schemas.openxmlformats.org/officeDocument/2006/relationships/hyperlink" Target="https://doi.org/10.1051/0004-6361/2021419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