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Ghosts in the Wide Survey: Discovering Milky Way Satellites and Stellar Streams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The faintest companions of the Milky Way are invisible in integrated light. They reveal themselves as spatially coherent groups of individually resolved stars that follow the colour–magnitude diagram of an old, metal-poor population. Compact groups may be ultra-faint dwarf galaxies or star clusters; long, thin groups may be streams left by systems that the Galaxy has torn apart. Both probe low-mass galaxy formation, the Milky Way potential, and dark matter.</w:t>
      </w:r>
    </w:p>
    <w:p w14:paraId="17F7832A" w14:textId="0074C8D6">
      <w:pPr>
        <w:spacing w:before="40" w:after="0" w:line="360" w:lineRule="auto"/>
        <w:rPr>
          <w:rFonts w:ascii="Arial" w:hAnsi="Arial" w:cs="Arial"/>
          <w:sz w:val="22"/>
          <w:szCs w:val="22"/>
        </w:rPr>
      </w:pPr>
      <w:r>
        <w:rPr>
          <w:rFonts w:ascii="Arial" w:hAnsi="Arial" w:cs="Arial"/>
          <w:sz w:val="22"/>
          <w:szCs w:val="22"/>
        </w:rPr>
        <w:t>This project will adapt the classical resolved-star search developed by Koposov et al. and Torrealba et al. to Euclid DR1. At each trial distance, the student will map stars that follow an old, metal-poor colour–magnitude sequence and filter the map over several angular scales to reveal compact overdensities. The same catalogues will also be searched for elongated structure. Euclid's sharp imaging will be combined with public optical photometry, and Gaia astrometry will help validate brighter stars. Known systems and injected mock populations will calibrate completeness and false positives before the blind search. The primary goal is a new discovery; independently recovering and characterising a newly announced or marginal feature would also make a successful project.</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Ultra-faint dwarf galaxies occupy the least massive dark-matter haloes known to host stars. Their abundance, stellar populations, and spatial distribution constrain reionisation and the small-scale behaviour of dark matter. Stellar streams preserve a complementary record: they reveal past accretion, trace the Galactic potential, and record gravitational perturbations. In both cases, the signal is a small excess of stars embedded in a much larger foreground of Milky Way stars and unresolved galaxies.</w:t>
      </w:r>
    </w:p>
    <w:p w14:paraId="77C89E47" w14:textId="CC964084">
      <w:pPr>
        <w:spacing w:before="40" w:after="0" w:line="360" w:lineRule="auto"/>
        <w:rPr>
          <w:rFonts w:ascii="Arial" w:hAnsi="Arial" w:cs="Arial"/>
          <w:sz w:val="22"/>
          <w:szCs w:val="22"/>
        </w:rPr>
      </w:pPr>
      <w:r>
        <w:rPr>
          <w:rFonts w:ascii="Arial" w:hAnsi="Arial" w:cs="Arial"/>
          <w:sz w:val="22"/>
          <w:szCs w:val="22"/>
        </w:rPr>
        <w:t>Koposov et al. (2008, 2015) and Torrealba et al. (2016, 2018, 2019) established the classical workflow. At each trial distance, an old, metal-poor main-sequence/red-giant-branch isochrone mask—and, where useful, a separate blue-horizontal-branch mask—selects candidate members. Narrow and broad Gaussian kernels then compare the density of a possible source with its local foreground. Repeating the scan over distance and angular scale yields a ranked peak list. A coherent colour–magnitude sequence and spatial excess, together with checks against completeness, extinction, bright-star masks, tile boundaries, and galaxy contamination, are required before any peak becomes a stellar-system candidate.</w:t>
      </w:r>
    </w:p>
    <w:p w14:paraId="CCD8093E" w14:textId="564AC9F5">
      <w:pPr>
        <w:spacing w:before="40" w:after="0" w:line="360" w:lineRule="auto"/>
        <w:rPr>
          <w:rFonts w:ascii="Arial" w:hAnsi="Arial" w:cs="Arial"/>
          <w:sz w:val="22"/>
          <w:szCs w:val="22"/>
        </w:rPr>
      </w:pPr>
      <w:r>
        <w:rPr>
          <w:rFonts w:ascii="Arial" w:hAnsi="Arial" w:cs="Arial"/>
          <w:sz w:val="22"/>
          <w:szCs w:val="22"/>
        </w:rPr>
        <w:t>Euclid brings exceptionally sharp VIS imaging over a large area, enabling point-source selection at magnitudes where Gaia is incomplete. Its single broad optical band and shallower near-infrared bands do not, however, replace a conventional multi-band optical survey for the faintest colour–magnitude work. The project will therefore use Euclid morphology and photometry together with the best available ground-based colours in each field. The staged DR1 release also makes scope control essential: public Q1 or precursor fields will support calibration and code development, and the blind search will begin only after the usable DR1 footprint and catalogue characteristics are known.</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The work is organised as an end-to-end detection experiment. The student will first establish where a reliable search is possible, then validate the machinery before examining unknown regions. Compact satellites and streams share the first three stages; after the pilot analysis, one branch will become the main target for a publication-quality analysis and the other will remain an extension.</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Define the search footprint. </w:t>
      </w:r>
      <w:r>
        <w:rPr>
          <w:rFonts w:ascii="Arial" w:hAnsi="Arial" w:cs="Arial"/>
          <w:sz w:val="22"/>
          <w:szCs w:val="22"/>
        </w:rPr>
        <w:t>Inspect the released DR1 products, masks and depth maps, and select one contiguous, well-behaved region as the core area. Learn the catalogue schema on Q1 or other public Euclid fields, then identify the best overlapping optical survey. The student will make a reproducible sky mask that excludes tile edges, bright-star haloes, high-extinction regions and missing-band coverage.</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Build a trustworthy stellar catalogue. </w:t>
      </w:r>
      <w:r>
        <w:rPr>
          <w:rFonts w:ascii="Arial" w:hAnsi="Arial" w:cs="Arial"/>
          <w:sz w:val="22"/>
          <w:szCs w:val="22"/>
        </w:rPr>
        <w:t>Calibrate Euclid point-source diagnostics against bright Gaia stars and deep external fields. Measure how completeness and unresolved-galaxy contamination vary with position, magnitude and colour. Cross-match only where it adds information, preserving Euclid-only detections at the faint end, and define a magnitude range in which the selection function can be defended.</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Construct isochrone-filtered maps. </w:t>
      </w:r>
      <w:r>
        <w:rPr>
          <w:rFonts w:ascii="Arial" w:hAnsi="Arial" w:cs="Arial"/>
          <w:sz w:val="22"/>
          <w:szCs w:val="22"/>
        </w:rPr>
        <w:t>Apply old, metal-poor main-sequence/red-giant-branch isochrone masks and separate blue-horizontal-branch ridgeline masks over a grid of distance moduli. Bin the selected stars on the sky and convolve each map with narrow and broad Gaussian kernels over a grid of compact angular scales. Recover known systems and inject mock dwarfs before inspecting blind peaks; these tests will set detection thresholds and the compact-system selection function. The stream branch will use the same colour–magnitude-selected catalogues with elongated filters.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compact systems. </w:t>
      </w:r>
      <w:r>
        <w:rPr>
          <w:rFonts w:ascii="Arial" w:hAnsi="Arial" w:cs="Arial"/>
          <w:sz w:val="22"/>
          <w:szCs w:val="22"/>
        </w:rPr>
        <w:t>Identify overdensities over a controlled range of sizes and account for the large number of sky positions, distance slices, and kernels examined. Candidate validation will combine evidence from the colour–magnitude diagram, spatial morphology, extinction maps, image cutouts, catalogue flags, and Gaia proper motions for the brighter subset. A spatial-plus-colour–magnitude mixture model will estimate membership probabilities and basic structural parameters.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linear structure. </w:t>
      </w:r>
      <w:r>
        <w:rPr>
          <w:rFonts w:ascii="Arial" w:hAnsi="Arial" w:cs="Arial"/>
          <w:sz w:val="22"/>
          <w:szCs w:val="22"/>
        </w:rPr>
        <w:t>Apply ridge, great-circle or Hough-style methods to the same masked maps, with thresholds calibrated on scrambled catalogues and injected streams. For the most credible feature, fit a track, width, density variation and, if supported by the data, a distance gradient. Tests with alternative filters and masks will be required to rule out survey seams and diffuse foreground residuals.</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Measure sensitivity and characterise the best target. </w:t>
      </w:r>
      <w:r>
        <w:rPr>
          <w:rFonts w:ascii="Arial" w:hAnsi="Arial" w:cs="Arial"/>
          <w:sz w:val="22"/>
          <w:szCs w:val="22"/>
        </w:rPr>
        <w:t>Inject populations spanning luminosity, size, distance, ellipticity, width, and sky background, and run the complete pipeline without manual intervention. The final result will include a recovery function and a ranked, documented candidate list. The strongest candidate will receive a detailed analysis; if no new candidate survives, the analysis will focus on a recently published object or a pre-selected validation target.</w:t>
      </w:r>
    </w:p>
    <w:p w14:paraId="8F26C713" w14:textId="E7D78322">
      <w:pPr>
        <w:spacing w:before="40" w:after="0" w:line="360" w:lineRule="auto"/>
        <w:rPr>
          <w:rFonts w:ascii="Arial" w:hAnsi="Arial" w:cs="Arial"/>
          <w:sz w:val="22"/>
          <w:szCs w:val="22"/>
        </w:rPr>
      </w:pPr>
      <w:r>
        <w:rPr>
          <w:rFonts w:ascii="Arial" w:hAnsi="Arial" w:cs="Arial"/>
          <w:sz w:val="22"/>
          <w:szCs w:val="22"/>
        </w:rPr>
        <w:t>The core project is complete once it has produced a validated search atlas and quantified the structures that the search could detect. If another team announces the strongest discoveries first, the student will independently recover and model one object, compare Euclid with DES or DELVE in the overlap, or study extra-tidal structure around a known satellite or cluster. Stretch goals include a joint proper-motion likelihood, a spectroscopic follow-up target list, and expansion to the full usable DR1 footprint.</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arrays, plotting and basic probability. Familiarity with stellar colour–magnitude diagrams or survey catalogues would be helpful but is not required. The most important habits are careful validation and a willingness to investigate selection effects; no prior machine-learning experience is expected.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Querying large astronomical catalogues with SQL/ADQL and working with sky coordinates in Astropy.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Isochrone-based colour–magnitude filtering and probabilistic membership inference.</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Spatial density estimation, image filtering and statistically controlled candidate searches.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experiments, false-discovery control and survey selection functions.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data analysis, scientific visualisation, and version control.</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Koposov, S. et al. (2008), ‘The Luminosity Function of the Milky Way Satellites’, ApJ, 686, 279. https://doi.org/10.1086/589911</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Koposov, S. E., Belokurov, V., Torrealba, G. &amp; Evans, N. W. (2015), ‘Beasts of the Southern Wild: Discovery of nine ultra-faint satellites in the vicinity of the Magellanic Clouds’, ApJ, 805, 130. https://doi.org/10.1088/0004-637X/805/2/130</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Torrealba, G., Koposov, S. E., Belokurov, V. &amp; Irwin, M. (2016), ‘The Feeble Giant. Discovery of a large and diffuse Milky Way dwarf galaxy in the constellation of Crater’, MNRAS, 459, 2370. https://doi.org/10.1093/mnras/stw733</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Torrealba, G., Koposov, S. E., Belokurov, V. &amp; Irwin, M. (2016), ‘At the survey limits: discovery of the Aquarius 2 dwarf galaxy in the VST ATLAS and the SDSS data’, MNRAS, 463, 712. https://doi.org/10.1093/mnras/stw2051</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Torrealba, G. et al. (2018), ‘Discovery of two neighbouring satellites in the Carina constellation with MagLiteS’, MNRAS, 475, 5085. https://doi.org/10.1093/mnras/sty170</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Torrealba, G., Belokurov, V. &amp; Koposov, S. E. (2019), ‘Nine Tiny Star Clusters in Gaia DR1, PS1 and DES’, MNRAS, 484, 2181. https://doi.org/10.1093/mnras/stz071</w:t>
      </w:r>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Shipp, N. et al. (2018), ‘Stellar Streams Discovered in the Dark Energy Survey’, ApJ, 862, 114. https://doi.org/10.3847/1538-4357/aacdab</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Drlica-Wagner, A. et al. (2020), ‘Milky Way Satellite Census. I. The Observational Selection Function for Milky Way Satellites in DES Y3 and Pan-STARRS DR1’, ApJ, 893, 47. https://doi.org/10.3847/1538-4357/ab7eb9</w:t>
      </w:r>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NASA Science Center, ‘Euclid DR1’. https://euclid.caltech.edu/page/euclid-dr1</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Aussel, H. et al. (2026), ‘Euclid Quick Data Release (Q1). I. Data release overview’, A&amp;A. https://doi.org/10.1051/0004-6361/202554610</w:t>
      </w:r>
    </w:p>
    <w:p w14:paraId="A57054A8" w14:textId="D27BD71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Scaramella, R. et al. (2022), ‘Euclid preparation. I. The Euclid Wide Survey’, A&amp;A, 662, A112. https://doi.org/10.1051/0004-6361/202141938</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