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rPr>
          <w:rFonts w:ascii="Arial" w:hAnsi="Arial" w:cs="Arial"/>
        </w:rPr>
        <w:t>Project Title: At the Edge of the Clouds: Mapping the Faint Magellanic Periphery with Euclid DR1</w:t>
      </w:r>
    </w:p>
    <w:p w14:paraId="FBAA2564" w14:textId="C500C2F6">
      <w:pPr>
        <w:spacing w:before="40" w:after="0" w:line="360" w:lineRule="auto"/>
        <w:rPr>
          <w:rFonts w:ascii="Arial" w:hAnsi="Arial" w:cs="Arial"/>
          <w:sz w:val="22"/>
          <w:szCs w:val="22"/>
        </w:rPr>
      </w:pPr>
      <w:r>
        <w:rPr>
          <w:rFonts w:ascii="Arial" w:hAnsi="Arial" w:cs="Arial"/>
          <w:sz w:val="22"/>
          <w:szCs w:val="22"/>
        </w:rPr>
        <w:t>Supervisor I: Professor Vasily Belokurov (vasily@ast.cam.ac.uk)</w:t>
      </w:r>
    </w:p>
    <w:p w14:paraId="2D66C479" w14:textId="FCA94705">
      <w:pPr>
        <w:spacing w:before="40" w:after="0" w:line="360" w:lineRule="auto"/>
        <w:rPr>
          <w:rFonts w:ascii="Arial" w:hAnsi="Arial" w:cs="Arial"/>
          <w:sz w:val="22"/>
          <w:szCs w:val="22"/>
        </w:rPr>
      </w:pPr>
    </w:p>
    <w:p w14:paraId="5DDBD6DB" w14:textId="8873A4CA">
      <w:pPr>
        <w:pStyle w:val="Heading3"/>
        <w:rPr>
          <w:rFonts w:ascii="Arial" w:hAnsi="Arial" w:cs="Arial"/>
        </w:rPr>
      </w:pPr>
      <w:r>
        <w:rPr>
          <w:rFonts w:ascii="Arial" w:hAnsi="Arial" w:cs="Arial"/>
        </w:rPr>
        <w:t>Project Summary</w:t>
      </w:r>
    </w:p>
    <w:p w14:paraId="F9EA78F9" w14:textId="74853B8A">
      <w:pPr>
        <w:spacing w:before="40" w:after="0" w:line="360" w:lineRule="auto"/>
        <w:rPr>
          <w:rFonts w:ascii="Arial" w:hAnsi="Arial" w:cs="Arial"/>
          <w:sz w:val="22"/>
          <w:szCs w:val="22"/>
        </w:rPr>
      </w:pPr>
      <w:r>
        <w:rPr>
          <w:rFonts w:ascii="Arial" w:hAnsi="Arial" w:cs="Arial"/>
          <w:sz w:val="22"/>
          <w:szCs w:val="22"/>
        </w:rPr>
        <w:t>The outskirts of the Large and Small Magellanic Clouds contain arms, warped and truncated disc material, bridges, and diffuse tidal debris. These low-density structures record repeated LMC–SMC encounters and the response of both galaxies to the Milky Way. Their morphology, distances, and stellar populations can distinguish displaced disc material from an extended halo or debris stripped from a companion.</w:t>
      </w:r>
    </w:p>
    <w:p w14:paraId="17F7832A" w14:textId="0074C8D6">
      <w:pPr>
        <w:spacing w:before="40" w:after="0" w:line="360" w:lineRule="auto"/>
        <w:rPr>
          <w:rFonts w:ascii="Arial" w:hAnsi="Arial" w:cs="Arial"/>
          <w:sz w:val="22"/>
          <w:szCs w:val="22"/>
        </w:rPr>
      </w:pPr>
      <w:r>
        <w:rPr>
          <w:rFonts w:ascii="Arial" w:hAnsi="Arial" w:cs="Arial"/>
          <w:sz w:val="22"/>
          <w:szCs w:val="22"/>
        </w:rPr>
        <w:t>This project will use the Euclid DR1 coverage of the Magellanic periphery to construct completeness-corrected maps of several stellar populations, fit a smooth outer component, and measure significant residual structure. Gaia, DELVE-MC, SMASH, and VMC will provide the kinematic and photometric baselines needed to control foreground contamination and interpret population differences. The core project will focus on one well-covered outer sector or named feature; mapping the full periphery and comparing directly with interaction simulations are stretch goals.</w:t>
      </w:r>
    </w:p>
    <w:p w14:paraId="9F268838" w14:textId="F5B175E1">
      <w:pPr>
        <w:pStyle w:val="Heading3"/>
        <w:rPr>
          <w:rFonts w:ascii="Arial" w:hAnsi="Arial" w:cs="Arial"/>
        </w:rPr>
      </w:pPr>
      <w:r>
        <w:rPr>
          <w:rFonts w:ascii="Arial" w:hAnsi="Arial" w:cs="Arial"/>
        </w:rPr>
        <w:t>Background</w:t>
      </w:r>
    </w:p>
    <w:p w14:paraId="809DDB42" w14:textId="7F0C3F4A">
      <w:pPr>
        <w:spacing w:before="40" w:after="0" w:line="360" w:lineRule="auto"/>
        <w:rPr>
          <w:rFonts w:ascii="Arial" w:hAnsi="Arial" w:cs="Arial"/>
          <w:sz w:val="22"/>
          <w:szCs w:val="22"/>
        </w:rPr>
      </w:pPr>
      <w:r>
        <w:rPr>
          <w:rFonts w:ascii="Arial" w:hAnsi="Arial" w:cs="Arial"/>
          <w:sz w:val="22"/>
          <w:szCs w:val="22"/>
        </w:rPr>
        <w:t>The Magellanic Clouds are the Milky Way's most massive satellites and are probably on their first close approach to our Galaxy. They are also an interacting pair. Their recent orbit and repeated mutual encounters have produced a gaseous Stream and Bridge, but the stellar response is more complex. Deep optical surveys and Gaia have revealed a long northern arm around the LMC, asymmetries and breaks in its outer disc, and multiple structures around the SMC and between the Clouds.</w:t>
      </w:r>
    </w:p>
    <w:p w14:paraId="77C89E47" w14:textId="CC964084">
      <w:pPr>
        <w:spacing w:before="40" w:after="0" w:line="360" w:lineRule="auto"/>
        <w:rPr>
          <w:rFonts w:ascii="Arial" w:hAnsi="Arial" w:cs="Arial"/>
          <w:sz w:val="22"/>
          <w:szCs w:val="22"/>
        </w:rPr>
      </w:pPr>
      <w:r>
        <w:rPr>
          <w:rFonts w:ascii="Arial" w:hAnsi="Arial" w:cs="Arial"/>
          <w:sz w:val="22"/>
          <w:szCs w:val="22"/>
        </w:rPr>
        <w:t>Different stellar populations offer different clocks. Young stars trace recent star formation and gas, intermediate-age red-clump stars can reveal line-of-sight distance changes, and old main-sequence-turnoff or red-giant stars probe the longest-lived outer components. DELVE-MC now provides a deep, contiguous optical baseline over roughly 2,200 square degrees, while recent red-clump work maps the Clouds in three dimensions. The inference remains difficult because sparse structure can be confused with Milky Way foregrounds, extinction variations and changing survey depth.</w:t>
      </w:r>
    </w:p>
    <w:p w14:paraId="CCD8093E" w14:textId="564AC9F5">
      <w:pPr>
        <w:spacing w:before="40" w:after="0" w:line="360" w:lineRule="auto"/>
        <w:rPr>
          <w:rFonts w:ascii="Arial" w:hAnsi="Arial" w:cs="Arial"/>
          <w:sz w:val="22"/>
          <w:szCs w:val="22"/>
        </w:rPr>
      </w:pPr>
      <w:r>
        <w:rPr>
          <w:rFonts w:ascii="Arial" w:hAnsi="Arial" w:cs="Arial"/>
          <w:sz w:val="22"/>
          <w:szCs w:val="22"/>
        </w:rPr>
        <w:t>Navarrete et al. (2019) showed why morphology alone is insufficient: kinematics confirmed only two of four photometric stream candidates, although Magellanic tracers extended to about 33 degrees from the LMC. Navarrete et al. (2023) further found that much of the LMC periphery follows a perturbed, non-equilibrium outer disc, with repeated SMC passages favoured over a relaxed halo interpretation. Euclid can extend resolved-star measurements in the low-crowding outskirts; Gaia supplies bright-star kinematics, and DELVE, SMASH, and VMC provide the external baselines needed to distinguish disturbed disc material from tidal debris.</w:t>
      </w:r>
    </w:p>
    <w:p w14:paraId="B63B3064" w14:textId="49220DE9">
      <w:pPr>
        <w:pStyle w:val="Heading3"/>
        <w:rPr>
          <w:rFonts w:ascii="Arial" w:hAnsi="Arial" w:cs="Arial"/>
        </w:rPr>
      </w:pPr>
      <w:r>
        <w:rPr>
          <w:rFonts w:ascii="Arial" w:hAnsi="Arial" w:cs="Arial"/>
        </w:rPr>
        <w:t>Project details</w:t>
      </w:r>
    </w:p>
    <w:p w14:paraId="CCA637A2" w14:textId="EAC83F74">
      <w:pPr>
        <w:spacing w:before="40" w:after="0" w:line="360" w:lineRule="auto"/>
        <w:rPr>
          <w:rFonts w:ascii="Arial" w:hAnsi="Arial" w:cs="Arial"/>
          <w:sz w:val="22"/>
          <w:szCs w:val="22"/>
        </w:rPr>
      </w:pPr>
      <w:r>
        <w:rPr>
          <w:rFonts w:ascii="Arial" w:hAnsi="Arial" w:cs="Arial"/>
          <w:sz w:val="22"/>
          <w:szCs w:val="22"/>
        </w:rPr>
        <w:t>The released footprint will determine the target. The student will choose one outer sector with useful radial leverage and a suitable control field, then carry the same selection model from catalogue validation to physical interpretation.</w:t>
      </w:r>
    </w:p>
    <w:p w14:paraId="0684762B" w14:textId="A15EF6CA">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Choose the target region. </w:t>
      </w:r>
      <w:r>
        <w:rPr>
          <w:rFonts w:ascii="Arial" w:hAnsi="Arial" w:cs="Arial"/>
          <w:sz w:val="22"/>
          <w:szCs w:val="22"/>
        </w:rPr>
        <w:t>Transform the DR1 coverage and masks into LMC- and SMC-centric coordinates and measure usable radial and azimuthal coverage. Select one primary target: for example, an LMC outer-arm sector, an SMC eastern or southern feature, or an inter-Cloud field. At the same time, define a public-data version based on DELVE-MC, SMASH, VMC, and Gaia so that analysis can begin before all Euclid products arrive.</w:t>
      </w:r>
    </w:p>
    <w:p w14:paraId="DCA187E5" w14:textId="28280D3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Validate the resolved-star sample. </w:t>
      </w:r>
      <w:r>
        <w:rPr>
          <w:rFonts w:ascii="Arial" w:hAnsi="Arial" w:cs="Arial"/>
          <w:sz w:val="22"/>
          <w:szCs w:val="22"/>
        </w:rPr>
        <w:t>Calibrate point-source selection against Gaia members and deep external fields. Map completeness, photometric uncertainty, unresolved-galaxy contamination, extinction, and image masks across the target and control regions. The student will establish the faintest magnitude at which the population maps remain stable under changes in selection thresholds, masks, and extinction corrections.</w:t>
      </w:r>
    </w:p>
    <w:p w14:paraId="3A42B317" w14:textId="6621538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Separate stellar populations. </w:t>
      </w:r>
      <w:r>
        <w:rPr>
          <w:rFonts w:ascii="Arial" w:hAnsi="Arial" w:cs="Arial"/>
          <w:sz w:val="22"/>
          <w:szCs w:val="22"/>
        </w:rPr>
        <w:t>Construct probabilistic or matched-filter colour–magnitude selections for old main-sequence-turnoff and subgiant stars, red-giant and red-clump stars, and young main-sequence stars where they are present. DELVE and SMASH will test the optical selection over a much wider area, and VMC will help separate population differences from extinction in the near-infrared. Gaia proper motions will clean and validate the bright subset rather than being required for every faint Euclid source.</w:t>
      </w:r>
    </w:p>
    <w:p w14:paraId="A1BA7017" w14:textId="2EBD60C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Fit the smooth outskirts. </w:t>
      </w:r>
      <w:r>
        <w:rPr>
          <w:rFonts w:ascii="Arial" w:hAnsi="Arial" w:cs="Arial"/>
          <w:sz w:val="22"/>
          <w:szCs w:val="22"/>
        </w:rPr>
        <w:t>Produce adaptive-resolution star-count maps for each population and fit a smooth inclined or broken exponential outer disc. If the data justify it, add a spheroidal component. The likelihood will include the spatially varying selection function and an empirical Milky Way foreground, allowing radial breaks, ellipticity, centroid shifts and azimuthal asymmetry to be measured without mistaking coverage changes for astrophysics.</w:t>
      </w:r>
    </w:p>
    <w:p w14:paraId="13E20F4E" w14:textId="56BC114F">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Measure residual substructure. </w:t>
      </w:r>
      <w:r>
        <w:rPr>
          <w:rFonts w:ascii="Arial" w:hAnsi="Arial" w:cs="Arial"/>
          <w:sz w:val="22"/>
          <w:szCs w:val="22"/>
        </w:rPr>
        <w:t>Quantify the significance of overdense and underdense residuals using mocks or resampled control fields. Select one robust feature and measure its extent, width, contrast, orientation, radial location and population mixture. Alternative masks, extinction maps and foreground models will provide systematic-error bounds.</w:t>
      </w:r>
    </w:p>
    <w:p w14:paraId="7A63E16D" w14:textId="AC08A38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Interpret one feature. </w:t>
      </w:r>
      <w:r>
        <w:rPr>
          <w:rFonts w:ascii="Arial" w:hAnsi="Arial" w:cs="Arial"/>
          <w:sz w:val="22"/>
          <w:szCs w:val="22"/>
        </w:rPr>
        <w:t>Compare its geometry and population dependence with DELVE/SMASH maps, the DELVE-based red-clump three-dimensional baseline, and available Gaia, VMC, or MagES kinematics. Compare the feature with the perturbed-disc structures identified by Navarrete et al. to test whether an apparently stream-like signal belongs to the outer disc. Test whether the feature is more consistent with a warp, flare, or truncation, or with distinct tidal debris. As an extension, forward-model one or two existing interaction simulations.</w:t>
      </w:r>
    </w:p>
    <w:p w14:paraId="8F26C713" w14:textId="E7D78322">
      <w:pPr>
        <w:spacing w:before="40" w:after="0" w:line="360" w:lineRule="auto"/>
        <w:rPr>
          <w:rFonts w:ascii="Arial" w:hAnsi="Arial" w:cs="Arial"/>
          <w:sz w:val="22"/>
          <w:szCs w:val="22"/>
        </w:rPr>
      </w:pPr>
      <w:r>
        <w:rPr>
          <w:rFonts w:ascii="Arial" w:hAnsi="Arial" w:cs="Arial"/>
          <w:sz w:val="22"/>
          <w:szCs w:val="22"/>
        </w:rPr>
        <w:t>The core deliverables are a validated selection-function map, population-separated density maps, a smooth structural fit, and a quantitative case study of one feature. If the usable Euclid area is limited or a Consortium map precedes this work, the core analysis will narrow to the radial profile and population mixture of a known arm, the significance of a disc break, or a Euclid-versus-DELVE/SMASH completeness comparison. Possible extensions include red-clump distance mapping, diffuse-light comparisons, and expansion to the full usable LMC/SMC periphery.</w:t>
      </w:r>
    </w:p>
    <w:p w14:paraId="1A10F48F" w14:textId="E2409257">
      <w:pPr>
        <w:pStyle w:val="Heading3"/>
        <w:rPr>
          <w:rFonts w:ascii="Arial" w:hAnsi="Arial" w:cs="Arial"/>
        </w:rPr>
      </w:pPr>
      <w:r>
        <w:rPr>
          <w:rFonts w:ascii="Arial" w:hAnsi="Arial" w:cs="Arial"/>
        </w:rPr>
        <w:t>Prerequisite skills required</w:t>
      </w:r>
    </w:p>
    <w:p w14:paraId="D533C762" w14:textId="208EEE56">
      <w:pPr>
        <w:spacing w:before="40" w:after="0" w:line="360" w:lineRule="auto"/>
        <w:rPr>
          <w:rFonts w:ascii="Arial" w:hAnsi="Arial" w:cs="Arial"/>
          <w:sz w:val="22"/>
          <w:szCs w:val="22"/>
        </w:rPr>
      </w:pPr>
      <w:r>
        <w:rPr>
          <w:rFonts w:ascii="Arial" w:hAnsi="Arial" w:cs="Arial"/>
          <w:sz w:val="22"/>
          <w:szCs w:val="22"/>
        </w:rPr>
        <w:t>The student should be comfortable with Python, plotting, catalogue manipulation and basic statistics. Prior knowledge of colour–magnitude diagrams, coordinate transformations or Galactic dynamics would be useful but can be acquired during the project. Care in separating real low-density structure from survey systematics is more important than prior experience with sophisticated algorithms.</w:t>
      </w:r>
    </w:p>
    <w:p w14:paraId="61EE65A2" w14:textId="69269825">
      <w:pPr>
        <w:pStyle w:val="Heading3"/>
        <w:rPr>
          <w:rFonts w:ascii="Arial" w:hAnsi="Arial" w:cs="Arial"/>
        </w:rPr>
      </w:pPr>
      <w:r>
        <w:rPr>
          <w:rFonts w:ascii="Arial" w:hAnsi="Arial" w:cs="Arial"/>
        </w:rPr>
        <w:t>Other skills used in the project</w:t>
      </w:r>
    </w:p>
    <w:p w14:paraId="7304863D" w14:textId="6F3D4E24">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Working with Euclid, Gaia, DELVE, SMASH and VMC catalogue products and survey masks.</w:t>
      </w:r>
    </w:p>
    <w:p w14:paraId="CC446D71" w14:textId="6B87FE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Stellar-population selection in colour–magnitude space and extinction correction.</w:t>
      </w:r>
    </w:p>
    <w:p w14:paraId="82871D3B" w14:textId="DD8EC86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Coordinate transformations, spatial density estimation and parametric structural modelling.</w:t>
      </w:r>
    </w:p>
    <w:p w14:paraId="3DE74D55" w14:textId="3523FA2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Mixture models, resampling tests and propagation of completeness and foreground uncertainty.</w:t>
      </w:r>
    </w:p>
    <w:p w14:paraId="392D2E71" w14:textId="D446FEE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Clear visual presentation of large sky maps and reproducible scientific workflows.</w:t>
      </w:r>
    </w:p>
    <w:p w14:paraId="202B1201" w14:textId="9E13F845">
      <w:pPr>
        <w:pStyle w:val="Heading3"/>
        <w:rPr>
          <w:rFonts w:ascii="Arial" w:hAnsi="Arial" w:cs="Arial"/>
        </w:rPr>
      </w:pPr>
      <w:r>
        <w:rPr>
          <w:rFonts w:ascii="Arial" w:hAnsi="Arial" w:cs="Arial"/>
        </w:rPr>
        <w:t>Acceptable Programming Languages</w:t>
      </w:r>
    </w:p>
    <w:p w14:paraId="A8ED36D5" w14:textId="F5E0A76F">
      <w:pPr>
        <w:spacing w:before="40" w:after="0" w:line="360" w:lineRule="auto"/>
        <w:rPr>
          <w:rFonts w:ascii="Arial" w:hAnsi="Arial" w:cs="Arial"/>
          <w:sz w:val="22"/>
          <w:szCs w:val="22"/>
        </w:rPr>
      </w:pPr>
      <w:r>
        <w:rPr>
          <w:rFonts w:ascii="Arial" w:hAnsi="Arial" w:cs="Arial"/>
          <w:sz w:val="22"/>
          <w:szCs w:val="22"/>
        </w:rPr>
        <w:t>Python is preferred.</w:t>
      </w:r>
    </w:p>
    <w:p w14:paraId="87E695D9" w14:textId="699532C9">
      <w:pPr>
        <w:pStyle w:val="Heading3"/>
        <w:rPr>
          <w:rFonts w:ascii="Arial" w:hAnsi="Arial" w:cs="Arial"/>
        </w:rPr>
      </w:pPr>
      <w:r>
        <w:rPr>
          <w:rFonts w:ascii="Arial" w:hAnsi="Arial" w:cs="Arial"/>
        </w:rP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Belokurov, V. et al. (2017), ‘Clouds, Streams and Bridges: Redrawing the blueprint of the Magellanic System with Gaia DR1’, MNRAS, 466, 4711. https://doi.org/10.1093/mnras/stw3357</w:t>
      </w:r>
    </w:p>
    <w:p w14:paraId="62106EE0" w14:textId="C9895AD0">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Mackey, D. et al. (2018), ‘Substructures and Tidal Distortions in the Magellanic Stellar Periphery’, ApJL, 858, L21. https://doi.org/10.3847/2041-8213/aac175</w:t>
      </w:r>
    </w:p>
    <w:p w14:paraId="869D2584" w14:textId="162C91B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Navarrete, C. et al. (2019), ‘Stellar streams around the Magellanic Clouds in 4D’, MNRAS, 483, 4160. https://doi.org/10.1093/mnras/sty3347</w:t>
      </w:r>
    </w:p>
    <w:p w14:paraId="8C075AD7" w14:textId="0A212E5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Navarrete, C. et al. (2023), ‘The 3D kinematics of stellar substructures in the periphery of the Large Magellanic Cloud’, MNRAS, 523, 4720. https://doi.org/10.1093/mnras/stad1698</w:t>
      </w:r>
    </w:p>
    <w:p w14:paraId="5072D8B5" w14:textId="015C788B">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Cullinane, L. R. et al. (2022), ‘The Magellanic Edges Survey III: Kinematics of the disturbed LMC outskirts’, MNRAS, 512, 4798. https://doi.org/10.1093/mnras/stac733</w:t>
      </w:r>
    </w:p>
    <w:p w14:paraId="076C9324" w14:textId="83A65FC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Cullinane, L. R. et al. (2023), ‘The Magellanic Edges Survey IV: Complex tidal debris in the SMC outskirts’, MNRAS Letters, 518, L25. https://doi.org/10.1093/mnrasl/slac129</w:t>
      </w:r>
    </w:p>
    <w:p w14:paraId="DC35D2DF" w14:textId="36EBB1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Drlica-Wagner, A. et al. (2021), ‘The DECam Local Volume Exploration Survey: Overview and First Data Release’, ApJS, 256, 2. https://doi.org/10.3847/1538-4365/ac079d</w:t>
      </w:r>
    </w:p>
    <w:p w14:paraId="92A6CF74" w14:textId="3445FB1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Oden, S. J. et al. (2026), ‘Warped and Hooked: Mapping the Magellanic Clouds in Three Dimensions Using Red Clump Stars’, ApJ, 1003, 9. https://doi.org/10.3847/1538-4357/ae5c9e</w:t>
      </w:r>
    </w:p>
    <w:p w14:paraId="9614174E" w14:textId="7C9010D2">
      <w:pPr>
        <w:pStyle w:val="Heading3"/>
        <w:rPr>
          <w:rFonts w:ascii="Arial" w:hAnsi="Arial" w:cs="Arial"/>
        </w:rPr>
      </w:pPr>
      <w:r>
        <w:rPr>
          <w:rFonts w:ascii="Arial" w:hAnsi="Arial" w:cs="Arial"/>
        </w:rPr>
        <w:t>General References (List of papers referred to in the project)</w:t>
      </w:r>
    </w:p>
    <w:p w14:paraId="5511D3E9" w14:textId="84AE66E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Euclid Consortium, ‘DR1 Key Projects’. https://www.euclid-ec.org/about/contact/dr1-key-project-leads/</w:t>
      </w:r>
    </w:p>
    <w:p w14:paraId="2F65460A" w14:textId="94D14FC7">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Scaramella, R. et al. (2022), ‘Euclid preparation. I. The Euclid Wide Survey’, A&amp;A, 662, A112. https://doi.org/10.1051/0004-6361/202141938</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