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t>Project Title: Catching Black Holes in the Act: Discovering Dwarf-Galaxy AGN through Optical Variability with Gaia DR4</w:t>
      </w:r>
    </w:p>
    <w:p w14:paraId="FBAA2564" w14:textId="C500C2F6">
      <w:pPr>
        <w:spacing w:before="40" w:after="0" w:line="360" w:lineRule="auto"/>
        <w:rPr>
          <w:rFonts w:ascii="Arial" w:hAnsi="Arial" w:cs="Arial"/>
          <w:sz w:val="22"/>
          <w:szCs w:val="22"/>
        </w:rPr>
      </w:pPr>
      <w:r>
        <w:t>Supervisor I: Professor Vasily Belokurov (vasily@ast.cam.ac.uk)</w:t>
      </w:r>
    </w:p>
    <w:p w14:paraId="FBAA2564" w14:textId="C500C2F6">
      <w:pPr>
        <w:spacing w:before="40" w:after="0" w:line="360" w:lineRule="auto"/>
        <w:rPr>
          <w:rFonts w:ascii="Arial" w:hAnsi="Arial" w:cs="Arial"/>
          <w:sz w:val="22"/>
          <w:szCs w:val="22"/>
        </w:rPr>
      </w:pPr>
      <w:r>
        <w:t>Supervisor II: Júlia Laguna Miralles (jl2268@cam.ac.uk)</w:t>
      </w:r>
    </w:p>
    <w:p w14:paraId="FBAA2564" w14:textId="C500C2F6">
      <w:pPr>
        <w:spacing w:before="40" w:after="0" w:line="360" w:lineRule="auto"/>
        <w:rPr>
          <w:rFonts w:ascii="Arial" w:hAnsi="Arial" w:cs="Arial"/>
          <w:sz w:val="22"/>
          <w:szCs w:val="22"/>
        </w:rPr>
      </w:pPr>
      <w:r>
        <w:t>Supervisor III: Urvi Thakurdesai (umt20@cam.ac.uk)</w:t>
      </w:r>
    </w:p>
    <w:p w14:paraId="FBAA2564" w14:textId="C500C2F6">
      <w:pPr>
        <w:spacing w:before="40" w:after="0" w:line="360" w:lineRule="auto"/>
        <w:rPr>
          <w:rFonts w:ascii="Arial" w:hAnsi="Arial" w:cs="Arial"/>
          <w:sz w:val="22"/>
          <w:szCs w:val="22"/>
        </w:rPr>
      </w:pPr>
      <w:r>
        <w:t>UTO: Professor Vasily Belokurov (vasily@ast.cam.ac.uk)</w:t>
      </w:r>
    </w:p>
    <w:p w14:paraId="5DDBD6DB" w14:textId="8873A4CA">
      <w:pPr>
        <w:pStyle w:val="Heading3"/>
        <w:rPr>
          <w:rFonts w:ascii="Arial" w:hAnsi="Arial" w:cs="Arial"/>
        </w:rPr>
      </w:pPr>
      <w:r>
        <w:t>Project Summary</w:t>
      </w:r>
    </w:p>
    <w:p w14:paraId="FBAA2564" w14:textId="C500C2F6">
      <w:pPr>
        <w:spacing w:before="40" w:after="0" w:line="360" w:lineRule="auto"/>
        <w:rPr>
          <w:rFonts w:ascii="Arial" w:hAnsi="Arial" w:cs="Arial"/>
          <w:sz w:val="22"/>
          <w:szCs w:val="22"/>
        </w:rPr>
      </w:pPr>
      <w:r>
        <w:t>The smallest galaxies may host the smallest supermassive black holes — nuclei of 10^4 to 10^6 solar masses whose numbers, could we count them, would record how the first black-hole seeds formed and grew (Greene, Strader &amp; Ho 2020). An accreting black hole in a dwarf galaxy is hard to recognise, though. Its nucleus is faint, the host is often vigorously star-forming, and at low metallicity the emission-line diagnostics that flag active galactic nuclei (AGN) in massive galaxies break down: AGN and star-forming dwarfs overlap in the classic BPT diagram, and broad-line selection is clean but badly incomplete and prone to transient impostors (Reines et al. 2013; Baldassare et al. 2016; Polimera et al. 2022).</w:t>
      </w:r>
    </w:p>
    <w:p w14:paraId="FBAA2564" w14:textId="C500C2F6">
      <w:pPr>
        <w:spacing w:before="40" w:after="0" w:line="360" w:lineRule="auto"/>
        <w:rPr>
          <w:rFonts w:ascii="Arial" w:hAnsi="Arial" w:cs="Arial"/>
          <w:sz w:val="22"/>
          <w:szCs w:val="22"/>
        </w:rPr>
      </w:pPr>
      <w:r>
        <w:t>Optical variability offers an independent route: a real accretion disc flickers like a damped random walk, whatever its host looks like in a spectrum (Baldassare et al. 2018, 2020; Ward et al. 2022; see Figure 1). This project searches Gaia DR4 epoch photometry for that flicker in dwarf galaxies. The central difficulty — and the project's real content — is that Gaia measures each source through a narrow, one-dimensional window whose orientation rotates with the scan angle, so a resolved or off-centre dwarf nucleus can appear to vary from geometry alone. Building on an existing, tested Python framework, the student will model each light curve as a mixture of scan-angle-induced modulation and genuine damped-random-walk variability, use agreement between Gaia and ground-based (ZTF) light curves as the main candidate gate, and calibrate the search on known dwarf AGN and matched star-forming controls. The main deliverable is a vetted catalogue of variability-selected dwarf-AGN candidates from Gaia DR4, with a quantified selection function.</w:t>
      </w:r>
    </w:p>
    <w:p w14:paraId="5DDBD6DB" w14:textId="8873A4CA">
      <w:pPr>
        <w:pStyle w:val="Heading3"/>
        <w:rPr>
          <w:rFonts w:ascii="Arial" w:hAnsi="Arial" w:cs="Arial"/>
        </w:rPr>
      </w:pPr>
      <w:r>
        <w:t>Background</w:t>
      </w:r>
    </w:p>
    <w:p w14:paraId="FBAA2564" w14:textId="C500C2F6">
      <w:pPr>
        <w:spacing w:before="40" w:after="0" w:line="360" w:lineRule="auto"/>
        <w:rPr>
          <w:rFonts w:ascii="Arial" w:hAnsi="Arial" w:cs="Arial"/>
          <w:sz w:val="22"/>
          <w:szCs w:val="22"/>
        </w:rPr>
      </w:pPr>
      <w:r>
        <w:t>Every massive galaxy hosts a central supermassive black hole, but how those black holes began is unknown. Competing seed scenarios — light seeds from the first stars, heavy seeds from direct collapse — predict very different black-hole masses in the early Universe, and those differences survive to the present only in the smallest galaxies, whose shallow potentials let a seed keep its imprint rather than grow it away (Greene, Strader &amp; Ho 2020). The key measurement is the occupation fraction: what fraction of dwarf galaxies host a massive black hole, and how does it depend on stellar mass? A census of active black holes in dwarfs is the most direct handle on that number — but a census is only as good as the completeness and purity of the selection that built it.</w:t>
      </w:r>
    </w:p>
    <w:p w14:paraId="FBAA2564" w14:textId="C500C2F6">
      <w:pPr>
        <w:spacing w:before="40" w:after="0" w:line="360" w:lineRule="auto"/>
        <w:rPr>
          <w:rFonts w:ascii="Arial" w:hAnsi="Arial" w:cs="Arial"/>
          <w:sz w:val="22"/>
          <w:szCs w:val="22"/>
        </w:rPr>
      </w:pPr>
      <w:r>
        <w:t>The trouble is that every established AGN selection was designed for massive galaxies and falters in dwarfs. The narrow-line BPT diagram, which separates accretion-powered from star-formation-powered nebulae, loses its power at low metallicity: star-forming dwarfs shift across the dividing line and AGN become hopelessly intermingled with them (Greene et al. 2020; Polimera et al. 2022). Optimised line-ratio diagnostics recover more — Polimera et al. (2022) argue that tailored diagrams can raise the dwarf-AGN yield from the 1–2 per cent returned by classical BPT to around 10 per cent — but the fibre still mixes nuclear and host light, and BPT-like searches in DESI remain modest (Pucha et al. 2025). Broad-Hα selection is more direct, tracing gas near the black hole and yielding black-hole masses (Greene &amp; Ho 2007; Reines et al. 2013), yet it is biased toward luminous, unobscured, persistent type-1 nuclei — and a broad line seen once is not enough: Baldassare et al. (2016) re-observed dwarfs with apparent broad Hα and found the feature had faded or become ambiguous in almost every star-forming case, a transient stellar process masquerading as an AGN.</w:t>
      </w:r>
    </w:p>
    <w:p w14:paraId="FBAA2564" w14:textId="C500C2F6">
      <w:pPr>
        <w:spacing w:before="40" w:after="0" w:line="360" w:lineRule="auto"/>
        <w:rPr>
          <w:rFonts w:ascii="Arial" w:hAnsi="Arial" w:cs="Arial"/>
          <w:sz w:val="22"/>
          <w:szCs w:val="22"/>
        </w:rPr>
      </w:pPr>
      <w:r>
        <w:t>Variability asks a different question — does the nucleus flicker like an accretion flow? — and so is largely independent of the host's spectrum. Optical AGN variability is well described by a stochastic, red-noise (damped random walk) process (Kelly et al. 2009; MacLeod et al. 2010), and time-domain searches have already found accreting black holes in dwarfs that sit squarely in the BPT star-forming locus (Baldassare et al. 2018, 2020; Ward et al. 2022). The signal is small, though: the nucleus is a faint variable point source diluted by a bright static galaxy, so the fractional variability can fall below the photometric floor unless the static host is subtracted. And a light curve can make an instrument look astrophysical — seeing, airmass, and zeropoint drifts in ground-based data, and, for Gaia, the scanning geometry itself.</w:t>
      </w:r>
    </w:p>
    <w:p w14:paraId="FBAA2564" w14:textId="C500C2F6">
      <w:pPr>
        <w:spacing w:before="40" w:after="0" w:line="360" w:lineRule="auto"/>
        <w:rPr>
          <w:rFonts w:ascii="Arial" w:hAnsi="Arial" w:cs="Arial"/>
          <w:sz w:val="22"/>
          <w:szCs w:val="22"/>
        </w:rPr>
      </w:pPr>
      <w:r>
        <w:t>That last point is the crux for Gaia. Gaia observes each source through a narrow along-scan window whose position angle changes from transit to transit as the satellite scans. For a true point source this is harmless, but a dwarf's nucleus is rarely a clean point — it can be extended, off-centre, or blended with the host — so the flux captured by the window depends on the scan angle and produces a spurious, scan-angle-correlated variability unrelated to accretion (Holl et al. 2023). A credible search must therefore test each Gaia light curve against a strong null that already contains this geometric modulation, not against white noise. An existing, tested Python framework does exactly this: it assembles known dwarf AGN as positive controls and star-forming dwarfs as negative controls, extracts Gaia and ZTF light curves, and fits them against models that include the scan-angle and survey-condition nuisance terms, comparing a damped-random-walk (accretion) model with the null by an information criterion and requiring the two surveys to agree. Recovering the known systems while rejecting the controls sets the detection threshold and makes the selection function measurable.</w:t>
      </w:r>
    </w:p>
    <w:p w14:paraId="FBAA2564" w14:textId="C500C2F6">
      <w:pPr>
        <w:spacing w:before="40" w:after="0" w:line="360" w:lineRule="auto"/>
        <w:rPr>
          <w:rFonts w:ascii="Arial" w:hAnsi="Arial" w:cs="Arial"/>
          <w:sz w:val="22"/>
          <w:szCs w:val="22"/>
        </w:rPr>
      </w:pPr>
      <w:r>
        <w:t>The timing fits the Part III year. Gaia DR4, to be released on 2 December 2026, will publish epoch (per-transit) photometry for a vast number of sources across the whole sky for the first time — the dataset this method needs. The student can reproduce the framework's benchmarks and refine the scan-angle model on public Gaia DR3 epoch data and ZTF light curves through Michaelmas, then turn the search on DR4 through Lent and Easter. Because DR4's epoch photometry is newly released and almost unexplored for dwarf-AGN variability, a first careful search can make genuine discoveries — and this project is designed to be that search.</w:t>
      </w:r>
    </w:p>
    <w:p w14:paraId="5DDBD6DB" w14:textId="8873A4CA">
      <w:pPr>
        <w:pStyle w:val="Heading3"/>
        <w:rPr>
          <w:rFonts w:ascii="Arial" w:hAnsi="Arial" w:cs="Arial"/>
        </w:rPr>
      </w:pPr>
      <w:r>
        <w:t>Project details</w:t>
      </w:r>
    </w:p>
    <w:p w14:paraId="FBAA2564" w14:textId="C500C2F6">
      <w:pPr>
        <w:spacing w:before="40" w:after="0" w:line="360" w:lineRule="auto"/>
        <w:rPr>
          <w:rFonts w:ascii="Arial" w:hAnsi="Arial" w:cs="Arial"/>
          <w:sz w:val="22"/>
          <w:szCs w:val="22"/>
        </w:rPr>
      </w:pPr>
      <w:r>
        <w:t>The project turns a tested variability framework into a Gaia DR4 discovery search. The student first reproduces the stored benchmarks, then fixes the sample, the null model, and the detection threshold before applying the search to DR4. The core can be completed with Gaia DR3 epoch photometry and ZTF; Gaia DR4 is the discovery stage:</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Reproduce the tested framework. </w:t>
      </w:r>
      <w:r>
        <w:t>Rerun the existing pipeline on the assembled catalogue of known dwarf AGN (positive controls) and matched star-forming dwarfs (negative controls), and recover the stored detection thresholds and cross-instrument benchmarks before changing anything. These locked examples expose changes in samples, light-curve handling, model definitions, and random seeds.</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Build and calibrate the samples. </w:t>
      </w:r>
      <w:r>
        <w:t>Assemble the dwarf-galaxy parent sample and the known-AGN and star-forming control sets, retaining survey metadata, and extract Gaia epoch and ZTF light curves with forced difference photometry so that the static host is subtracted and only the variable nucleus remains. Record each selection cut and its effect.</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Model the Gaia scan-angle systematic. </w:t>
      </w:r>
      <w:r>
        <w:t>For each Gaia light curve, build the null model that captures the scan-angle-dependent modulation of a resolved or off-centre source, using the source morphology together with the per-transit scan angles. Verify on the controls that the null absorbs the geometric signal that would otherwise be read as accretion variability.</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Fit and compare an accretion model. </w:t>
      </w:r>
      <w:r>
        <w:t>Fit each light curve with a damped-random-walk (accretion) model and with the scan-angle and survey-condition null, and rank sources by the information-criterion preference for accretion over the null. Calibrate the ranking with permutation nulls and injected damped-random-walk signals to set a threshold and control false positives.</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Require Gaia–ZTF agreement, then scale to DR4. </w:t>
      </w:r>
      <w:r>
        <w:t>Keep as strongest candidates the sources that vary consistently in both Gaia and ZTF, since independent instruments do not share systematics. Once the method is fixed, ingest Gaia DR4 epoch photometry and run the search at DR4 volume and sky coverage, measuring recovery and completeness by injection–recovery across black-hole mass, host brightness, and cadence.</w:t>
      </w:r>
    </w:p>
    <w:p w14:paraId="C7FC6D62" w14:textId="C5EFA345">
      <w:pPr>
        <w:pStyle w:val="ListParagraph"/>
        <w:keepLines/>
        <w:numPr>
          <w:ilvl w:val="0"/>
          <w:numId w:val="1"/>
        </w:numPr>
        <w:spacing w:before="40" w:after="0" w:line="360" w:lineRule="auto"/>
        <w:rPr>
          <w:rFonts w:ascii="Arial" w:hAnsi="Arial" w:cs="Arial"/>
          <w:sz w:val="22"/>
          <w:szCs w:val="22"/>
        </w:rPr>
      </w:pPr>
      <w:r>
        <w:rPr>
          <w:b/>
        </w:rPr>
        <w:t xml:space="preserve">Vet and interpret the candidates. </w:t>
      </w:r>
      <w:r>
        <w:t>Inspect the light curves, images, and scan-angle fits of the strongest candidates; reject blends and reduction artefacts; and, where spectroscopy exists, compare with BPT and broad-line classifications. Retain an uncertain category where the evidence does not decide, and place the confirmed candidates on the black-hole occupation-fraction diagram.</w:t>
      </w:r>
    </w:p>
    <w:p w14:paraId="FBAA2564" w14:textId="C500C2F6">
      <w:pPr>
        <w:spacing w:before="40" w:after="0" w:line="360" w:lineRule="auto"/>
        <w:rPr>
          <w:rFonts w:ascii="Arial" w:hAnsi="Arial" w:cs="Arial"/>
          <w:sz w:val="22"/>
          <w:szCs w:val="22"/>
        </w:rPr>
      </w:pPr>
      <w:r>
        <w:t>The principal deliverables are a documented, tested variability pipeline; a reproducible dwarf-galaxy sample with Gaia and ZTF light curves; a vetted catalogue of variability-selected dwarf-AGN candidates from Gaia DR4; and a measured selection function. A null result is informative: the recovery tests quantify the black-hole masses and accretion rates to which an all-sky Gaia variability search is sensitive. Any occupation-fraction constraint will be reported only if it survives the scan-angle model, the sample definition, and the Gaia–ZTF agreement requirement.</w:t>
      </w:r>
    </w:p>
    <w:p w14:paraId="5DDBD6DB" w14:textId="8873A4CA">
      <w:pPr>
        <w:pStyle w:val="Heading3"/>
        <w:rPr>
          <w:rFonts w:ascii="Arial" w:hAnsi="Arial" w:cs="Arial"/>
        </w:rPr>
      </w:pPr>
      <w:r>
        <w:t>Prerequisite skills required</w:t>
      </w:r>
    </w:p>
    <w:p w14:paraId="FBAA2564" w14:textId="C500C2F6">
      <w:pPr>
        <w:spacing w:before="40" w:after="0" w:line="360" w:lineRule="auto"/>
        <w:rPr>
          <w:rFonts w:ascii="Arial" w:hAnsi="Arial" w:cs="Arial"/>
          <w:sz w:val="22"/>
          <w:szCs w:val="22"/>
        </w:rPr>
      </w:pPr>
      <w:r>
        <w:t>The student should be comfortable with scientific Python and basic probability and statistics. Familiarity with time-series data, astronomical catalogues, or Bayesian model comparison would help but is not required. The project suits someone who enjoys careful, systematics-aware inference on real survey data as much as finding rare objects; the astrophysics of AGN and the details of Gaia photometry can be learned during the project.</w:t>
      </w:r>
    </w:p>
    <w:p w14:paraId="5DDBD6DB" w14:textId="8873A4CA">
      <w:pPr>
        <w:pStyle w:val="Heading3"/>
        <w:rPr>
          <w:rFonts w:ascii="Arial" w:hAnsi="Arial" w:cs="Arial"/>
        </w:rPr>
      </w:pPr>
      <w:r>
        <w:t>Other skills used in the project</w:t>
      </w:r>
    </w:p>
    <w:p w14:paraId="C7FC6D62" w14:textId="C5EFA345">
      <w:pPr>
        <w:pStyle w:val="ListParagraph"/>
        <w:keepLines/>
        <w:numPr>
          <w:ilvl w:val="0"/>
          <w:numId w:val="1"/>
        </w:numPr>
        <w:spacing w:before="40" w:after="0" w:line="360" w:lineRule="auto"/>
        <w:rPr>
          <w:rFonts w:ascii="Arial" w:hAnsi="Arial" w:cs="Arial"/>
          <w:sz w:val="22"/>
          <w:szCs w:val="22"/>
        </w:rPr>
      </w:pPr>
      <w:r>
        <w:t>Querying and cross-matching Gaia, ZTF, and dwarf-galaxy catalogues.</w:t>
      </w:r>
    </w:p>
    <w:p w14:paraId="C7FC6D62" w14:textId="C5EFA345">
      <w:pPr>
        <w:pStyle w:val="ListParagraph"/>
        <w:keepLines/>
        <w:numPr>
          <w:ilvl w:val="0"/>
          <w:numId w:val="1"/>
        </w:numPr>
        <w:spacing w:before="40" w:after="0" w:line="360" w:lineRule="auto"/>
        <w:rPr>
          <w:rFonts w:ascii="Arial" w:hAnsi="Arial" w:cs="Arial"/>
          <w:sz w:val="22"/>
          <w:szCs w:val="22"/>
        </w:rPr>
      </w:pPr>
      <w:r>
        <w:t>Light-curve extraction, forced difference photometry, and time-series handling.</w:t>
      </w:r>
    </w:p>
    <w:p w14:paraId="C7FC6D62" w14:textId="C5EFA345">
      <w:pPr>
        <w:pStyle w:val="ListParagraph"/>
        <w:keepLines/>
        <w:numPr>
          <w:ilvl w:val="0"/>
          <w:numId w:val="1"/>
        </w:numPr>
        <w:spacing w:before="40" w:after="0" w:line="360" w:lineRule="auto"/>
        <w:rPr>
          <w:rFonts w:ascii="Arial" w:hAnsi="Arial" w:cs="Arial"/>
          <w:sz w:val="22"/>
          <w:szCs w:val="22"/>
        </w:rPr>
      </w:pPr>
      <w:r>
        <w:t>Stochastic-process (damped-random-walk) modelling and information-criterion model comparison.</w:t>
      </w:r>
    </w:p>
    <w:p w14:paraId="C7FC6D62" w14:textId="C5EFA345">
      <w:pPr>
        <w:pStyle w:val="ListParagraph"/>
        <w:keepLines/>
        <w:numPr>
          <w:ilvl w:val="0"/>
          <w:numId w:val="1"/>
        </w:numPr>
        <w:spacing w:before="40" w:after="0" w:line="360" w:lineRule="auto"/>
        <w:rPr>
          <w:rFonts w:ascii="Arial" w:hAnsi="Arial" w:cs="Arial"/>
          <w:sz w:val="22"/>
          <w:szCs w:val="22"/>
        </w:rPr>
      </w:pPr>
      <w:r>
        <w:t>Modelling instrumental systematics, including Gaia scan-angle effects, and injection–recovery calibration.</w:t>
      </w:r>
    </w:p>
    <w:p w14:paraId="C7FC6D62" w14:textId="C5EFA345">
      <w:pPr>
        <w:pStyle w:val="ListParagraph"/>
        <w:keepLines/>
        <w:numPr>
          <w:ilvl w:val="0"/>
          <w:numId w:val="1"/>
        </w:numPr>
        <w:spacing w:before="40" w:after="0" w:line="360" w:lineRule="auto"/>
        <w:rPr>
          <w:rFonts w:ascii="Arial" w:hAnsi="Arial" w:cs="Arial"/>
          <w:sz w:val="22"/>
          <w:szCs w:val="22"/>
        </w:rPr>
      </w:pPr>
      <w:r>
        <w:t>Reproducible data analysis, candidate vetting, and scientific visualisation.</w:t>
      </w:r>
    </w:p>
    <w:p w14:paraId="5DDBD6DB" w14:textId="8873A4CA">
      <w:pPr>
        <w:pStyle w:val="Heading3"/>
        <w:rPr>
          <w:rFonts w:ascii="Arial" w:hAnsi="Arial" w:cs="Arial"/>
        </w:rPr>
      </w:pPr>
      <w:r>
        <w:t>Acceptable Programming Languages</w:t>
      </w:r>
    </w:p>
    <w:p w14:paraId="FBAA2564" w14:textId="C500C2F6">
      <w:pPr>
        <w:spacing w:before="40" w:after="0" w:line="360" w:lineRule="auto"/>
        <w:rPr>
          <w:rFonts w:ascii="Arial" w:hAnsi="Arial" w:cs="Arial"/>
          <w:sz w:val="22"/>
          <w:szCs w:val="22"/>
        </w:rPr>
      </w:pPr>
      <w:r>
        <w:t>Python is preferred.</w:t>
      </w:r>
    </w:p>
    <w:p w14:paraId="5DDBD6DB" w14:textId="8873A4CA">
      <w:pPr>
        <w:pStyle w:val="Heading3"/>
        <w:rPr>
          <w:rFonts w:ascii="Arial" w:hAnsi="Arial" w:cs="Arial"/>
        </w:rPr>
      </w:pPr>
      <w: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t>Greene, J. E., Strader, J. &amp; Ho, L. C. (2020), ‘Intermediate-Mass Black Holes’, ARA&amp;A, 58, 257. https://doi.org/10.1146/annurev-astro-032620-021835</w:t>
      </w:r>
    </w:p>
    <w:p w14:paraId="C7FC6D62" w14:textId="C5EFA345">
      <w:pPr>
        <w:pStyle w:val="ListParagraph"/>
        <w:keepLines/>
        <w:numPr>
          <w:ilvl w:val="0"/>
          <w:numId w:val="1"/>
        </w:numPr>
        <w:spacing w:before="40" w:after="0" w:line="360" w:lineRule="auto"/>
        <w:rPr>
          <w:rFonts w:ascii="Arial" w:hAnsi="Arial" w:cs="Arial"/>
          <w:sz w:val="22"/>
          <w:szCs w:val="22"/>
        </w:rPr>
      </w:pPr>
      <w:r>
        <w:t>Reines, A. E., Greene, J. E. &amp; Geha, M. (2013), ‘Dwarf Galaxies with Optical Signatures of Active Massive Black Holes’, ApJ, 775, 116. https://doi.org/10.1088/0004-637X/775/2/116</w:t>
      </w:r>
    </w:p>
    <w:p w14:paraId="C7FC6D62" w14:textId="C5EFA345">
      <w:pPr>
        <w:pStyle w:val="ListParagraph"/>
        <w:keepLines/>
        <w:numPr>
          <w:ilvl w:val="0"/>
          <w:numId w:val="1"/>
        </w:numPr>
        <w:spacing w:before="40" w:after="0" w:line="360" w:lineRule="auto"/>
        <w:rPr>
          <w:rFonts w:ascii="Arial" w:hAnsi="Arial" w:cs="Arial"/>
          <w:sz w:val="22"/>
          <w:szCs w:val="22"/>
        </w:rPr>
      </w:pPr>
      <w:r>
        <w:t>Greene, J. E. &amp; Ho, L. C. (2007), ‘A New Sample of Low-Mass Black Holes in Active Galaxies’, ApJ, 670, 92. https://doi.org/10.1086/522082</w:t>
      </w:r>
    </w:p>
    <w:p w14:paraId="C7FC6D62" w14:textId="C5EFA345">
      <w:pPr>
        <w:pStyle w:val="ListParagraph"/>
        <w:keepLines/>
        <w:numPr>
          <w:ilvl w:val="0"/>
          <w:numId w:val="1"/>
        </w:numPr>
        <w:spacing w:before="40" w:after="0" w:line="360" w:lineRule="auto"/>
        <w:rPr>
          <w:rFonts w:ascii="Arial" w:hAnsi="Arial" w:cs="Arial"/>
          <w:sz w:val="22"/>
          <w:szCs w:val="22"/>
        </w:rPr>
      </w:pPr>
      <w:r>
        <w:t>Baldassare, V. F., Geha, M. &amp; Greene, J. (2018), ‘Identifying AGNs in Low-mass Galaxies via Long-term Optical Variability’, ApJ, 868, 152. https://doi.org/10.3847/1538-4357/aae6cf</w:t>
      </w:r>
    </w:p>
    <w:p w14:paraId="C7FC6D62" w14:textId="C5EFA345">
      <w:pPr>
        <w:pStyle w:val="ListParagraph"/>
        <w:keepLines/>
        <w:numPr>
          <w:ilvl w:val="0"/>
          <w:numId w:val="1"/>
        </w:numPr>
        <w:spacing w:before="40" w:after="0" w:line="360" w:lineRule="auto"/>
        <w:rPr>
          <w:rFonts w:ascii="Arial" w:hAnsi="Arial" w:cs="Arial"/>
          <w:sz w:val="22"/>
          <w:szCs w:val="22"/>
        </w:rPr>
      </w:pPr>
      <w:r>
        <w:t>Baldassare, V. F. et al. (2020), ‘A Search for Optical AGN Variability in 35,000 Low-mass Galaxies with the Palomar Transient Factory’, ApJ, 896, 10. https://doi.org/10.3847/1538-4357/ab8936</w:t>
      </w:r>
    </w:p>
    <w:p w14:paraId="C7FC6D62" w14:textId="C5EFA345">
      <w:pPr>
        <w:pStyle w:val="ListParagraph"/>
        <w:keepLines/>
        <w:numPr>
          <w:ilvl w:val="0"/>
          <w:numId w:val="1"/>
        </w:numPr>
        <w:spacing w:before="40" w:after="0" w:line="360" w:lineRule="auto"/>
        <w:rPr>
          <w:rFonts w:ascii="Arial" w:hAnsi="Arial" w:cs="Arial"/>
          <w:sz w:val="22"/>
          <w:szCs w:val="22"/>
        </w:rPr>
      </w:pPr>
      <w:r>
        <w:t>Baldassare, V. F. et al. (2016), ‘Multi-epoch Spectroscopy of Dwarf Galaxies with AGN Signatures: Identifying Sources with Persistent Broad Hα Emission’, ApJ, 829, 57. https://doi.org/10.3847/0004-637X/829/1/57</w:t>
      </w:r>
    </w:p>
    <w:p w14:paraId="C7FC6D62" w14:textId="C5EFA345">
      <w:pPr>
        <w:pStyle w:val="ListParagraph"/>
        <w:keepLines/>
        <w:numPr>
          <w:ilvl w:val="0"/>
          <w:numId w:val="1"/>
        </w:numPr>
        <w:spacing w:before="40" w:after="0" w:line="360" w:lineRule="auto"/>
        <w:rPr>
          <w:rFonts w:ascii="Arial" w:hAnsi="Arial" w:cs="Arial"/>
          <w:sz w:val="22"/>
          <w:szCs w:val="22"/>
        </w:rPr>
      </w:pPr>
      <w:r>
        <w:t>Polimera, M. S. et al. (2022), ‘RESOLVE and ECO: Finding Low-metallicity z~0 Dwarf AGN Candidates Using Optimized Emission-line Diagnostics’, ApJ, 931, 44. https://doi.org/10.3847/1538-4357/ac6595</w:t>
      </w:r>
    </w:p>
    <w:p w14:paraId="C7FC6D62" w14:textId="C5EFA345">
      <w:pPr>
        <w:pStyle w:val="ListParagraph"/>
        <w:keepLines/>
        <w:numPr>
          <w:ilvl w:val="0"/>
          <w:numId w:val="1"/>
        </w:numPr>
        <w:spacing w:before="40" w:after="0" w:line="360" w:lineRule="auto"/>
        <w:rPr>
          <w:rFonts w:ascii="Arial" w:hAnsi="Arial" w:cs="Arial"/>
          <w:sz w:val="22"/>
          <w:szCs w:val="22"/>
        </w:rPr>
      </w:pPr>
      <w:r>
        <w:t>Ward, C. et al. (2022), ‘Variability-selected Intermediate-mass Black Hole Candidates in Dwarf Galaxies from ZTF and WISE’, ApJ, 936, 104. https://doi.org/10.3847/1538-4357/ac8666</w:t>
      </w:r>
    </w:p>
    <w:p w14:paraId="C7FC6D62" w14:textId="C5EFA345">
      <w:pPr>
        <w:pStyle w:val="ListParagraph"/>
        <w:keepLines/>
        <w:numPr>
          <w:ilvl w:val="0"/>
          <w:numId w:val="1"/>
        </w:numPr>
        <w:spacing w:before="40" w:after="0" w:line="360" w:lineRule="auto"/>
        <w:rPr>
          <w:rFonts w:ascii="Arial" w:hAnsi="Arial" w:cs="Arial"/>
          <w:sz w:val="22"/>
          <w:szCs w:val="22"/>
        </w:rPr>
      </w:pPr>
      <w:r>
        <w:t>MacLeod, C. L. et al. (2010), ‘Modeling the Time Variability of SDSS Stripe 82 Quasars as a Damped Random Walk’, ApJ, 721, 1014. https://doi.org/10.1088/0004-637X/721/2/1014</w:t>
      </w:r>
    </w:p>
    <w:p w14:paraId="C7FC6D62" w14:textId="C5EFA345">
      <w:pPr>
        <w:pStyle w:val="ListParagraph"/>
        <w:keepLines/>
        <w:numPr>
          <w:ilvl w:val="0"/>
          <w:numId w:val="1"/>
        </w:numPr>
        <w:spacing w:before="40" w:after="0" w:line="360" w:lineRule="auto"/>
        <w:rPr>
          <w:rFonts w:ascii="Arial" w:hAnsi="Arial" w:cs="Arial"/>
          <w:sz w:val="22"/>
          <w:szCs w:val="22"/>
        </w:rPr>
      </w:pPr>
      <w:r>
        <w:t>Holl, B. et al. (2023), ‘Gaia Data Release 3: Gaia scan-angle-dependent signals and spurious periods’, A&amp;A, 674, A25. https://doi.org/10.1051/0004-6361/202245353</w:t>
      </w:r>
    </w:p>
    <w:p w14:paraId="5DDBD6DB" w14:textId="8873A4CA">
      <w:pPr>
        <w:pStyle w:val="Heading3"/>
        <w:rPr>
          <w:rFonts w:ascii="Arial" w:hAnsi="Arial" w:cs="Arial"/>
        </w:rPr>
      </w:pPr>
      <w:r>
        <w:t>General References (List of papers referred to in the project)</w:t>
      </w:r>
    </w:p>
    <w:p w14:paraId="C7FC6D62" w14:textId="C5EFA345">
      <w:pPr>
        <w:pStyle w:val="ListParagraph"/>
        <w:keepLines/>
        <w:numPr>
          <w:ilvl w:val="0"/>
          <w:numId w:val="1"/>
        </w:numPr>
        <w:spacing w:before="40" w:after="0" w:line="360" w:lineRule="auto"/>
        <w:rPr>
          <w:rFonts w:ascii="Arial" w:hAnsi="Arial" w:cs="Arial"/>
          <w:sz w:val="22"/>
          <w:szCs w:val="22"/>
        </w:rPr>
      </w:pPr>
      <w:r>
        <w:t>ESA/DPAC, ‘Gaia Data Release 4: content and expected archive products’. https://www.cosmos.esa.int/web/gaia/dr4</w:t>
      </w:r>
    </w:p>
    <w:p w14:paraId="C7FC6D62" w14:textId="C5EFA345">
      <w:pPr>
        <w:pStyle w:val="ListParagraph"/>
        <w:keepLines/>
        <w:numPr>
          <w:ilvl w:val="0"/>
          <w:numId w:val="1"/>
        </w:numPr>
        <w:spacing w:before="40" w:after="0" w:line="360" w:lineRule="auto"/>
        <w:rPr>
          <w:rFonts w:ascii="Arial" w:hAnsi="Arial" w:cs="Arial"/>
          <w:sz w:val="22"/>
          <w:szCs w:val="22"/>
        </w:rPr>
      </w:pPr>
      <w:r>
        <w:t>Pucha, R. et al. (2025), ‘Tripling the Census of Dwarf AGN Candidates Using DESI Early Data’, ApJ, 982, 10. https://doi.org/10.3847/1538-4357/adb1dd</w:t>
      </w:r>
    </w:p>
    <w:p w14:paraId="C7FC6D62" w14:textId="C5EFA345">
      <w:pPr>
        <w:pStyle w:val="ListParagraph"/>
        <w:keepLines/>
        <w:numPr>
          <w:ilvl w:val="0"/>
          <w:numId w:val="1"/>
        </w:numPr>
        <w:spacing w:before="40" w:after="0" w:line="360" w:lineRule="auto"/>
        <w:rPr>
          <w:rFonts w:ascii="Arial" w:hAnsi="Arial" w:cs="Arial"/>
          <w:sz w:val="22"/>
          <w:szCs w:val="22"/>
        </w:rPr>
      </w:pPr>
      <w:r>
        <w:t>Kelly, B. C., Bechtold, J. &amp; Siemiginowska, A. (2009), ‘Are the Variations in Quasar Optical Flux Driven by Thermal Fluctuations?’, ApJ, 698, 895. https://doi.org/10.1088/0004-637X/698/1/895</w:t>
      </w:r>
    </w:p>
    <w:p w14:paraId="C7FC6D62" w14:textId="C5EFA345">
      <w:pPr>
        <w:pStyle w:val="ListParagraph"/>
        <w:keepLines/>
        <w:numPr>
          <w:ilvl w:val="0"/>
          <w:numId w:val="1"/>
        </w:numPr>
        <w:spacing w:before="40" w:after="0" w:line="360" w:lineRule="auto"/>
        <w:rPr>
          <w:rFonts w:ascii="Arial" w:hAnsi="Arial" w:cs="Arial"/>
          <w:sz w:val="22"/>
          <w:szCs w:val="22"/>
        </w:rPr>
      </w:pPr>
      <w:r>
        <w:t>Bellm, E. C. et al. (2019), ‘The Zwicky Transient Facility: System Overview, Performance, and First Results’, PASP, 131, 018002. https://doi.org/10.1088/1538-3873/aaecbe</w:t>
      </w:r>
    </w:p>
    <w:p>
      <w:pPr>
        <w:jc w:val="center"/>
      </w:pPr>
      <w:r>
        <w:drawing>
          <wp:inline xmlns:a="http://schemas.openxmlformats.org/drawingml/2006/main" xmlns:pic="http://schemas.openxmlformats.org/drawingml/2006/picture">
            <wp:extent cx="2926080" cy="6583680"/>
            <wp:docPr id="1" name="Picture 1"/>
            <wp:cNvGraphicFramePr>
              <a:graphicFrameLocks noChangeAspect="1"/>
            </wp:cNvGraphicFramePr>
            <a:graphic>
              <a:graphicData uri="http://schemas.openxmlformats.org/drawingml/2006/picture">
                <pic:pic>
                  <pic:nvPicPr>
                    <pic:cNvPr id="0" name="06_ward2022_ztf_lightcurves.png"/>
                    <pic:cNvPicPr/>
                  </pic:nvPicPr>
                  <pic:blipFill>
                    <a:blip r:embed="rId10"/>
                    <a:stretch>
                      <a:fillRect/>
                    </a:stretch>
                  </pic:blipFill>
                  <pic:spPr>
                    <a:xfrm>
                      <a:off x="0" y="0"/>
                      <a:ext cx="2926080" cy="6583680"/>
                    </a:xfrm>
                    <a:prstGeom prst="rect"/>
                  </pic:spPr>
                </pic:pic>
              </a:graphicData>
            </a:graphic>
          </wp:inline>
        </w:drawing>
      </w:r>
    </w:p>
    <w:p>
      <w:pPr>
        <w:jc w:val="center"/>
      </w:pPr>
      <w:r>
        <w:rPr>
          <w:b/>
          <w:sz w:val="18"/>
        </w:rPr>
        <w:t xml:space="preserve">Figure 1. </w:t>
      </w:r>
      <w:r>
        <w:rPr>
          <w:sz w:val="18"/>
        </w:rPr>
        <w:t>What genuine accretion variability looks like: ZTF g- and r-band light curves of three dwarf galaxies selected as active-black-hole candidates by their optical variability. The smooth, correlated, stochastic (damped-random-walk-like) flicker — independent of the host's spectrum — is the signal this project seeks in Gaia DR4. From Ward et al. (2022).</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