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AE2C" w14:textId="33603BA3">
      <w:pPr>
        <w:pStyle w:val="Heading2"/>
        <w:rPr>
          <w:rFonts w:ascii="Arial" w:hAnsi="Arial" w:cs="Arial"/>
        </w:rPr>
      </w:pPr>
      <w:r>
        <w:rPr>
          <w:rFonts w:ascii="Arial" w:hAnsi="Arial" w:cs="Arial"/>
        </w:rPr>
        <w:t>Project Title: Archaeology in a Barred Galaxy: Inner-Halo Substructure with Gaia DR4, Jacobi Energy, and Chemistry</w:t>
      </w:r>
    </w:p>
    <w:p w14:paraId="FBAA2564" w14:textId="C500C2F6">
      <w:pPr>
        <w:spacing w:before="40" w:after="0" w:line="360" w:lineRule="auto"/>
        <w:rPr>
          <w:rFonts w:ascii="Arial" w:hAnsi="Arial" w:cs="Arial"/>
          <w:sz w:val="22"/>
          <w:szCs w:val="22"/>
        </w:rPr>
      </w:pPr>
      <w:r>
        <w:rPr>
          <w:rFonts w:ascii="Arial" w:hAnsi="Arial" w:cs="Arial"/>
          <w:sz w:val="22"/>
          <w:szCs w:val="22"/>
        </w:rPr>
        <w:t>Supervisor I: Professor Vasily Belokurov (vasily@ast.cam.ac.uk)</w:t>
      </w:r>
    </w:p>
    <w:p w14:paraId="2D66C479" w14:textId="FCA94705">
      <w:pPr>
        <w:spacing w:before="40" w:after="0" w:line="360" w:lineRule="auto"/>
        <w:rPr>
          <w:rFonts w:ascii="Arial" w:hAnsi="Arial" w:cs="Arial"/>
          <w:sz w:val="22"/>
          <w:szCs w:val="22"/>
        </w:rPr>
      </w:pPr>
      <w:r>
        <w:rPr>
          <w:rFonts w:ascii="Arial" w:hAnsi="Arial" w:cs="Arial"/>
          <w:sz w:val="22"/>
          <w:szCs w:val="22"/>
        </w:rPr>
        <w:t>Supervisor II: Professor Sergey Koposov (skoposov@ed.ac.uk)</w:t>
      </w:r>
    </w:p>
    <w:p>
      <w:pPr>
        <w:spacing w:before="40" w:after="0" w:line="360" w:lineRule="auto"/>
        <w:rPr>
          <w:rFonts w:ascii="Arial" w:hAnsi="Arial" w:cs="Arial"/>
          <w:sz w:val="22"/>
          <w:szCs w:val="22"/>
        </w:rPr>
      </w:pPr>
      <w:r>
        <w:rPr>
          <w:rFonts w:ascii="Arial" w:hAnsi="Arial" w:cs="Arial"/>
          <w:sz w:val="22"/>
          <w:szCs w:val="22"/>
        </w:rPr>
        <w:t>UTO: Professor Vasily Belokurov (vasily@ast.cam.ac.uk)</w:t>
      </w:r>
    </w:p>
    <w:p w14:paraId="5DDBD6DB" w14:textId="8873A4CA">
      <w:pPr>
        <w:pStyle w:val="Heading3"/>
        <w:rPr>
          <w:rFonts w:ascii="Arial" w:hAnsi="Arial" w:cs="Arial"/>
        </w:rPr>
      </w:pPr>
      <w:r>
        <w:rPr>
          <w:rFonts w:ascii="Arial" w:hAnsi="Arial" w:cs="Arial"/>
        </w:rPr>
        <w:t>Project Summary</w:t>
      </w:r>
    </w:p>
    <w:p w14:paraId="F9EA78F9" w14:textId="74853B8A">
      <w:pPr>
        <w:spacing w:before="40" w:after="0" w:line="360" w:lineRule="auto"/>
        <w:rPr>
          <w:rFonts w:ascii="Arial" w:hAnsi="Arial" w:cs="Arial"/>
          <w:sz w:val="22"/>
          <w:szCs w:val="22"/>
        </w:rPr>
      </w:pPr>
      <w:r>
        <w:rPr>
          <w:rFonts w:ascii="Arial" w:hAnsi="Arial" w:cs="Arial"/>
          <w:sz w:val="22"/>
          <w:szCs w:val="22"/>
        </w:rPr>
        <w:t>The stellar halo was assembled from disrupted dwarf galaxies and star clusters. Their debris is usually sought as compact groups in orbital-energy and angular-momentum space, quantities that are conserved in a static, axisymmetric Milky Way. That approximation is weakest in the inner Galaxy. The rotating Galactic bar can smear genuine ancient substructure across conventional integrals-of-motion diagrams, making it resemble the smooth halo.</w:t>
      </w:r>
    </w:p>
    <w:p w14:paraId="17F7832A" w14:textId="0074C8D6">
      <w:pPr>
        <w:spacing w:before="40" w:after="0" w:line="360" w:lineRule="auto"/>
        <w:rPr>
          <w:rFonts w:ascii="Arial" w:hAnsi="Arial" w:cs="Arial"/>
          <w:sz w:val="22"/>
          <w:szCs w:val="22"/>
        </w:rPr>
      </w:pPr>
      <w:r>
        <w:rPr>
          <w:rFonts w:ascii="Arial" w:hAnsi="Arial" w:cs="Arial"/>
          <w:sz w:val="22"/>
          <w:szCs w:val="22"/>
        </w:rPr>
        <w:t xml:space="preserve">This project starts from an existing Python/AGAMA framework and searches for hidden inner-halo substructure in a space adapted to a rotating potential: Jacobi energy,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 xml:space="preserve"> = E − </w:t>
      </w:r>
      <w:r>
        <w:rPr>
          <w:rFonts w:ascii="Arial" w:hAnsi="Arial" w:cs="Arial"/>
          <w:sz w:val="22"/>
          <w:szCs w:val="22"/>
          <w:i/>
          <w:iCs/>
        </w:rPr>
        <w:t>Ω</w:t>
      </w:r>
      <w:r>
        <w:rPr>
          <w:rFonts w:ascii="Arial" w:hAnsi="Arial" w:cs="Arial"/>
          <w:sz w:val="22"/>
          <w:szCs w:val="22"/>
          <w:i/>
          <w:iCs/>
          <w:vertAlign w:val="subscript"/>
        </w:rPr>
        <w:t>b</w:t>
      </w:r>
      <w:r>
        <w:rPr>
          <w:rFonts w:ascii="Arial" w:hAnsi="Arial" w:cs="Arial"/>
          <w:sz w:val="22"/>
          <w:szCs w:val="22"/>
        </w:rPr>
        <w:t xml:space="preserve"> </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combined with metallicity. A tested contrastive-entropy statistic will quantify which bar pattern speeds, if any, make the observed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–[Fe/H] distribution more structured than permutation nulls. Mocks, realistic error propagation, and a separate membership stage will determine whether any detected chemo-dynamical structure represents ancient debris rather than noise, selection effects, or bar resonances.</w:t>
      </w:r>
    </w:p>
    <w:p w14:paraId="9F268838" w14:textId="F5B175E1">
      <w:pPr>
        <w:pStyle w:val="Heading3"/>
        <w:rPr>
          <w:rFonts w:ascii="Arial" w:hAnsi="Arial" w:cs="Arial"/>
        </w:rPr>
      </w:pPr>
      <w:r>
        <w:rPr>
          <w:rFonts w:ascii="Arial" w:hAnsi="Arial" w:cs="Arial"/>
        </w:rPr>
        <w:t>Background</w:t>
      </w:r>
    </w:p>
    <w:p w14:paraId="809DDB42" w14:textId="7F0C3F4A">
      <w:pPr>
        <w:spacing w:before="40" w:after="0" w:line="360" w:lineRule="auto"/>
        <w:rPr>
          <w:rFonts w:ascii="Arial" w:hAnsi="Arial" w:cs="Arial"/>
          <w:sz w:val="22"/>
          <w:szCs w:val="22"/>
        </w:rPr>
      </w:pPr>
      <w:r>
        <w:rPr>
          <w:rFonts w:ascii="Arial" w:hAnsi="Arial" w:cs="Arial"/>
          <w:sz w:val="22"/>
          <w:szCs w:val="22"/>
        </w:rPr>
        <w:t>Hierarchical galaxy formation predicts that the Milky Way halo contains the overlapping remains of many accretion events. Nearby structures such as Gaia–Sausage–Enceladus are conspicuous in kinematics and chemistry, but older, lower-energy debris should have experienced more mixing and stronger interactions with the disc and bar. Recovering that material would reveal the early assembly of the inner halo and the destruction of some of the Galaxy's first satellites and star clusters.</w:t>
      </w:r>
    </w:p>
    <w:p w14:paraId="77C89E47" w14:textId="CC964084">
      <w:pPr>
        <w:spacing w:before="40" w:after="0" w:line="360" w:lineRule="auto"/>
        <w:rPr>
          <w:rFonts w:ascii="Arial" w:hAnsi="Arial" w:cs="Arial"/>
          <w:sz w:val="22"/>
          <w:szCs w:val="22"/>
        </w:rPr>
      </w:pPr>
      <w:r>
        <w:rPr>
          <w:rFonts w:ascii="Arial" w:hAnsi="Arial" w:cs="Arial"/>
          <w:sz w:val="22"/>
          <w:szCs w:val="22"/>
        </w:rPr>
        <w:t xml:space="preserve">Most searches assume that orbital energy E and angular momentum </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are approximately conserved. A rotating bar violates those assumptions: Dillamore &amp; Sanders (2025) find that it can spread low-energy, prograde, eccentric debris by factors of roughly 10–100 in E–</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In a steadily rotating potential, the Jacobi integral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 xml:space="preserve"> = E − </w:t>
      </w:r>
      <w:r>
        <w:rPr>
          <w:rFonts w:ascii="Arial" w:hAnsi="Arial" w:cs="Arial"/>
          <w:sz w:val="22"/>
          <w:szCs w:val="22"/>
          <w:i/>
          <w:iCs/>
        </w:rPr>
        <w:t>Ω</w:t>
      </w:r>
      <w:r>
        <w:rPr>
          <w:rFonts w:ascii="Arial" w:hAnsi="Arial" w:cs="Arial"/>
          <w:sz w:val="22"/>
          <w:szCs w:val="22"/>
          <w:i/>
          <w:iCs/>
          <w:vertAlign w:val="subscript"/>
        </w:rPr>
        <w:t>b</w:t>
      </w:r>
      <w:r>
        <w:rPr>
          <w:rFonts w:ascii="Arial" w:hAnsi="Arial" w:cs="Arial"/>
          <w:sz w:val="22"/>
          <w:szCs w:val="22"/>
        </w:rPr>
        <w:t xml:space="preserve"> </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is conserved. Debris may remain tighter in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–[Fe/H] even when the bar evolves, although the result depends on the adopted potential and does not guarantee a pattern-speed measurement.</w:t>
      </w:r>
    </w:p>
    <w:p w14:paraId="CCD8093E" w14:textId="564AC9F5">
      <w:pPr>
        <w:spacing w:before="40" w:after="0" w:line="360" w:lineRule="auto"/>
        <w:rPr>
          <w:rFonts w:ascii="Arial" w:hAnsi="Arial" w:cs="Arial"/>
          <w:sz w:val="22"/>
          <w:szCs w:val="22"/>
        </w:rPr>
      </w:pPr>
      <w:r>
        <w:rPr>
          <w:rFonts w:ascii="Arial" w:hAnsi="Arial" w:cs="Arial"/>
          <w:sz w:val="22"/>
          <w:szCs w:val="22"/>
        </w:rPr>
        <w:t>The existing code implements a multi-component AGAMA potential, pattern-speed scans, Kozachenko–Leonenko nearest-neighbour entropy, and permutation nulls. In a 200,000-star mock containing 10,000 stars from 200 disrupted clusters, it recovers a broad injected signal. Exploratory APOGEE DR17 cuts also yield 11,245 metal-poor eccentric giants and a 134-star nitrogen-rich stress-test sample. These are feasibility tests, not Milky Way detections: even modest phase-space errors can move the preferred pattern speed or create a false maximum. Noise, covariance, and look-elsewhere calibration are therefore central to the project.</w:t>
      </w:r>
    </w:p>
    <w:p w14:paraId="B63B3064" w14:textId="49220DE9">
      <w:pPr>
        <w:pStyle w:val="Heading3"/>
        <w:rPr>
          <w:rFonts w:ascii="Arial" w:hAnsi="Arial" w:cs="Arial"/>
        </w:rPr>
      </w:pPr>
      <w:r>
        <w:rPr>
          <w:rFonts w:ascii="Arial" w:hAnsi="Arial" w:cs="Arial"/>
        </w:rPr>
        <w:t>Project details</w:t>
      </w:r>
    </w:p>
    <w:p w14:paraId="CCA637A2" w14:textId="EAC83F74">
      <w:pPr>
        <w:spacing w:before="40" w:after="0" w:line="360" w:lineRule="auto"/>
        <w:rPr>
          <w:rFonts w:ascii="Arial" w:hAnsi="Arial" w:cs="Arial"/>
          <w:sz w:val="22"/>
          <w:szCs w:val="22"/>
        </w:rPr>
      </w:pPr>
      <w:r>
        <w:rPr>
          <w:rFonts w:ascii="Arial" w:hAnsi="Arial" w:cs="Arial"/>
          <w:sz w:val="22"/>
          <w:szCs w:val="22"/>
        </w:rPr>
        <w:t>The project will turn the exploratory notebooks into a reproducible experiment. It will first reproduce the stored benchmarks, then predefine the sample, null tests, and pattern-speed grid before evaluating new maxima. The core can be completed with Gaia DR3 and APOGEE DR17; other spectroscopic surveys and Gaia DR4 are extensions.</w:t>
      </w:r>
    </w:p>
    <w:p w14:paraId="0684762B" w14:textId="A15EF6CA">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Reproduce the starting benchmarks. </w:t>
      </w:r>
      <w:r>
        <w:rPr>
          <w:rFonts w:ascii="Arial" w:hAnsi="Arial" w:cs="Arial"/>
          <w:sz w:val="22"/>
          <w:szCs w:val="22"/>
        </w:rPr>
        <w:t>Run the existing disrupted-cluster mock and recover its broad contrast peak before changing the analysis. Repeat the 134-star nitrogen-rich calculation as a deliberately small-sample stress test, not as an astrophysical measurement. These locked examples will expose changes in units, coordinate conventions, random seeds, entropy implementation and pattern-speed grids.</w:t>
      </w:r>
    </w:p>
    <w:p w14:paraId="DCA187E5" w14:textId="28280D3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Rebuild the Gaia–APOGEE sample. </w:t>
      </w:r>
      <w:r>
        <w:rPr>
          <w:rFonts w:ascii="Arial" w:hAnsi="Arial" w:cs="Arial"/>
          <w:sz w:val="22"/>
          <w:szCs w:val="22"/>
        </w:rPr>
        <w:t>Reproduce the documented reduction from APOGEE DR17 to 11,245 giants using quality, gravity, distance-precision, metallicity and high-eccentricity cuts, while excluding known globular-cluster members. Retain Gaia astrometric covariances and survey metadata, and make thick-disc and well-known halo control samples. Each cut and its effect will be recorded rather than treating the cross-match as uniform.</w:t>
      </w:r>
    </w:p>
    <w:p w14:paraId="3A42B317" w14:textId="6621538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Compute the rotating-frame coordinates. </w:t>
      </w:r>
      <w:r>
        <w:rPr>
          <w:rFonts w:ascii="Arial" w:hAnsi="Arial" w:cs="Arial"/>
          <w:sz w:val="22"/>
          <w:szCs w:val="22"/>
        </w:rPr>
        <w:t xml:space="preserve">In a baseline disc–bulge–halo potential, calculate E and </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then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 xml:space="preserve"> = E − </w:t>
      </w:r>
      <w:r>
        <w:rPr>
          <w:rFonts w:ascii="Arial" w:hAnsi="Arial" w:cs="Arial"/>
          <w:sz w:val="22"/>
          <w:szCs w:val="22"/>
          <w:i/>
          <w:iCs/>
        </w:rPr>
        <w:t>Ω</w:t>
      </w:r>
      <w:r>
        <w:rPr>
          <w:rFonts w:ascii="Arial" w:hAnsi="Arial" w:cs="Arial"/>
          <w:sz w:val="22"/>
          <w:szCs w:val="22"/>
          <w:i/>
          <w:iCs/>
          <w:vertAlign w:val="subscript"/>
        </w:rPr>
        <w:t>b</w:t>
      </w:r>
      <w:r>
        <w:rPr>
          <w:rFonts w:ascii="Arial" w:hAnsi="Arial" w:cs="Arial"/>
          <w:sz w:val="22"/>
          <w:szCs w:val="22"/>
        </w:rPr>
        <w:t xml:space="preserve"> </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over a pre-declared grid of bar pattern speeds and a small set of plausible potential variants. Compare conventional E–</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views with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–[Fe/H]. All subsequent tests will compare the pre-declared pattern-speed grid and potential variants rather than selecting the most attractive diagram by eye.</w:t>
      </w:r>
    </w:p>
    <w:p w14:paraId="A1BA7017" w14:textId="2EBD60C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Measure contrast against permutation nulls. </w:t>
      </w:r>
      <w:r>
        <w:rPr>
          <w:rFonts w:ascii="Arial" w:hAnsi="Arial" w:cs="Arial"/>
          <w:sz w:val="22"/>
          <w:szCs w:val="22"/>
        </w:rPr>
        <w:t xml:space="preserve">Estimate the nearest-neighbour entropy </w:t>
      </w:r>
      <w:r>
        <w:rPr>
          <w:rFonts w:ascii="Arial" w:hAnsi="Arial" w:cs="Arial"/>
          <w:sz w:val="22"/>
          <w:szCs w:val="22"/>
          <w:i/>
          <w:iCs/>
        </w:rPr>
        <w:t>H</w:t>
      </w:r>
      <w:r>
        <w:rPr>
          <w:rFonts w:ascii="Arial" w:hAnsi="Arial" w:cs="Arial"/>
          <w:sz w:val="22"/>
          <w:szCs w:val="22"/>
          <w:i/>
          <w:iCs/>
          <w:vertAlign w:val="subscript"/>
        </w:rPr>
        <w:t>real</w:t>
      </w:r>
      <w:r>
        <w:rPr>
          <w:rFonts w:ascii="Arial" w:hAnsi="Arial" w:cs="Arial"/>
          <w:sz w:val="22"/>
          <w:szCs w:val="22"/>
        </w:rPr>
        <w:t xml:space="preserve"> of the standardised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 xml:space="preserve">–[Fe/H] distribution and compare it with </w:t>
      </w:r>
      <w:r>
        <w:rPr>
          <w:rFonts w:ascii="Arial" w:hAnsi="Arial" w:cs="Arial"/>
          <w:sz w:val="22"/>
          <w:szCs w:val="22"/>
          <w:i/>
          <w:iCs/>
        </w:rPr>
        <w:t>H</w:t>
      </w:r>
      <w:r>
        <w:rPr>
          <w:rFonts w:ascii="Arial" w:hAnsi="Arial" w:cs="Arial"/>
          <w:sz w:val="22"/>
          <w:szCs w:val="22"/>
          <w:i/>
          <w:iCs/>
          <w:vertAlign w:val="subscript"/>
        </w:rPr>
        <w:t>null</w:t>
      </w:r>
      <w:r>
        <w:rPr>
          <w:rFonts w:ascii="Arial" w:hAnsi="Arial" w:cs="Arial"/>
          <w:sz w:val="22"/>
          <w:szCs w:val="22"/>
        </w:rPr>
        <w:t xml:space="preserve"> after permuting </w:t>
      </w:r>
      <w:r>
        <w:rPr>
          <w:rFonts w:ascii="Arial" w:hAnsi="Arial" w:cs="Arial"/>
          <w:sz w:val="22"/>
          <w:szCs w:val="22"/>
          <w:i/>
          <w:iCs/>
        </w:rPr>
        <w:t>H</w:t>
      </w:r>
      <w:r>
        <w:rPr>
          <w:rFonts w:ascii="Arial" w:hAnsi="Arial" w:cs="Arial"/>
          <w:sz w:val="22"/>
          <w:szCs w:val="22"/>
          <w:i/>
          <w:iCs/>
          <w:vertAlign w:val="subscript"/>
        </w:rPr>
        <w:t>J</w:t>
      </w:r>
      <w:r>
        <w:rPr>
          <w:rFonts w:ascii="Arial" w:hAnsi="Arial" w:cs="Arial"/>
          <w:sz w:val="22"/>
          <w:szCs w:val="22"/>
        </w:rPr>
        <w:t xml:space="preserve"> relative to metallicity. The statistic ΔH = </w:t>
      </w:r>
      <w:r>
        <w:rPr>
          <w:rFonts w:ascii="Arial" w:hAnsi="Arial" w:cs="Arial"/>
          <w:sz w:val="22"/>
          <w:szCs w:val="22"/>
          <w:i/>
          <w:iCs/>
        </w:rPr>
        <w:t>H</w:t>
      </w:r>
      <w:r>
        <w:rPr>
          <w:rFonts w:ascii="Arial" w:hAnsi="Arial" w:cs="Arial"/>
          <w:sz w:val="22"/>
          <w:szCs w:val="22"/>
          <w:i/>
          <w:iCs/>
          <w:vertAlign w:val="subscript"/>
        </w:rPr>
        <w:t>null</w:t>
      </w:r>
      <w:r>
        <w:rPr>
          <w:rFonts w:ascii="Arial" w:hAnsi="Arial" w:cs="Arial"/>
          <w:sz w:val="22"/>
          <w:szCs w:val="22"/>
        </w:rPr>
        <w:t xml:space="preserve"> − </w:t>
      </w:r>
      <w:r>
        <w:rPr>
          <w:rFonts w:ascii="Arial" w:hAnsi="Arial" w:cs="Arial"/>
          <w:sz w:val="22"/>
          <w:szCs w:val="22"/>
          <w:i/>
          <w:iCs/>
        </w:rPr>
        <w:t>H</w:t>
      </w:r>
      <w:r>
        <w:rPr>
          <w:rFonts w:ascii="Arial" w:hAnsi="Arial" w:cs="Arial"/>
          <w:sz w:val="22"/>
          <w:szCs w:val="22"/>
          <w:i/>
          <w:iCs/>
          <w:vertAlign w:val="subscript"/>
        </w:rPr>
        <w:t>real</w:t>
      </w:r>
      <w:r>
        <w:rPr>
          <w:rFonts w:ascii="Arial" w:hAnsi="Arial" w:cs="Arial"/>
          <w:sz w:val="22"/>
          <w:szCs w:val="22"/>
        </w:rPr>
        <w:t xml:space="preserve"> is positive when the real data contain extra chemo-dynamical structure. Calibrate its distribution across neighbour choices, energy bins, and </w:t>
      </w:r>
      <w:r>
        <w:rPr>
          <w:rFonts w:ascii="Arial" w:hAnsi="Arial" w:cs="Arial"/>
          <w:sz w:val="22"/>
          <w:szCs w:val="22"/>
          <w:i/>
          <w:iCs/>
        </w:rPr>
        <w:t>Ω</w:t>
      </w:r>
      <w:r>
        <w:rPr>
          <w:rFonts w:ascii="Arial" w:hAnsi="Arial" w:cs="Arial"/>
          <w:sz w:val="22"/>
          <w:szCs w:val="22"/>
          <w:i/>
          <w:iCs/>
          <w:vertAlign w:val="subscript"/>
        </w:rPr>
        <w:t>b</w:t>
      </w:r>
      <w:r>
        <w:rPr>
          <w:rFonts w:ascii="Arial" w:hAnsi="Arial" w:cs="Arial"/>
          <w:sz w:val="22"/>
          <w:szCs w:val="22"/>
        </w:rPr>
        <w:t xml:space="preserve"> with repeated permutations and smooth mocks, including the full trials factor.</w:t>
      </w:r>
    </w:p>
    <w:p w14:paraId="13E20F4E" w14:textId="56BC114F">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Propagate errors and test recovery. </w:t>
      </w:r>
      <w:r>
        <w:rPr>
          <w:rFonts w:ascii="Arial" w:hAnsi="Arial" w:cs="Arial"/>
          <w:sz w:val="22"/>
          <w:szCs w:val="22"/>
        </w:rPr>
        <w:t>Propagate the correlated Gaia measurements, distances, radial velocities, and metallicities through the complete calculation by Monte Carlo sampling. Existing tests show that approximately 5 per cent errors can shift a peak and 10 per cent errors can produce a spurious high-</w:t>
      </w:r>
      <w:r>
        <w:rPr>
          <w:rFonts w:ascii="Arial" w:hAnsi="Arial" w:cs="Arial"/>
          <w:sz w:val="22"/>
          <w:szCs w:val="22"/>
          <w:i/>
          <w:iCs/>
        </w:rPr>
        <w:t>Ω</w:t>
      </w:r>
      <w:r>
        <w:rPr>
          <w:rFonts w:ascii="Arial" w:hAnsi="Arial" w:cs="Arial"/>
          <w:sz w:val="22"/>
          <w:szCs w:val="22"/>
          <w:i/>
          <w:iCs/>
          <w:vertAlign w:val="subscript"/>
        </w:rPr>
        <w:t>b</w:t>
      </w:r>
      <w:r>
        <w:rPr>
          <w:rFonts w:ascii="Arial" w:hAnsi="Arial" w:cs="Arial"/>
          <w:sz w:val="22"/>
          <w:szCs w:val="22"/>
        </w:rPr>
        <w:t xml:space="preserve"> maximum. Realistic injections will therefore measure bias, recovery, and false positives as functions of debris fraction, age, and error.</w:t>
      </w:r>
    </w:p>
    <w:p w14:paraId="7A63E16D" w14:textId="AC08A38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Localise and interpret candidate clumps. </w:t>
      </w:r>
      <w:r>
        <w:rPr>
          <w:rFonts w:ascii="Arial" w:hAnsi="Arial" w:cs="Arial"/>
          <w:sz w:val="22"/>
          <w:szCs w:val="22"/>
        </w:rPr>
        <w:t xml:space="preserve">The global entropy statistic detects structure but does not assign membership. After the global test, use a local-density or mixture model to identify which stars generate a robust excess, then examine their sky distribution, velocities, orbits, and multi-element chemistry. Compare accreted-debris and disrupted-cluster interpretations against bar resonances, disc contamination, and selection boundaries. Inferring </w:t>
      </w:r>
      <w:r>
        <w:rPr>
          <w:rFonts w:ascii="Arial" w:hAnsi="Arial" w:cs="Arial"/>
          <w:sz w:val="22"/>
          <w:szCs w:val="22"/>
          <w:i/>
          <w:iCs/>
        </w:rPr>
        <w:t>Ω</w:t>
      </w:r>
      <w:r>
        <w:rPr>
          <w:rFonts w:ascii="Arial" w:hAnsi="Arial" w:cs="Arial"/>
          <w:sz w:val="22"/>
          <w:szCs w:val="22"/>
          <w:i/>
          <w:iCs/>
          <w:vertAlign w:val="subscript"/>
        </w:rPr>
        <w:t>b</w:t>
      </w:r>
      <w:r>
        <w:rPr>
          <w:rFonts w:ascii="Arial" w:hAnsi="Arial" w:cs="Arial"/>
          <w:sz w:val="22"/>
          <w:szCs w:val="22"/>
        </w:rPr>
        <w:t xml:space="preserve"> is a stretch goal only after these alternatives survive.</w:t>
      </w:r>
    </w:p>
    <w:p w14:paraId="8F26C713" w14:textId="E7D78322">
      <w:pPr>
        <w:spacing w:before="40" w:after="0" w:line="360" w:lineRule="auto"/>
        <w:rPr>
          <w:rFonts w:ascii="Arial" w:hAnsi="Arial" w:cs="Arial"/>
          <w:sz w:val="22"/>
          <w:szCs w:val="22"/>
        </w:rPr>
      </w:pPr>
      <w:r>
        <w:rPr>
          <w:rFonts w:ascii="Arial" w:hAnsi="Arial" w:cs="Arial"/>
          <w:sz w:val="22"/>
          <w:szCs w:val="22"/>
        </w:rPr>
        <w:t>The principal deliverables are a documented and tested analysis pipeline, a reproducible 11,245-star chemo-dynamical sample, calibrated contrast curves, and a locally vetted candidate list or upper limits. A null result remains informative: the recovery tests will quantify when Jacobi energy preserves information that E–</w:t>
      </w:r>
      <w:r>
        <w:rPr>
          <w:rFonts w:ascii="Arial" w:hAnsi="Arial" w:cs="Arial"/>
          <w:sz w:val="22"/>
          <w:szCs w:val="22"/>
          <w:i/>
          <w:iCs/>
        </w:rPr>
        <w:t>L</w:t>
      </w:r>
      <w:r>
        <w:rPr>
          <w:rFonts w:ascii="Arial" w:hAnsi="Arial" w:cs="Arial"/>
          <w:sz w:val="22"/>
          <w:szCs w:val="22"/>
          <w:i/>
          <w:iCs/>
          <w:vertAlign w:val="subscript"/>
        </w:rPr>
        <w:t>z</w:t>
      </w:r>
      <w:r>
        <w:rPr>
          <w:rFonts w:ascii="Arial" w:hAnsi="Arial" w:cs="Arial"/>
          <w:sz w:val="22"/>
          <w:szCs w:val="22"/>
        </w:rPr>
        <w:t xml:space="preserve"> loses. Any constraint on the bar pattern speed will be reported only if it is stable to noise, potential choice, and sample definition.</w:t>
      </w:r>
    </w:p>
    <w:p w14:paraId="1A10F48F" w14:textId="E2409257">
      <w:pPr>
        <w:pStyle w:val="Heading3"/>
        <w:rPr>
          <w:rFonts w:ascii="Arial" w:hAnsi="Arial" w:cs="Arial"/>
        </w:rPr>
      </w:pPr>
      <w:r>
        <w:rPr>
          <w:rFonts w:ascii="Arial" w:hAnsi="Arial" w:cs="Arial"/>
        </w:rPr>
        <w:t>Prerequisite skills required</w:t>
      </w:r>
    </w:p>
    <w:p w14:paraId="D533C762" w14:textId="208EEE56">
      <w:pPr>
        <w:spacing w:before="40" w:after="0" w:line="360" w:lineRule="auto"/>
        <w:rPr>
          <w:rFonts w:ascii="Arial" w:hAnsi="Arial" w:cs="Arial"/>
          <w:sz w:val="22"/>
          <w:szCs w:val="22"/>
        </w:rPr>
      </w:pPr>
      <w:r>
        <w:rPr>
          <w:rFonts w:ascii="Arial" w:hAnsi="Arial" w:cs="Arial"/>
          <w:sz w:val="22"/>
          <w:szCs w:val="22"/>
        </w:rPr>
        <w:t>The student should know basic classical mechanics and be comfortable with scientific Python and introductory probability. Previous study of Galactic dynamics, orbit integration or spectroscopic catalogues would be useful but is not required. The project involves both physical reasoning and careful statistical validation rather than a purely algorithmic clustering exercise.</w:t>
      </w:r>
    </w:p>
    <w:p w14:paraId="61EE65A2" w14:textId="69269825">
      <w:pPr>
        <w:pStyle w:val="Heading3"/>
        <w:rPr>
          <w:rFonts w:ascii="Arial" w:hAnsi="Arial" w:cs="Arial"/>
        </w:rPr>
      </w:pPr>
      <w:r>
        <w:rPr>
          <w:rFonts w:ascii="Arial" w:hAnsi="Arial" w:cs="Arial"/>
        </w:rPr>
        <w:t>Other skills used in the project</w:t>
      </w:r>
    </w:p>
    <w:p w14:paraId="7304863D" w14:textId="6F3D4E24">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Gaia and spectroscopic catalogue queries, cross-matching and quality-controlled sample construction.</w:t>
      </w:r>
    </w:p>
    <w:p w14:paraId="CC446D71" w14:textId="6B87FE8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Orbit integration and dynamical calculations in rotating Galactic potentials, including AGAMA.</w:t>
      </w:r>
    </w:p>
    <w:p w14:paraId="82871D3B" w14:textId="DD8EC86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Uncertainty propagation in correlated phase-space measurements.</w:t>
      </w:r>
    </w:p>
    <w:p w14:paraId="3DE74D55" w14:textId="3523FA2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Density estimation, mixture modelling and statistically calibrated substructure searches.</w:t>
      </w:r>
    </w:p>
    <w:p w14:paraId="392D2E71" w14:textId="D446FEE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Chemo-dynamical interpretation, selection-function tests, and reproducible visualisation.</w:t>
      </w:r>
    </w:p>
    <w:p w14:paraId="202B1201" w14:textId="9E13F845">
      <w:pPr>
        <w:pStyle w:val="Heading3"/>
        <w:rPr>
          <w:rFonts w:ascii="Arial" w:hAnsi="Arial" w:cs="Arial"/>
        </w:rPr>
      </w:pPr>
      <w:r>
        <w:rPr>
          <w:rFonts w:ascii="Arial" w:hAnsi="Arial" w:cs="Arial"/>
        </w:rPr>
        <w:t>Acceptable Programming Languages</w:t>
      </w:r>
    </w:p>
    <w:p w14:paraId="A8ED36D5" w14:textId="F5E0A76F">
      <w:pPr>
        <w:spacing w:before="40" w:after="0" w:line="360" w:lineRule="auto"/>
        <w:rPr>
          <w:rFonts w:ascii="Arial" w:hAnsi="Arial" w:cs="Arial"/>
          <w:sz w:val="22"/>
          <w:szCs w:val="22"/>
        </w:rPr>
      </w:pPr>
      <w:r>
        <w:rPr>
          <w:rFonts w:ascii="Arial" w:hAnsi="Arial" w:cs="Arial"/>
          <w:sz w:val="22"/>
          <w:szCs w:val="22"/>
        </w:rPr>
        <w:t>Python is preferred. C or C++ may be used for performance-critical extensions.</w:t>
      </w:r>
    </w:p>
    <w:p w14:paraId="87E695D9" w14:textId="699532C9">
      <w:pPr>
        <w:pStyle w:val="Heading3"/>
        <w:rPr>
          <w:rFonts w:ascii="Arial" w:hAnsi="Arial" w:cs="Arial"/>
        </w:rPr>
      </w:pPr>
      <w:r>
        <w:rPr>
          <w:rFonts w:ascii="Arial" w:hAnsi="Arial" w:cs="Arial"/>
        </w:rPr>
        <w:t>Useful references (List of important papers/review articles relevant to the project)</w:t>
      </w:r>
    </w:p>
    <w:p w14:paraId="C7FC6D62" w14:textId="C5EFA34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Dillamore, A. M. &amp; Sanders, J. L. (2025), ‘Bar-driven dispersal of Galactic substructure’, MNRAS, 542, 1331. https://doi.org/10.1093/mnras/staf1264</w:t>
      </w:r>
    </w:p>
    <w:p w14:paraId="62106EE0" w14:textId="C9895AD0">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Woudenberg, H. C. &amp; Helmi, A. (2025), ‘The chaotic motion of nearby halo stars due to the Galactic bar’, A&amp;A, 700, A240. https://doi.org/10.1051/0004-6361/202555672</w:t>
      </w:r>
    </w:p>
    <w:p w14:paraId="869D2584" w14:textId="162C91B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Dillamore, A. M. et al. (2023), ‘Stellar halo substructure generated by bar resonances’, MNRAS, 524, 3596. https://doi.org/10.1093/mnras/stad2136</w:t>
      </w:r>
    </w:p>
    <w:p w14:paraId="8C075AD7" w14:textId="0A212E5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Belokurov, V. &amp; Kravtsov, A. (2023), ‘Nitrogen enrichment and clustered star formation at the dawn of the Galaxy’, MNRAS, 525, 4456. https://doi.org/10.1093/mnras/stad2241</w:t>
      </w:r>
    </w:p>
    <w:p w14:paraId="5072D8B5" w14:textId="015C788B">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Helmi, A. (2020), ‘Streams, Substructures, and the Early History of the Milky Way’, Annual Review of Astronomy and Astrophysics, 58, 205. https://doi.org/10.1146/annurev-astro-032620-021917</w:t>
      </w:r>
    </w:p>
    <w:p w14:paraId="076C9324" w14:textId="83A65FC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Dillamore, A. M. et al. (2025), ‘Dynamical streams in the local stellar halo’, MNRAS, 541, 214. https://doi.org/10.1093/mnras/staf965</w:t>
      </w:r>
    </w:p>
    <w:p w14:paraId="91736782" w14:textId="A5167F84">
      <w:pPr>
        <w:pStyle w:val="Heading3"/>
        <w:rPr>
          <w:rFonts w:ascii="Arial" w:hAnsi="Arial" w:cs="Arial"/>
        </w:rPr>
      </w:pPr>
      <w:r>
        <w:rPr>
          <w:rFonts w:ascii="Arial" w:hAnsi="Arial" w:cs="Arial"/>
        </w:rPr>
        <w:t>General References (List of papers referred to in the project)</w:t>
      </w:r>
    </w:p>
    <w:p w14:paraId="92A6CF74" w14:textId="3445FB1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Vasiliev, E. (2019), ‘AGAMA: Action-based galaxy modelling architecture’, MNRAS, 482, 1525. https://doi.org/10.1093/mnras/sty2672</w:t>
      </w:r>
    </w:p>
    <w:p w14:paraId="0E7641C6" w14:textId="C7843AF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Gaia Collaboration, Vallenari, A. et al. (2023), ‘Gaia Data Release 3: Summary of the content and survey properties’, A&amp;A, 674, A1. https://doi.org/10.1051/0004-6361/202243940</w:t>
      </w:r>
    </w:p>
    <w:p w14:paraId="5511D3E9" w14:textId="84AE66E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Abdurro'uf et al. (2022), ‘The Seventeenth Data Release of the Sloan Digital Sky Surveys’, ApJS, 259, 35. https://doi.org/10.3847/1538-4365/ac4414</w:t>
      </w:r>
    </w:p>
    <w:p w14:paraId="2F65460A" w14:textId="94D14FC7">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Buder, S. et al. (2021), ‘The GALAH+ survey: Third data release’, MNRAS, 506, 150. https://doi.org/10.1093/mnras/stab1242</w:t>
      </w:r>
    </w:p>
    <w:sectPr w:rsidR="003C12CE" w:rsidRPr="003C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94E"/>
    <w:multiLevelType w:val="hybridMultilevel"/>
    <w:tmpl w:val="6DF266DC"/>
    <w:lvl w:ilvl="0" w:tplc="364440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60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1" w:cryptProviderType="rsaAES" w:cryptAlgorithmClass="hash" w:cryptAlgorithmType="typeAny" w:cryptAlgorithmSid="14" w:cryptSpinCount="100000" w:hash="rc4HCAGByGdhKvQ4o4XrWrLfPnEZIdRROQESbNNBOl9Pti4N4kQPrMaAXwJ35DiFFPyrzYqOqkUrHd2jtORJug==" w:salt="saNffofjuDtwBq/h3Gufy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B2"/>
    <w:rsid w:val="003C12CE"/>
    <w:rsid w:val="006A783E"/>
    <w:rsid w:val="007323A5"/>
    <w:rsid w:val="00D663A5"/>
    <w:rsid w:val="00DF4092"/>
    <w:rsid w:val="00F70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078B"/>
  <w15:chartTrackingRefBased/>
  <w15:docId w15:val="{9EBC790E-7B21-4C75-B420-DA23C5D8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B2"/>
    <w:rPr>
      <w:rFonts w:eastAsiaTheme="majorEastAsia" w:cstheme="majorBidi"/>
      <w:color w:val="272727" w:themeColor="text1" w:themeTint="D8"/>
    </w:rPr>
  </w:style>
  <w:style w:type="paragraph" w:styleId="Title">
    <w:name w:val="Title"/>
    <w:basedOn w:val="Normal"/>
    <w:next w:val="Normal"/>
    <w:link w:val="TitleChar"/>
    <w:uiPriority w:val="10"/>
    <w:qFormat/>
    <w:rsid w:val="00F7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B2"/>
    <w:pPr>
      <w:spacing w:before="160"/>
      <w:jc w:val="center"/>
    </w:pPr>
    <w:rPr>
      <w:i/>
      <w:iCs/>
      <w:color w:val="404040" w:themeColor="text1" w:themeTint="BF"/>
    </w:rPr>
  </w:style>
  <w:style w:type="character" w:customStyle="1" w:styleId="QuoteChar">
    <w:name w:val="Quote Char"/>
    <w:basedOn w:val="DefaultParagraphFont"/>
    <w:link w:val="Quote"/>
    <w:uiPriority w:val="29"/>
    <w:rsid w:val="00F705B2"/>
    <w:rPr>
      <w:i/>
      <w:iCs/>
      <w:color w:val="404040" w:themeColor="text1" w:themeTint="BF"/>
    </w:rPr>
  </w:style>
  <w:style w:type="paragraph" w:styleId="ListParagraph">
    <w:name w:val="List Paragraph"/>
    <w:basedOn w:val="Normal"/>
    <w:uiPriority w:val="34"/>
    <w:qFormat/>
    <w:rsid w:val="00F705B2"/>
    <w:pPr>
      <w:ind w:left="720"/>
      <w:contextualSpacing/>
    </w:pPr>
  </w:style>
  <w:style w:type="character" w:styleId="IntenseEmphasis">
    <w:name w:val="Intense Emphasis"/>
    <w:basedOn w:val="DefaultParagraphFont"/>
    <w:uiPriority w:val="21"/>
    <w:qFormat/>
    <w:rsid w:val="00F705B2"/>
    <w:rPr>
      <w:i/>
      <w:iCs/>
      <w:color w:val="0F4761" w:themeColor="accent1" w:themeShade="BF"/>
    </w:rPr>
  </w:style>
  <w:style w:type="paragraph" w:styleId="IntenseQuote">
    <w:name w:val="Intense Quote"/>
    <w:basedOn w:val="Normal"/>
    <w:next w:val="Normal"/>
    <w:link w:val="IntenseQuoteChar"/>
    <w:uiPriority w:val="30"/>
    <w:qFormat/>
    <w:rsid w:val="00F7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B2"/>
    <w:rPr>
      <w:i/>
      <w:iCs/>
      <w:color w:val="0F4761" w:themeColor="accent1" w:themeShade="BF"/>
    </w:rPr>
  </w:style>
  <w:style w:type="character" w:styleId="IntenseReference">
    <w:name w:val="Intense Reference"/>
    <w:basedOn w:val="DefaultParagraphFont"/>
    <w:uiPriority w:val="32"/>
    <w:qFormat/>
    <w:rsid w:val="00F7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50d568-6db7-4f8c-b568-e188b32f325b">
      <Terms xmlns="http://schemas.microsoft.com/office/infopath/2007/PartnerControls"/>
    </lcf76f155ced4ddcb4097134ff3c332f>
    <Permissions xmlns="5950d568-6db7-4f8c-b568-e188b32f325b">
      <UserInfo>
        <DisplayName/>
        <AccountId xsi:nil="true"/>
        <AccountType/>
      </UserInfo>
    </Permissions>
    <TaxCatchAll xmlns="04ce3b6f-caa0-47b7-aeb3-04f52a1d19b4" xsi:nil="true"/>
    <date xmlns="5950d568-6db7-4f8c-b568-e188b32f32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846D9F3F69524790D0324DCBB4A3BD" ma:contentTypeVersion="20" ma:contentTypeDescription="Create a new document." ma:contentTypeScope="" ma:versionID="14c482df9f7ebf416dadfef119cbc083">
  <xsd:schema xmlns:xsd="http://www.w3.org/2001/XMLSchema" xmlns:xs="http://www.w3.org/2001/XMLSchema" xmlns:p="http://schemas.microsoft.com/office/2006/metadata/properties" xmlns:ns2="5950d568-6db7-4f8c-b568-e188b32f325b" xmlns:ns3="04ce3b6f-caa0-47b7-aeb3-04f52a1d19b4" targetNamespace="http://schemas.microsoft.com/office/2006/metadata/properties" ma:root="true" ma:fieldsID="b3f82fed6ed388c2c7e850504c939df0" ns2:_="" ns3:_="">
    <xsd:import namespace="5950d568-6db7-4f8c-b568-e188b32f325b"/>
    <xsd:import namespace="04ce3b6f-caa0-47b7-aeb3-04f52a1d19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date" minOccurs="0"/>
                <xsd:element ref="ns2:MediaServiceSearchProperties" minOccurs="0"/>
                <xsd:element ref="ns2:MediaServiceBillingMetadata" minOccurs="0"/>
                <xsd:element ref="ns2:Permis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0d568-6db7-4f8c-b568-e188b32f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date" ma:index="24" nillable="true" ma:displayName="date" ma:format="DateOnly" ma:internalName="dat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ermissions" ma:index="27" nillable="true" ma:displayName="Permissions" ma:description="A record of who has permissions to this content other than site owners." ma:format="Dropdown" ma:list="UserInfo" ma:SharePointGroup="0" ma:internalName="Permission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ce3b6f-caa0-47b7-aeb3-04f52a1d19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f7daf26-d9b5-4652-93d0-deb11b88563a}" ma:internalName="TaxCatchAll" ma:showField="CatchAllData" ma:web="04ce3b6f-caa0-47b7-aeb3-04f52a1d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9A795-B070-4B6B-8045-7FEF954CCDF7}">
  <ds:schemaRefs>
    <ds:schemaRef ds:uri="http://schemas.microsoft.com/office/2006/metadata/properties"/>
    <ds:schemaRef ds:uri="http://schemas.microsoft.com/office/infopath/2007/PartnerControls"/>
    <ds:schemaRef ds:uri="5950d568-6db7-4f8c-b568-e188b32f325b"/>
    <ds:schemaRef ds:uri="04ce3b6f-caa0-47b7-aeb3-04f52a1d19b4"/>
  </ds:schemaRefs>
</ds:datastoreItem>
</file>

<file path=customXml/itemProps2.xml><?xml version="1.0" encoding="utf-8"?>
<ds:datastoreItem xmlns:ds="http://schemas.openxmlformats.org/officeDocument/2006/customXml" ds:itemID="{96C1395C-DBD8-4CDB-BB0D-A2D32EC8FE8C}">
  <ds:schemaRefs>
    <ds:schemaRef ds:uri="http://schemas.microsoft.com/sharepoint/v3/contenttype/forms"/>
  </ds:schemaRefs>
</ds:datastoreItem>
</file>

<file path=customXml/itemProps3.xml><?xml version="1.0" encoding="utf-8"?>
<ds:datastoreItem xmlns:ds="http://schemas.openxmlformats.org/officeDocument/2006/customXml" ds:itemID="{7CAFAC6A-EBE7-4E40-98E5-3183D0695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0d568-6db7-4f8c-b568-e188b32f325b"/>
    <ds:schemaRef ds:uri="04ce3b6f-caa0-47b7-aeb3-04f52a1d1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120</Words>
  <Characters>685</Characters>
  <Application>Microsoft Office Word</Application>
  <DocSecurity>8</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Fell</dc:creator>
  <cp:keywords/>
  <dc:description/>
  <cp:lastModifiedBy>Michelle Fell</cp:lastModifiedBy>
  <cp:revision>3</cp:revision>
  <dcterms:created xsi:type="dcterms:W3CDTF">2026-05-14T09:13:00Z</dcterms:created>
  <dcterms:modified xsi:type="dcterms:W3CDTF">2026-05-14T10:31:00Z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0x010100C5846D9F3F69524790D0324DCBB4A3BD</vt:lpwstr>
  </property>
  <property fmtid="{D5CDD505-2E9C-101B-9397-08002B2CF9AE}" pid="3" name="MediaServiceImageTags">
    <vt:lpwstr/>
  </property>
</Properties>
</file>