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FreeSerif" w:hAnsi="FreeSerif" w:eastAsia="FreeSerif" w:cs="FreeSerif"/>
          <w:b/>
          <w:bCs/>
          <w:sz w:val="32"/>
          <w:szCs w:val="32"/>
        </w:rPr>
      </w:pPr>
      <w:r>
        <w:rPr>
          <w:rFonts w:eastAsia="FreeSerif" w:cs="FreeSerif" w:ascii="FreeSerif" w:hAnsi="FreeSerif"/>
          <w:b/>
          <w:bCs/>
          <w:sz w:val="32"/>
          <w:szCs w:val="32"/>
        </w:rPr>
        <w:t>Практическая работа по теме:</w:t>
      </w:r>
    </w:p>
    <w:p>
      <w:pPr>
        <w:pStyle w:val="Normal"/>
        <w:jc w:val="center"/>
        <w:rPr>
          <w:rFonts w:ascii="FreeSerif" w:hAnsi="FreeSerif" w:cs="FreeSerif"/>
          <w:b/>
          <w:bCs/>
          <w:sz w:val="28"/>
          <w:szCs w:val="28"/>
        </w:rPr>
      </w:pPr>
      <w:r>
        <w:rPr>
          <w:rFonts w:eastAsia="FreeSerif" w:cs="FreeSerif" w:ascii="FreeSerif" w:hAnsi="FreeSerif"/>
          <w:b/>
          <w:bCs/>
          <w:sz w:val="28"/>
          <w:szCs w:val="28"/>
        </w:rPr>
        <w:t>Сбор и анализ информации. Системный анализ предметной области</w:t>
      </w:r>
    </w:p>
    <w:p>
      <w:pPr>
        <w:pStyle w:val="Normal"/>
        <w:rPr>
          <w:rFonts w:ascii="FreeSerif" w:hAnsi="FreeSerif" w:eastAsia="FreeSerif" w:cs="FreeSerif"/>
          <w:b/>
          <w:bCs/>
          <w:sz w:val="28"/>
          <w:szCs w:val="28"/>
        </w:rPr>
      </w:pPr>
      <w:r>
        <w:rPr>
          <w:rFonts w:eastAsia="FreeSerif" w:cs="FreeSerif" w:ascii="FreeSerif" w:hAnsi="FreeSerif"/>
          <w:b/>
          <w:bCs/>
          <w:sz w:val="28"/>
          <w:szCs w:val="28"/>
        </w:rPr>
        <w:t>Введение:</w:t>
      </w:r>
    </w:p>
    <w:p>
      <w:pPr>
        <w:pStyle w:val="Normal"/>
        <w:jc w:val="both"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bCs/>
          <w:i/>
          <w:sz w:val="28"/>
          <w:szCs w:val="28"/>
        </w:rPr>
        <w:tab/>
      </w:r>
      <w:r>
        <w:rPr>
          <w:rFonts w:eastAsia="FreeSerif" w:cs="FreeSerif" w:ascii="FreeSerif" w:hAnsi="FreeSerif"/>
          <w:bCs/>
          <w:sz w:val="28"/>
          <w:szCs w:val="28"/>
        </w:rPr>
        <w:t>Системный анализ включает в себя АПО, который в свою очередь сводится к получению информации об контексте базы данных, и последовательному построению следующих диаграмм: ER-диаграмма (концептуальная модель), логическая диаграмма, физическая модель.</w:t>
      </w:r>
    </w:p>
    <w:p>
      <w:pPr>
        <w:pStyle w:val="Normal"/>
        <w:jc w:val="both"/>
        <w:rPr>
          <w:rFonts w:ascii="FreeSerif" w:hAnsi="FreeSerif" w:eastAsia="FreeSerif" w:cs="FreeSerif"/>
          <w:bCs/>
          <w:i/>
          <w:i/>
          <w:sz w:val="28"/>
          <w:szCs w:val="28"/>
        </w:rPr>
      </w:pPr>
      <w:r>
        <w:rPr>
          <w:rFonts w:eastAsia="FreeSerif" w:cs="FreeSerif" w:ascii="FreeSerif" w:hAnsi="FreeSerif"/>
          <w:bCs/>
          <w:i/>
          <w:iCs/>
          <w:sz w:val="28"/>
          <w:szCs w:val="28"/>
        </w:rPr>
        <w:tab/>
        <w:t>Концептуальная модель показывает, как сущности взаимодействуют между с собой в реальном мире, какая информация о сущности (атрибуты) адекватна в контексте предметной области.</w:t>
      </w:r>
    </w:p>
    <w:p>
      <w:pPr>
        <w:pStyle w:val="Normal"/>
        <w:jc w:val="both"/>
        <w:rPr>
          <w:rFonts w:ascii="FreeSerif" w:hAnsi="FreeSerif" w:eastAsia="FreeSerif" w:cs="FreeSerif"/>
          <w:bCs/>
          <w:i/>
          <w:i/>
          <w:sz w:val="28"/>
          <w:szCs w:val="28"/>
        </w:rPr>
      </w:pPr>
      <w:r>
        <w:rPr>
          <w:rFonts w:eastAsia="FreeSerif" w:cs="FreeSerif" w:ascii="FreeSerif" w:hAnsi="FreeSerif"/>
          <w:bCs/>
          <w:i/>
          <w:iCs/>
          <w:sz w:val="28"/>
          <w:szCs w:val="28"/>
        </w:rPr>
        <w:tab/>
        <w:t>Логическая диаграмма является переходным звеном между идеей о существовании БД и её физической реализацией. Она формирует сущности в реляционный вид (таблицы), показывает какие</w:t>
      </w:r>
      <w:bookmarkStart w:id="0" w:name="_GoBack"/>
      <w:bookmarkEnd w:id="0"/>
      <w:r>
        <w:rPr>
          <w:rFonts w:eastAsia="FreeSerif" w:cs="FreeSerif" w:ascii="FreeSerif" w:hAnsi="FreeSerif"/>
          <w:bCs/>
          <w:i/>
          <w:iCs/>
          <w:sz w:val="28"/>
          <w:szCs w:val="28"/>
        </w:rPr>
        <w:t xml:space="preserve"> типы данных будут у каждого атрибута, формирует адекватные и информативные названия для атрибутов и названий отношений.</w:t>
      </w:r>
    </w:p>
    <w:p>
      <w:pPr>
        <w:pStyle w:val="Normal"/>
        <w:jc w:val="both"/>
        <w:rPr>
          <w:rFonts w:ascii="FreeSerif" w:hAnsi="FreeSerif" w:eastAsia="FreeSerif" w:cs="FreeSerif"/>
          <w:bCs/>
          <w:i/>
          <w:i/>
          <w:sz w:val="28"/>
          <w:szCs w:val="28"/>
        </w:rPr>
      </w:pPr>
      <w:r>
        <w:rPr>
          <w:rFonts w:eastAsia="FreeSerif" w:cs="FreeSerif" w:ascii="FreeSerif" w:hAnsi="FreeSerif"/>
          <w:bCs/>
          <w:i/>
          <w:iCs/>
          <w:sz w:val="28"/>
          <w:szCs w:val="28"/>
        </w:rPr>
        <w:tab/>
        <w:t xml:space="preserve">Физическая модель является </w:t>
      </w:r>
      <w:r>
        <w:rPr>
          <w:rFonts w:eastAsia="FreeSerif" w:cs="FreeSerif" w:ascii="FreeSerif" w:hAnsi="FreeSerif"/>
          <w:b/>
          <w:bCs/>
          <w:i/>
          <w:iCs/>
          <w:sz w:val="28"/>
          <w:szCs w:val="28"/>
        </w:rPr>
        <w:t xml:space="preserve">реализацией </w:t>
      </w:r>
      <w:r>
        <w:rPr>
          <w:rFonts w:eastAsia="FreeSerif" w:cs="FreeSerif" w:ascii="FreeSerif" w:hAnsi="FreeSerif"/>
          <w:bCs/>
          <w:i/>
          <w:iCs/>
          <w:sz w:val="28"/>
          <w:szCs w:val="28"/>
        </w:rPr>
        <w:t>логической модели в конкретной СУБД</w:t>
      </w:r>
    </w:p>
    <w:p>
      <w:pPr>
        <w:pStyle w:val="Normal"/>
        <w:rPr>
          <w:rFonts w:ascii="FreeSerif" w:hAnsi="FreeSerif" w:eastAsia="FreeSerif" w:cs="FreeSerif"/>
          <w:bCs/>
          <w:i/>
          <w:i/>
          <w:sz w:val="28"/>
          <w:szCs w:val="28"/>
        </w:rPr>
      </w:pPr>
      <w:r>
        <w:rPr>
          <w:rFonts w:eastAsia="FreeSerif" w:cs="FreeSerif" w:ascii="FreeSerif" w:hAnsi="FreeSerif"/>
          <w:bCs/>
          <w:i/>
          <w:sz w:val="28"/>
          <w:szCs w:val="28"/>
        </w:rPr>
      </w:r>
    </w:p>
    <w:p>
      <w:pPr>
        <w:pStyle w:val="Normal"/>
        <w:rPr>
          <w:rFonts w:ascii="FreeSerif" w:hAnsi="FreeSerif" w:eastAsia="FreeSerif" w:cs="FreeSerif"/>
          <w:b/>
          <w:sz w:val="28"/>
          <w:szCs w:val="28"/>
        </w:rPr>
      </w:pPr>
      <w:r>
        <w:rPr>
          <w:rFonts w:eastAsia="FreeSerif" w:cs="FreeSerif" w:ascii="FreeSerif" w:hAnsi="FreeSerif"/>
          <w:b/>
          <w:sz w:val="28"/>
          <w:szCs w:val="28"/>
        </w:rPr>
      </w:r>
      <w:r>
        <w:br w:type="page"/>
      </w:r>
    </w:p>
    <w:p>
      <w:pPr>
        <w:pStyle w:val="Normal"/>
        <w:spacing w:before="0" w:after="200"/>
        <w:jc w:val="both"/>
        <w:rPr>
          <w:rFonts w:ascii="FreeSerif" w:hAnsi="FreeSerif" w:eastAsia="FreeSerif" w:cs="FreeSerif"/>
          <w:b/>
          <w:sz w:val="28"/>
          <w:szCs w:val="28"/>
        </w:rPr>
      </w:pPr>
      <w:r>
        <w:rPr>
          <w:rFonts w:eastAsia="FreeSerif" w:cs="FreeSerif" w:ascii="FreeSerif" w:hAnsi="FreeSerif"/>
          <w:b/>
          <w:bCs/>
          <w:sz w:val="28"/>
          <w:szCs w:val="28"/>
        </w:rPr>
        <w:t>Практическая часть:</w:t>
      </w:r>
    </w:p>
    <w:p>
      <w:pPr>
        <w:pStyle w:val="Normal"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sz w:val="28"/>
          <w:szCs w:val="28"/>
        </w:rPr>
        <w:t>Часть 1. Построение логической модели</w:t>
      </w:r>
    </w:p>
    <w:p>
      <w:pPr>
        <w:pStyle w:val="Normal"/>
        <w:ind w:firstLine="708"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sz w:val="28"/>
          <w:szCs w:val="28"/>
        </w:rPr>
        <w:t>В логической модели БД каждая сущность представлена в виде отношения (таблицы), атрибуты формируют названия столбцов, название сущности формирует название отношения.</w:t>
      </w:r>
    </w:p>
    <w:p>
      <w:pPr>
        <w:pStyle w:val="Normal"/>
        <w:ind w:firstLine="708"/>
        <w:rPr>
          <w:rFonts w:ascii="FreeSerif" w:hAnsi="FreeSerif" w:eastAsia="FreeSerif" w:cs="FreeSerif"/>
          <w:bCs/>
          <w:i/>
          <w:i/>
          <w:sz w:val="28"/>
          <w:szCs w:val="28"/>
        </w:rPr>
      </w:pPr>
      <w:r>
        <w:rPr>
          <w:rFonts w:eastAsia="FreeSerif" w:cs="FreeSerif" w:ascii="FreeSerif" w:hAnsi="FreeSerif"/>
          <w:i/>
          <w:iCs/>
          <w:sz w:val="28"/>
          <w:szCs w:val="28"/>
        </w:rPr>
        <w:t>Названия отношений указываются в именительном падеже, единственном числе.</w:t>
      </w:r>
    </w:p>
    <w:p>
      <w:pPr>
        <w:pStyle w:val="Normal"/>
        <w:ind w:firstLine="708"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sz w:val="28"/>
          <w:szCs w:val="28"/>
        </w:rPr>
        <w:t>Каждому атрибуту необходимо обозначить домен (ограничения и тип данных).</w:t>
      </w:r>
    </w:p>
    <w:p>
      <w:pPr>
        <w:pStyle w:val="Normal"/>
        <w:ind w:firstLine="708"/>
        <w:rPr>
          <w:rFonts w:ascii="FreeSerif" w:hAnsi="FreeSerif" w:eastAsia="FreeSerif" w:cs="FreeSerif"/>
          <w:color w:val="C00000"/>
          <w:sz w:val="28"/>
          <w:szCs w:val="28"/>
        </w:rPr>
      </w:pPr>
      <w:r>
        <w:rPr>
          <w:rFonts w:eastAsia="FreeSerif" w:cs="FreeSerif" w:ascii="FreeSerif" w:hAnsi="FreeSerif"/>
          <w:color w:val="C00000"/>
          <w:sz w:val="28"/>
          <w:szCs w:val="28"/>
        </w:rPr>
        <w:t>Типы данных с пояснениями для СУБД SQL Server представлены в приложении 1.</w:t>
      </w:r>
    </w:p>
    <w:p>
      <w:pPr>
        <w:pStyle w:val="Normal"/>
        <w:ind w:firstLine="708"/>
        <w:rPr>
          <w:rFonts w:ascii="FreeSerif" w:hAnsi="FreeSerif" w:eastAsia="FreeSerif" w:cs="FreeSerif"/>
          <w:color w:val="C00000"/>
          <w:sz w:val="28"/>
          <w:szCs w:val="28"/>
        </w:rPr>
      </w:pPr>
      <w:r>
        <w:rPr>
          <w:rFonts w:eastAsia="FreeSerif" w:cs="FreeSerif" w:ascii="FreeSerif" w:hAnsi="FreeSerif"/>
          <w:color w:val="C00000"/>
          <w:sz w:val="28"/>
          <w:szCs w:val="28"/>
        </w:rPr>
        <w:t>Возможны ограничения атрибута с пояснения для СУБД SQL Server представлены в приложении 2.</w:t>
      </w:r>
    </w:p>
    <w:p>
      <w:pPr>
        <w:pStyle w:val="Normal"/>
        <w:ind w:firstLine="708"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sz w:val="28"/>
          <w:szCs w:val="28"/>
        </w:rPr>
        <w:t>Преобразуйте каждую сущность вашей ER-диаграммы в таблицу логической модели. Общий вид преобразования представлен на рисунке 1.</w:t>
      </w:r>
    </w:p>
    <w:p>
      <w:pPr>
        <w:pStyle w:val="Normal"/>
        <w:ind w:firstLine="708"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sz w:val="28"/>
          <w:szCs w:val="28"/>
        </w:rPr>
        <w:t>Каждый внешний ключ таблицы свяжите с соответствующим внешним ключом (или полем с UNIQUE ограничением), отобразив связь ломаной линией без стрелок. Продублируйте типы связей из ER-диаграммы в логическую диаграмму.</w:t>
      </w:r>
    </w:p>
    <w:p>
      <w:pPr>
        <w:pStyle w:val="Normal"/>
        <w:ind w:firstLine="708"/>
        <w:rPr/>
      </w:pPr>
      <w:r>
        <w:rPr>
          <w:rFonts w:eastAsia="FreeSerif" w:cs="FreeSerif" w:ascii="FreeSerif" w:hAnsi="FreeSerif"/>
          <w:sz w:val="28"/>
          <w:szCs w:val="28"/>
        </w:rPr>
        <w:t xml:space="preserve">В результате у вас получится </w:t>
      </w:r>
      <w:r>
        <w:rPr>
          <w:rFonts w:eastAsia="FreeSerif" w:cs="FreeSerif" w:ascii="FreeSerif" w:hAnsi="FreeSerif"/>
          <w:b/>
          <w:bCs/>
          <w:sz w:val="28"/>
          <w:szCs w:val="28"/>
        </w:rPr>
        <w:t>логическая диаграмма базы данных</w:t>
      </w:r>
      <w:r>
        <w:rPr>
          <w:rFonts w:eastAsia="FreeSerif" w:cs="FreeSerif" w:ascii="FreeSerif" w:hAnsi="FreeSerif"/>
          <w:sz w:val="28"/>
          <w:szCs w:val="28"/>
        </w:rPr>
        <w:t>.</w:t>
      </w:r>
    </w:p>
    <w:p>
      <w:pPr>
        <w:pStyle w:val="Normal"/>
        <w:jc w:val="center"/>
        <w:rPr>
          <w:rFonts w:ascii="FreeSerif" w:hAnsi="FreeSerif" w:eastAsia="FreeSerif" w:cs="FreeSerif"/>
          <w:sz w:val="28"/>
          <w:szCs w:val="28"/>
        </w:rPr>
      </w:pPr>
      <w:r>
        <w:rPr/>
        <w:drawing>
          <wp:inline distT="0" distB="0" distL="0" distR="0">
            <wp:extent cx="5257165" cy="597154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165" cy="597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sz w:val="28"/>
          <w:szCs w:val="28"/>
        </w:rPr>
        <w:t>Рисунок 1 – Преобразование сущности в реляционную таблицу</w:t>
      </w:r>
    </w:p>
    <w:p>
      <w:pPr>
        <w:pStyle w:val="Normal"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sz w:val="28"/>
          <w:szCs w:val="28"/>
        </w:rPr>
      </w:r>
    </w:p>
    <w:p>
      <w:pPr>
        <w:pStyle w:val="Normal"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sz w:val="28"/>
          <w:szCs w:val="28"/>
        </w:rPr>
        <w:t>Часть 2. Простая нормализация логической диаграммы</w:t>
      </w:r>
    </w:p>
    <w:p>
      <w:pPr>
        <w:pStyle w:val="Normal"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sz w:val="28"/>
          <w:szCs w:val="28"/>
        </w:rPr>
        <w:t xml:space="preserve">Избегайте повторения данных в кортежах таблиц. Представим, что у нас есть таблица Студенты, схема отношения которой следующая: </w:t>
      </w:r>
    </w:p>
    <w:p>
      <w:pPr>
        <w:pStyle w:val="Normal"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sz w:val="28"/>
          <w:szCs w:val="28"/>
        </w:rPr>
        <w:t>СТУДЕНТ (id, ФИО, номер_группы, направление, курс, возраст).</w:t>
      </w:r>
    </w:p>
    <w:p>
      <w:pPr>
        <w:pStyle w:val="Normal"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sz w:val="28"/>
          <w:szCs w:val="28"/>
        </w:rPr>
        <w:t>При заполнении такой таблицы студентами одной группы, мы увидим, что атрибуты «направление» и «курс» будут дублироваться для каждого студента. Для решения этой проблемы, вынесем информацию о группе студента в отдельную таблицу со следующей схемой отношения:</w:t>
      </w:r>
    </w:p>
    <w:p>
      <w:pPr>
        <w:pStyle w:val="Normal"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sz w:val="28"/>
          <w:szCs w:val="28"/>
        </w:rPr>
        <w:t>ГРУППА (номер_группы, направление, курс).</w:t>
      </w:r>
    </w:p>
    <w:p>
      <w:pPr>
        <w:pStyle w:val="Normal"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sz w:val="28"/>
          <w:szCs w:val="28"/>
        </w:rPr>
        <w:t>Тогда таблица СТУДЕНТ будет иметь атрибуты (id, ФИО, номер_группы, возраст).</w:t>
      </w:r>
    </w:p>
    <w:p>
      <w:pPr>
        <w:pStyle w:val="Normal"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sz w:val="28"/>
          <w:szCs w:val="28"/>
        </w:rPr>
        <w:t>Таблица ГРУППА будет заполнена развернутой информацией о каждой группе, а для доступа к этой информации через некоторого студента, оставим ему атрибут «номер_группы», который будет ссылаться на конкретную запись в таблице ГРУППА, тем самым давая однозначную информацию о группе студента, без повторения одной и той-же информации в таблице СТУДЕНТ.</w:t>
      </w:r>
    </w:p>
    <w:p>
      <w:pPr>
        <w:pStyle w:val="Normal"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sz w:val="28"/>
          <w:szCs w:val="28"/>
        </w:rPr>
        <w:t>Далее следует учитывать возможность изменения данных в таблицах. Представим, что у нас есть таблица ЗАКАЗ (номер_заказа, id_клиента, адрес_клиента, ...) и КЛИЕНТ (id, ФИО, номер_телефона, ...). Если значение атрибута «адрес_клиента» изменится, то для корректировки информации, в записи КАЖДОГО заказа некоторого клиента нам надо будет поменять адрес. В свою очередь, если поле «адрес_клиента» отнести к таблице КЛИЕНТ, то будет достаточно поменять информацию только в одном кортеже.</w:t>
      </w:r>
    </w:p>
    <w:p>
      <w:pPr>
        <w:pStyle w:val="Normal"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sz w:val="28"/>
          <w:szCs w:val="28"/>
        </w:rPr>
        <w:t>Учитывая эти два принципа, проанализируйте вашу логическую модель. Если в модели присутствует повторение или несогласованность изменения данных, исправьте её.</w:t>
      </w:r>
    </w:p>
    <w:p>
      <w:pPr>
        <w:pStyle w:val="Normal"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sz w:val="28"/>
          <w:szCs w:val="28"/>
        </w:rPr>
      </w:r>
      <w:r>
        <w:br w:type="page"/>
      </w:r>
    </w:p>
    <w:p>
      <w:pPr>
        <w:pStyle w:val="Normal"/>
        <w:spacing w:before="0" w:after="200"/>
        <w:ind w:firstLine="708"/>
        <w:jc w:val="center"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sz w:val="28"/>
          <w:szCs w:val="28"/>
        </w:rPr>
        <w:t>Приложение 1 – Типы данных в SQL Server</w:t>
      </w:r>
    </w:p>
    <w:p>
      <w:pPr>
        <w:pStyle w:val="Normal"/>
        <w:pBdr/>
        <w:ind w:firstLine="708"/>
        <w:jc w:val="center"/>
        <w:rPr>
          <w:rFonts w:ascii="FreeSerif" w:hAnsi="FreeSerif" w:eastAsia="FreeSerif" w:cs="FreeSerif"/>
          <w:b/>
          <w:bCs/>
          <w:sz w:val="28"/>
          <w:szCs w:val="28"/>
        </w:rPr>
      </w:pPr>
      <w:r>
        <w:rPr>
          <w:rFonts w:eastAsia="FreeSerif" w:cs="FreeSerif" w:ascii="FreeSerif" w:hAnsi="FreeSerif"/>
          <w:b/>
          <w:bCs/>
          <w:sz w:val="28"/>
          <w:szCs w:val="28"/>
        </w:rPr>
        <w:t>Точные числовые типы</w:t>
      </w:r>
    </w:p>
    <w:p>
      <w:pPr>
        <w:pStyle w:val="Normal"/>
        <w:pBdr/>
        <w:ind w:firstLine="708"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sz w:val="28"/>
          <w:szCs w:val="28"/>
        </w:rPr>
        <w:t>Используются для хранения чисел с фиксированной точностью и масштабом.</w:t>
      </w:r>
    </w:p>
    <w:tbl>
      <w:tblPr>
        <w:tblStyle w:val="ae"/>
        <w:tblW w:w="9638" w:type="dxa"/>
        <w:jc w:val="left"/>
        <w:tblInd w:w="-284" w:type="dxa"/>
        <w:tblLayout w:type="fixed"/>
        <w:tblCellMar>
          <w:top w:w="150" w:type="dxa"/>
          <w:left w:w="0" w:type="dxa"/>
          <w:bottom w:w="150" w:type="dxa"/>
          <w:right w:w="150" w:type="dxa"/>
        </w:tblCellMar>
        <w:tblLook w:firstRow="1" w:noVBand="1" w:lastRow="0" w:firstColumn="1" w:lastColumn="0" w:noHBand="0" w:val="04a0"/>
      </w:tblPr>
      <w:tblGrid>
        <w:gridCol w:w="2751"/>
        <w:gridCol w:w="2918"/>
        <w:gridCol w:w="1272"/>
        <w:gridCol w:w="2696"/>
      </w:tblGrid>
      <w:tr>
        <w:trPr/>
        <w:tc>
          <w:tcPr>
            <w:tcW w:w="2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firstLine="708"/>
              <w:jc w:val="center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Тип данных</w:t>
            </w:r>
          </w:p>
        </w:tc>
        <w:tc>
          <w:tcPr>
            <w:tcW w:w="2918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Диапазон</w:t>
            </w:r>
          </w:p>
        </w:tc>
        <w:tc>
          <w:tcPr>
            <w:tcW w:w="1272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Память</w:t>
            </w:r>
          </w:p>
        </w:tc>
        <w:tc>
          <w:tcPr>
            <w:tcW w:w="2696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Описание</w:t>
            </w:r>
          </w:p>
        </w:tc>
      </w:tr>
      <w:tr>
        <w:trPr/>
        <w:tc>
          <w:tcPr>
            <w:tcW w:w="2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BIT</w:t>
            </w:r>
          </w:p>
        </w:tc>
        <w:tc>
          <w:tcPr>
            <w:tcW w:w="2918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0, 1 или NULL</w:t>
            </w:r>
          </w:p>
        </w:tc>
        <w:tc>
          <w:tcPr>
            <w:tcW w:w="1272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1 байт (до 8 бит в столбце)</w:t>
            </w:r>
          </w:p>
        </w:tc>
        <w:tc>
          <w:tcPr>
            <w:tcW w:w="2696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Хранит логические значения. Фактически может хранить 1, 0 или NULL.</w:t>
            </w:r>
          </w:p>
        </w:tc>
      </w:tr>
      <w:tr>
        <w:trPr/>
        <w:tc>
          <w:tcPr>
            <w:tcW w:w="2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TINYINT</w:t>
            </w:r>
          </w:p>
        </w:tc>
        <w:tc>
          <w:tcPr>
            <w:tcW w:w="2918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от 0 до 255</w:t>
            </w:r>
          </w:p>
        </w:tc>
        <w:tc>
          <w:tcPr>
            <w:tcW w:w="1272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1 байт</w:t>
            </w:r>
          </w:p>
        </w:tc>
        <w:tc>
          <w:tcPr>
            <w:tcW w:w="2696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Хранит небольшие целые неотрицательные числа.</w:t>
            </w:r>
          </w:p>
        </w:tc>
      </w:tr>
      <w:tr>
        <w:trPr/>
        <w:tc>
          <w:tcPr>
            <w:tcW w:w="2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SMALLINT</w:t>
            </w:r>
          </w:p>
        </w:tc>
        <w:tc>
          <w:tcPr>
            <w:tcW w:w="2918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от --32 768 до  32 767</w:t>
            </w:r>
          </w:p>
        </w:tc>
        <w:tc>
          <w:tcPr>
            <w:tcW w:w="1272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2 байта</w:t>
            </w:r>
          </w:p>
        </w:tc>
        <w:tc>
          <w:tcPr>
            <w:tcW w:w="2696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Хранит целые числа. Экономит память по сравнению с INT.</w:t>
            </w:r>
          </w:p>
        </w:tc>
      </w:tr>
      <w:tr>
        <w:trPr/>
        <w:tc>
          <w:tcPr>
            <w:tcW w:w="2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INT</w:t>
            </w:r>
          </w:p>
        </w:tc>
        <w:tc>
          <w:tcPr>
            <w:tcW w:w="2918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от --2 147 483 648до 2 147 483 647</w:t>
            </w:r>
          </w:p>
        </w:tc>
        <w:tc>
          <w:tcPr>
            <w:tcW w:w="1272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4 байта</w:t>
            </w:r>
          </w:p>
        </w:tc>
        <w:tc>
          <w:tcPr>
            <w:tcW w:w="2696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Наиболее распространенный тип для хранения целых чисел.</w:t>
            </w:r>
          </w:p>
        </w:tc>
      </w:tr>
      <w:tr>
        <w:trPr/>
        <w:tc>
          <w:tcPr>
            <w:tcW w:w="2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BIGINT</w:t>
            </w:r>
          </w:p>
        </w:tc>
        <w:tc>
          <w:tcPr>
            <w:tcW w:w="2918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от -2^63 до 2^63-1 (очень большое число)</w:t>
            </w:r>
          </w:p>
        </w:tc>
        <w:tc>
          <w:tcPr>
            <w:tcW w:w="1272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8 байт</w:t>
            </w:r>
          </w:p>
        </w:tc>
        <w:tc>
          <w:tcPr>
            <w:tcW w:w="2696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Для очень больших целых чисел (например, ключи огромных таблиц).</w:t>
            </w:r>
          </w:p>
        </w:tc>
      </w:tr>
      <w:tr>
        <w:trPr/>
        <w:tc>
          <w:tcPr>
            <w:tcW w:w="2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  <w:lang w:val="en-US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en-US" w:eastAsia="en-US" w:bidi="ar-SA"/>
              </w:rPr>
              <w:t>DECIMAL(p,s)</w:t>
            </w: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en-US" w:eastAsia="en-US" w:bidi="ar-SA"/>
              </w:rPr>
              <w:br w:type="textWrapping" w:clear="all"/>
            </w: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en-US" w:eastAsia="en-US" w:bidi="ar-SA"/>
              </w:rPr>
              <w:t>(</w:t>
            </w: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или</w:t>
            </w: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en-US" w:eastAsia="en-US" w:bidi="ar-SA"/>
              </w:rPr>
              <w:t> NUMERIC)</w:t>
            </w:r>
          </w:p>
        </w:tc>
        <w:tc>
          <w:tcPr>
            <w:tcW w:w="2918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Зависит от точности (p)</w:t>
            </w:r>
          </w:p>
        </w:tc>
        <w:tc>
          <w:tcPr>
            <w:tcW w:w="1272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5-17 байт</w:t>
            </w:r>
          </w:p>
        </w:tc>
        <w:tc>
          <w:tcPr>
            <w:tcW w:w="2696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Числа с фиксированной точностью и масштабом. p - общее число цифр (точность), s - число цифр после запятой (масштаб).</w:t>
              <w:br/>
              <w:t>Пример: DECIMAL(10, 2) — число всего из 10 цифр, 2 из которых после запятой (например, 12345678.12).</w:t>
            </w:r>
          </w:p>
        </w:tc>
      </w:tr>
      <w:tr>
        <w:trPr/>
        <w:tc>
          <w:tcPr>
            <w:tcW w:w="2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MONEY</w:t>
            </w:r>
          </w:p>
        </w:tc>
        <w:tc>
          <w:tcPr>
            <w:tcW w:w="2918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от –922,337,203,685,477.5808 до 922,337,203,685,477.5807</w:t>
            </w:r>
          </w:p>
        </w:tc>
        <w:tc>
          <w:tcPr>
            <w:tcW w:w="1272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8 байт</w:t>
            </w:r>
          </w:p>
        </w:tc>
        <w:tc>
          <w:tcPr>
            <w:tcW w:w="2696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Для денежных значений. Оптимизирован для финансовых операций.</w:t>
            </w:r>
          </w:p>
        </w:tc>
      </w:tr>
      <w:tr>
        <w:trPr/>
        <w:tc>
          <w:tcPr>
            <w:tcW w:w="2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SMALLMONEY</w:t>
            </w:r>
          </w:p>
        </w:tc>
        <w:tc>
          <w:tcPr>
            <w:tcW w:w="2918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от -214 748.3648 до 214 748.3647</w:t>
            </w:r>
          </w:p>
        </w:tc>
        <w:tc>
          <w:tcPr>
            <w:tcW w:w="1272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4 байта</w:t>
            </w:r>
          </w:p>
        </w:tc>
        <w:tc>
          <w:tcPr>
            <w:tcW w:w="2696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Для денежных значений меньшего диапазона.</w:t>
            </w:r>
          </w:p>
        </w:tc>
      </w:tr>
    </w:tbl>
    <w:p>
      <w:pPr>
        <w:pStyle w:val="Normal"/>
        <w:pBdr/>
        <w:ind w:firstLine="708"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sz w:val="28"/>
          <w:szCs w:val="28"/>
        </w:rPr>
      </w:r>
    </w:p>
    <w:p>
      <w:pPr>
        <w:pStyle w:val="Normal"/>
        <w:pBdr/>
        <w:ind w:firstLine="708"/>
        <w:rPr>
          <w:rFonts w:ascii="FreeSerif" w:hAnsi="FreeSerif" w:eastAsia="FreeSerif" w:cs="FreeSerif"/>
          <w:bCs/>
          <w:i/>
          <w:i/>
          <w:sz w:val="28"/>
          <w:szCs w:val="28"/>
        </w:rPr>
      </w:pPr>
      <w:r>
        <w:rPr>
          <w:rFonts w:eastAsia="FreeSerif" w:cs="FreeSerif" w:ascii="FreeSerif" w:hAnsi="FreeSerif"/>
          <w:i/>
          <w:iCs/>
          <w:sz w:val="28"/>
          <w:szCs w:val="28"/>
        </w:rPr>
        <w:t>Рекомендация: Для целых чисел по умолчанию используйте INT. Если уверены в маленьком диапазоне — SMALLINT. Для денежных расчетов предпочтительнее DECIMAL, а не MONEY, из-за лучшей предсказуемости округления.</w:t>
      </w:r>
    </w:p>
    <w:p>
      <w:pPr>
        <w:pStyle w:val="Normal"/>
        <w:rPr>
          <w:rFonts w:ascii="FreeSerif" w:hAnsi="FreeSerif" w:eastAsia="FreeSerif" w:cs="FreeSerif"/>
          <w:b/>
          <w:bCs/>
          <w:sz w:val="28"/>
          <w:szCs w:val="28"/>
        </w:rPr>
      </w:pPr>
      <w:r>
        <w:rPr>
          <w:rFonts w:eastAsia="FreeSerif" w:cs="FreeSerif" w:ascii="FreeSerif" w:hAnsi="FreeSerif"/>
          <w:b/>
          <w:bCs/>
          <w:sz w:val="28"/>
          <w:szCs w:val="28"/>
        </w:rPr>
      </w:r>
      <w:r>
        <w:br w:type="page"/>
      </w:r>
    </w:p>
    <w:p>
      <w:pPr>
        <w:pStyle w:val="Normal"/>
        <w:pBdr/>
        <w:spacing w:before="0" w:after="200"/>
        <w:ind w:firstLine="708"/>
        <w:jc w:val="center"/>
        <w:rPr>
          <w:rFonts w:ascii="FreeSerif" w:hAnsi="FreeSerif" w:eastAsia="FreeSerif" w:cs="FreeSerif"/>
          <w:b/>
          <w:bCs/>
          <w:sz w:val="28"/>
          <w:szCs w:val="28"/>
        </w:rPr>
      </w:pPr>
      <w:r>
        <w:rPr>
          <w:rFonts w:eastAsia="FreeSerif" w:cs="FreeSerif" w:ascii="FreeSerif" w:hAnsi="FreeSerif"/>
          <w:b/>
          <w:bCs/>
          <w:sz w:val="28"/>
          <w:szCs w:val="28"/>
        </w:rPr>
        <w:t>Приближенные числовые тиды (с плавающей запятой)</w:t>
      </w:r>
    </w:p>
    <w:p>
      <w:pPr>
        <w:pStyle w:val="Normal"/>
        <w:pBdr/>
        <w:ind w:firstLine="708"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sz w:val="28"/>
          <w:szCs w:val="28"/>
        </w:rPr>
        <w:t>Используются для хранения очень больших или очень маленьких чисел. Важно: Из-за особенности двоичного представления могут возникать ошибки округления. Не используйте их для точных вычислений (например, денежных).</w:t>
      </w:r>
    </w:p>
    <w:tbl>
      <w:tblPr>
        <w:tblStyle w:val="ae"/>
        <w:tblW w:w="9355" w:type="dxa"/>
        <w:jc w:val="left"/>
        <w:tblInd w:w="0" w:type="dxa"/>
        <w:tblLayout w:type="fixed"/>
        <w:tblCellMar>
          <w:top w:w="150" w:type="dxa"/>
          <w:left w:w="0" w:type="dxa"/>
          <w:bottom w:w="150" w:type="dxa"/>
          <w:right w:w="150" w:type="dxa"/>
        </w:tblCellMar>
        <w:tblLook w:firstRow="1" w:noVBand="1" w:lastRow="0" w:firstColumn="1" w:lastColumn="0" w:noHBand="0" w:val="04a0"/>
      </w:tblPr>
      <w:tblGrid>
        <w:gridCol w:w="1558"/>
        <w:gridCol w:w="3412"/>
        <w:gridCol w:w="1586"/>
        <w:gridCol w:w="2798"/>
      </w:tblGrid>
      <w:tr>
        <w:trPr/>
        <w:tc>
          <w:tcPr>
            <w:tcW w:w="1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Тип данных</w:t>
            </w:r>
          </w:p>
        </w:tc>
        <w:tc>
          <w:tcPr>
            <w:tcW w:w="3412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Диапазон</w:t>
            </w:r>
          </w:p>
        </w:tc>
        <w:tc>
          <w:tcPr>
            <w:tcW w:w="1586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Память</w:t>
            </w:r>
          </w:p>
        </w:tc>
        <w:tc>
          <w:tcPr>
            <w:tcW w:w="2798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Описание</w:t>
            </w:r>
          </w:p>
        </w:tc>
      </w:tr>
      <w:tr>
        <w:trPr/>
        <w:tc>
          <w:tcPr>
            <w:tcW w:w="1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FLOAT(n)</w:t>
            </w:r>
          </w:p>
        </w:tc>
        <w:tc>
          <w:tcPr>
            <w:tcW w:w="3412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Зависит от n (мантисса)</w:t>
            </w:r>
          </w:p>
        </w:tc>
        <w:tc>
          <w:tcPr>
            <w:tcW w:w="1586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4 или 8 байт</w:t>
            </w:r>
          </w:p>
        </w:tc>
        <w:tc>
          <w:tcPr>
            <w:tcW w:w="2798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n — число бит для хранения мантиссы. n от 1 до 24 — 4 байта (7 знаков), n от 25 до 53 — 8 байт (15 знаков).</w:t>
            </w:r>
          </w:p>
        </w:tc>
      </w:tr>
      <w:tr>
        <w:trPr/>
        <w:tc>
          <w:tcPr>
            <w:tcW w:w="1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REAL</w:t>
            </w:r>
          </w:p>
        </w:tc>
        <w:tc>
          <w:tcPr>
            <w:tcW w:w="3412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Эквивалент FLOAT(24)</w:t>
            </w:r>
          </w:p>
        </w:tc>
        <w:tc>
          <w:tcPr>
            <w:tcW w:w="1586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4 байта</w:t>
            </w:r>
          </w:p>
        </w:tc>
        <w:tc>
          <w:tcPr>
            <w:tcW w:w="2798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Алиас для FLOAT(24).</w:t>
            </w:r>
          </w:p>
        </w:tc>
      </w:tr>
    </w:tbl>
    <w:p>
      <w:pPr>
        <w:pStyle w:val="Normal"/>
        <w:pBdr/>
        <w:ind w:firstLine="708"/>
        <w:rPr>
          <w:rFonts w:ascii="FreeSerif" w:hAnsi="FreeSerif" w:eastAsia="FreeSerif" w:cs="FreeSerif"/>
          <w:bCs/>
          <w:i/>
          <w:i/>
          <w:sz w:val="28"/>
          <w:szCs w:val="28"/>
        </w:rPr>
      </w:pPr>
      <w:r>
        <w:rPr>
          <w:rFonts w:eastAsia="FreeSerif" w:cs="FreeSerif" w:ascii="FreeSerif" w:hAnsi="FreeSerif"/>
          <w:bCs/>
          <w:i/>
          <w:sz w:val="28"/>
          <w:szCs w:val="28"/>
        </w:rPr>
      </w:r>
    </w:p>
    <w:p>
      <w:pPr>
        <w:pStyle w:val="Normal"/>
        <w:pBdr/>
        <w:ind w:firstLine="708"/>
        <w:rPr>
          <w:rFonts w:ascii="FreeSerif" w:hAnsi="FreeSerif" w:eastAsia="FreeSerif" w:cs="FreeSerif"/>
          <w:bCs/>
          <w:i/>
          <w:i/>
          <w:sz w:val="28"/>
          <w:szCs w:val="28"/>
        </w:rPr>
      </w:pPr>
      <w:r>
        <w:rPr>
          <w:rFonts w:eastAsia="FreeSerif" w:cs="FreeSerif" w:ascii="FreeSerif" w:hAnsi="FreeSerif"/>
          <w:i/>
          <w:iCs/>
          <w:sz w:val="28"/>
          <w:szCs w:val="28"/>
        </w:rPr>
        <w:t>Рекомендация: Используйте для научных данных, измерений, где не требуется абсолютная точность.</w:t>
      </w:r>
    </w:p>
    <w:p>
      <w:pPr>
        <w:pStyle w:val="Normal"/>
        <w:rPr>
          <w:rFonts w:ascii="FreeSerif" w:hAnsi="FreeSerif" w:eastAsia="FreeSerif" w:cs="FreeSerif"/>
          <w:b/>
          <w:bCs/>
          <w:sz w:val="28"/>
          <w:szCs w:val="28"/>
        </w:rPr>
      </w:pPr>
      <w:r>
        <w:rPr>
          <w:rFonts w:eastAsia="FreeSerif" w:cs="FreeSerif" w:ascii="FreeSerif" w:hAnsi="FreeSerif"/>
          <w:b/>
          <w:bCs/>
          <w:sz w:val="28"/>
          <w:szCs w:val="28"/>
        </w:rPr>
      </w:r>
      <w:r>
        <w:br w:type="page"/>
      </w:r>
    </w:p>
    <w:p>
      <w:pPr>
        <w:pStyle w:val="Normal"/>
        <w:pBdr/>
        <w:spacing w:before="0" w:after="200"/>
        <w:jc w:val="center"/>
        <w:rPr>
          <w:rFonts w:ascii="FreeSerif" w:hAnsi="FreeSerif" w:eastAsia="FreeSerif" w:cs="FreeSerif"/>
          <w:b/>
          <w:bCs/>
          <w:sz w:val="28"/>
          <w:szCs w:val="28"/>
        </w:rPr>
      </w:pPr>
      <w:r>
        <w:rPr>
          <w:rFonts w:eastAsia="FreeSerif" w:cs="FreeSerif" w:ascii="FreeSerif" w:hAnsi="FreeSerif"/>
          <w:b/>
          <w:bCs/>
          <w:sz w:val="28"/>
          <w:szCs w:val="28"/>
        </w:rPr>
        <w:t>Символьные строковые типы (String)</w:t>
      </w:r>
    </w:p>
    <w:p>
      <w:pPr>
        <w:pStyle w:val="Normal"/>
        <w:pBdr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sz w:val="28"/>
          <w:szCs w:val="28"/>
        </w:rPr>
        <w:t>Используются для хранения не-Unicode текста.</w:t>
      </w:r>
    </w:p>
    <w:tbl>
      <w:tblPr>
        <w:tblStyle w:val="ae"/>
        <w:tblW w:w="9345" w:type="dxa"/>
        <w:jc w:val="left"/>
        <w:tblInd w:w="0" w:type="dxa"/>
        <w:tblLayout w:type="fixed"/>
        <w:tblCellMar>
          <w:top w:w="150" w:type="dxa"/>
          <w:left w:w="0" w:type="dxa"/>
          <w:bottom w:w="150" w:type="dxa"/>
          <w:right w:w="150" w:type="dxa"/>
        </w:tblCellMar>
        <w:tblLook w:firstRow="1" w:noVBand="1" w:lastRow="0" w:firstColumn="1" w:lastColumn="0" w:noHBand="0" w:val="04a0"/>
      </w:tblPr>
      <w:tblGrid>
        <w:gridCol w:w="2358"/>
        <w:gridCol w:w="1437"/>
        <w:gridCol w:w="1183"/>
        <w:gridCol w:w="4366"/>
      </w:tblGrid>
      <w:tr>
        <w:trPr/>
        <w:tc>
          <w:tcPr>
            <w:tcW w:w="23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Тип данных</w:t>
            </w:r>
          </w:p>
        </w:tc>
        <w:tc>
          <w:tcPr>
            <w:tcW w:w="1437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Макс. длина</w:t>
            </w:r>
          </w:p>
        </w:tc>
        <w:tc>
          <w:tcPr>
            <w:tcW w:w="1183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Память</w:t>
            </w:r>
          </w:p>
        </w:tc>
        <w:tc>
          <w:tcPr>
            <w:tcW w:w="4366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Описание</w:t>
            </w:r>
          </w:p>
        </w:tc>
      </w:tr>
      <w:tr>
        <w:trPr/>
        <w:tc>
          <w:tcPr>
            <w:tcW w:w="23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CHAR(n)</w:t>
            </w:r>
          </w:p>
        </w:tc>
        <w:tc>
          <w:tcPr>
            <w:tcW w:w="1437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8000 символов</w:t>
            </w:r>
          </w:p>
        </w:tc>
        <w:tc>
          <w:tcPr>
            <w:tcW w:w="1183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n байт</w:t>
            </w:r>
          </w:p>
        </w:tc>
        <w:tc>
          <w:tcPr>
            <w:tcW w:w="4366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Хранит строку фиксированной длины. Заполняет оставшееся пространство пробелами. Подходит для данных постоянной длины (коды, почтовые индексы, флаги).</w:t>
            </w:r>
          </w:p>
        </w:tc>
      </w:tr>
      <w:tr>
        <w:trPr/>
        <w:tc>
          <w:tcPr>
            <w:tcW w:w="23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lang w:val="en-US" w:eastAsia="en-US" w:bidi="ar-SA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en-US" w:eastAsia="en-US" w:bidi="ar-SA"/>
              </w:rPr>
              <w:t>12</w:t>
            </w:r>
          </w:p>
        </w:tc>
        <w:tc>
          <w:tcPr>
            <w:tcW w:w="1437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8000 символов</w:t>
            </w:r>
          </w:p>
        </w:tc>
        <w:tc>
          <w:tcPr>
            <w:tcW w:w="1183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L + 2 байта</w:t>
            </w:r>
          </w:p>
        </w:tc>
        <w:tc>
          <w:tcPr>
            <w:tcW w:w="4366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Хранит строку переменной длины. Экономит место. Подходит для большинства текстовых данных (имена, описания).</w:t>
            </w:r>
          </w:p>
        </w:tc>
      </w:tr>
      <w:tr>
        <w:trPr/>
        <w:tc>
          <w:tcPr>
            <w:tcW w:w="23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VARCHAR(MAX)</w:t>
            </w:r>
          </w:p>
        </w:tc>
        <w:tc>
          <w:tcPr>
            <w:tcW w:w="1437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2^31-1 символов (2 ГБ)</w:t>
            </w:r>
          </w:p>
        </w:tc>
        <w:tc>
          <w:tcPr>
            <w:tcW w:w="1183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L + 2 байта</w:t>
            </w:r>
          </w:p>
        </w:tc>
        <w:tc>
          <w:tcPr>
            <w:tcW w:w="4366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Для хранения очень больших текстов. Заменяет устаревший TEXT.</w:t>
            </w:r>
          </w:p>
        </w:tc>
      </w:tr>
    </w:tbl>
    <w:p>
      <w:pPr>
        <w:pStyle w:val="Normal"/>
        <w:pBdr/>
        <w:rPr>
          <w:rFonts w:ascii="FreeSerif" w:hAnsi="FreeSerif" w:eastAsia="FreeSerif" w:cs="FreeSerif"/>
          <w:bCs/>
          <w:i/>
          <w:i/>
          <w:sz w:val="28"/>
          <w:szCs w:val="28"/>
        </w:rPr>
      </w:pPr>
      <w:r>
        <w:rPr>
          <w:rFonts w:eastAsia="FreeSerif" w:cs="FreeSerif" w:ascii="FreeSerif" w:hAnsi="FreeSerif"/>
          <w:bCs/>
          <w:i/>
          <w:sz w:val="28"/>
          <w:szCs w:val="28"/>
        </w:rPr>
      </w:r>
    </w:p>
    <w:p>
      <w:pPr>
        <w:pStyle w:val="Normal"/>
        <w:pBdr/>
        <w:rPr>
          <w:rFonts w:ascii="FreeSerif" w:hAnsi="FreeSerif" w:eastAsia="FreeSerif" w:cs="FreeSerif"/>
          <w:bCs/>
          <w:i/>
          <w:i/>
          <w:sz w:val="28"/>
          <w:szCs w:val="28"/>
        </w:rPr>
      </w:pPr>
      <w:r>
        <w:rPr>
          <w:rFonts w:eastAsia="FreeSerif" w:cs="FreeSerif" w:ascii="FreeSerif" w:hAnsi="FreeSerif"/>
          <w:i/>
          <w:iCs/>
          <w:sz w:val="28"/>
          <w:szCs w:val="28"/>
        </w:rPr>
        <w:t>Рекомендация: Всегда используйте VARCHAR вместо CHAR, если длина данных может меняться. CHAR эффективнее только для строго фиксированной длины</w:t>
      </w:r>
    </w:p>
    <w:p>
      <w:pPr>
        <w:pStyle w:val="Normal"/>
        <w:rPr>
          <w:rFonts w:ascii="FreeSerif" w:hAnsi="FreeSerif" w:eastAsia="FreeSerif" w:cs="FreeSerif"/>
          <w:bCs/>
          <w:i/>
          <w:i/>
          <w:sz w:val="28"/>
          <w:szCs w:val="28"/>
        </w:rPr>
      </w:pPr>
      <w:r>
        <w:rPr>
          <w:rFonts w:eastAsia="FreeSerif" w:cs="FreeSerif" w:ascii="FreeSerif" w:hAnsi="FreeSerif"/>
          <w:bCs/>
          <w:i/>
          <w:sz w:val="28"/>
          <w:szCs w:val="28"/>
        </w:rPr>
      </w:r>
      <w:r>
        <w:br w:type="page"/>
      </w:r>
    </w:p>
    <w:p>
      <w:pPr>
        <w:pStyle w:val="Normal"/>
        <w:pBdr/>
        <w:spacing w:before="0" w:after="200"/>
        <w:jc w:val="center"/>
        <w:rPr>
          <w:rFonts w:ascii="FreeSerif" w:hAnsi="FreeSerif" w:eastAsia="FreeSerif" w:cs="FreeSerif"/>
          <w:b/>
          <w:bCs/>
          <w:sz w:val="28"/>
          <w:szCs w:val="28"/>
        </w:rPr>
      </w:pPr>
      <w:r>
        <w:rPr>
          <w:rFonts w:eastAsia="FreeSerif" w:cs="FreeSerif" w:ascii="FreeSerif" w:hAnsi="FreeSerif"/>
          <w:b/>
          <w:bCs/>
          <w:sz w:val="28"/>
          <w:szCs w:val="28"/>
        </w:rPr>
        <w:t>Символьные Unicode-типы (NString)</w:t>
      </w:r>
    </w:p>
    <w:p>
      <w:pPr>
        <w:pStyle w:val="Normal"/>
        <w:pBdr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sz w:val="28"/>
          <w:szCs w:val="28"/>
        </w:rPr>
        <w:t>Аналогичны обычным строковым типам, но используют по 2 байта на символ для поддержки любого языка мира (кириллица, иероглифы и т.д.). Имена начинаются с N.</w:t>
      </w:r>
    </w:p>
    <w:tbl>
      <w:tblPr>
        <w:tblStyle w:val="ae"/>
        <w:tblW w:w="9345" w:type="dxa"/>
        <w:jc w:val="left"/>
        <w:tblInd w:w="0" w:type="dxa"/>
        <w:tblLayout w:type="fixed"/>
        <w:tblCellMar>
          <w:top w:w="150" w:type="dxa"/>
          <w:left w:w="0" w:type="dxa"/>
          <w:bottom w:w="150" w:type="dxa"/>
          <w:right w:w="150" w:type="dxa"/>
        </w:tblCellMar>
        <w:tblLook w:firstRow="1" w:noVBand="1" w:lastRow="0" w:firstColumn="1" w:lastColumn="0" w:noHBand="0" w:val="04a0"/>
      </w:tblPr>
      <w:tblGrid>
        <w:gridCol w:w="2562"/>
        <w:gridCol w:w="1435"/>
        <w:gridCol w:w="1183"/>
        <w:gridCol w:w="4164"/>
      </w:tblGrid>
      <w:tr>
        <w:trPr/>
        <w:tc>
          <w:tcPr>
            <w:tcW w:w="2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Тип данных</w:t>
            </w:r>
          </w:p>
        </w:tc>
        <w:tc>
          <w:tcPr>
            <w:tcW w:w="1435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Макс. длина</w:t>
            </w:r>
          </w:p>
        </w:tc>
        <w:tc>
          <w:tcPr>
            <w:tcW w:w="1183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Память</w:t>
            </w:r>
          </w:p>
        </w:tc>
        <w:tc>
          <w:tcPr>
            <w:tcW w:w="4164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Описание</w:t>
            </w:r>
          </w:p>
        </w:tc>
      </w:tr>
      <w:tr>
        <w:trPr/>
        <w:tc>
          <w:tcPr>
            <w:tcW w:w="2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NCHAR(n)</w:t>
            </w:r>
          </w:p>
        </w:tc>
        <w:tc>
          <w:tcPr>
            <w:tcW w:w="1435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4000 символов</w:t>
            </w:r>
          </w:p>
        </w:tc>
        <w:tc>
          <w:tcPr>
            <w:tcW w:w="1183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n * 2 байта</w:t>
            </w:r>
          </w:p>
        </w:tc>
        <w:tc>
          <w:tcPr>
            <w:tcW w:w="4164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Unicode аналог CHAR.</w:t>
            </w:r>
          </w:p>
        </w:tc>
      </w:tr>
      <w:tr>
        <w:trPr/>
        <w:tc>
          <w:tcPr>
            <w:tcW w:w="2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NVARCHAR(n)</w:t>
            </w:r>
          </w:p>
        </w:tc>
        <w:tc>
          <w:tcPr>
            <w:tcW w:w="1435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4000 символов</w:t>
            </w:r>
          </w:p>
        </w:tc>
        <w:tc>
          <w:tcPr>
            <w:tcW w:w="1183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L * 2 + 2 байта</w:t>
            </w:r>
          </w:p>
        </w:tc>
        <w:tc>
          <w:tcPr>
            <w:tcW w:w="4164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Unicode аналог VARCHAR. Наиболее частый выбор для текста в интернациональных приложениях.</w:t>
            </w:r>
          </w:p>
        </w:tc>
      </w:tr>
      <w:tr>
        <w:trPr/>
        <w:tc>
          <w:tcPr>
            <w:tcW w:w="2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NVARCHAR(MAX)</w:t>
            </w:r>
          </w:p>
        </w:tc>
        <w:tc>
          <w:tcPr>
            <w:tcW w:w="1435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2^30-1 символов (1 ГБ)</w:t>
            </w:r>
          </w:p>
        </w:tc>
        <w:tc>
          <w:tcPr>
            <w:tcW w:w="1183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L * 2 + 2 байта</w:t>
            </w:r>
          </w:p>
        </w:tc>
        <w:tc>
          <w:tcPr>
            <w:tcW w:w="4164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Unicode аналог VARCHAR(MAX).</w:t>
            </w:r>
          </w:p>
        </w:tc>
      </w:tr>
    </w:tbl>
    <w:p>
      <w:pPr>
        <w:pStyle w:val="Normal"/>
        <w:pBdr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sz w:val="28"/>
          <w:szCs w:val="28"/>
        </w:rPr>
      </w:r>
    </w:p>
    <w:p>
      <w:pPr>
        <w:pStyle w:val="Normal"/>
        <w:pBdr/>
        <w:rPr>
          <w:rFonts w:ascii="FreeSerif" w:hAnsi="FreeSerif" w:eastAsia="FreeSerif" w:cs="FreeSerif"/>
          <w:bCs/>
          <w:i/>
          <w:i/>
          <w:sz w:val="28"/>
          <w:szCs w:val="28"/>
        </w:rPr>
      </w:pPr>
      <w:r>
        <w:rPr>
          <w:rFonts w:eastAsia="FreeSerif" w:cs="FreeSerif" w:ascii="FreeSerif" w:hAnsi="FreeSerif"/>
          <w:i/>
          <w:iCs/>
          <w:sz w:val="28"/>
          <w:szCs w:val="28"/>
        </w:rPr>
        <w:t>Рекомендация: Если вам нужна поддержка любых языков (включая русский), всегда используйте NVARCHAR. Помните, что NCHAR(10) займет 20 байт, даже если хранит всего 1 символ.</w:t>
      </w:r>
    </w:p>
    <w:p>
      <w:pPr>
        <w:pStyle w:val="Normal"/>
        <w:rPr>
          <w:rFonts w:ascii="FreeSerif" w:hAnsi="FreeSerif" w:eastAsia="FreeSerif" w:cs="FreeSerif"/>
          <w:bCs/>
          <w:i/>
          <w:i/>
          <w:sz w:val="28"/>
          <w:szCs w:val="28"/>
        </w:rPr>
      </w:pPr>
      <w:r>
        <w:rPr>
          <w:rFonts w:eastAsia="FreeSerif" w:cs="FreeSerif" w:ascii="FreeSerif" w:hAnsi="FreeSerif"/>
          <w:bCs/>
          <w:i/>
          <w:sz w:val="28"/>
          <w:szCs w:val="28"/>
        </w:rPr>
      </w:r>
      <w:r>
        <w:br w:type="page"/>
      </w:r>
    </w:p>
    <w:p>
      <w:pPr>
        <w:pStyle w:val="Normal"/>
        <w:pBdr/>
        <w:spacing w:before="0" w:after="200"/>
        <w:jc w:val="center"/>
        <w:rPr>
          <w:rFonts w:ascii="FreeSerif" w:hAnsi="FreeSerif" w:eastAsia="FreeSerif" w:cs="FreeSerif"/>
          <w:b/>
          <w:bCs/>
          <w:sz w:val="28"/>
          <w:szCs w:val="28"/>
        </w:rPr>
      </w:pPr>
      <w:r>
        <w:rPr>
          <w:rFonts w:eastAsia="FreeSerif" w:cs="FreeSerif" w:ascii="FreeSerif" w:hAnsi="FreeSerif"/>
          <w:b/>
          <w:bCs/>
          <w:sz w:val="28"/>
          <w:szCs w:val="28"/>
        </w:rPr>
        <w:t>Типы даты и времени</w:t>
      </w:r>
    </w:p>
    <w:tbl>
      <w:tblPr>
        <w:tblStyle w:val="ae"/>
        <w:tblW w:w="9345" w:type="dxa"/>
        <w:jc w:val="left"/>
        <w:tblInd w:w="0" w:type="dxa"/>
        <w:tblLayout w:type="fixed"/>
        <w:tblCellMar>
          <w:top w:w="150" w:type="dxa"/>
          <w:left w:w="0" w:type="dxa"/>
          <w:bottom w:w="150" w:type="dxa"/>
          <w:right w:w="150" w:type="dxa"/>
        </w:tblCellMar>
        <w:tblLook w:firstRow="1" w:noVBand="1" w:lastRow="0" w:firstColumn="1" w:lastColumn="0" w:noHBand="0" w:val="04a0"/>
      </w:tblPr>
      <w:tblGrid>
        <w:gridCol w:w="2500"/>
        <w:gridCol w:w="1268"/>
        <w:gridCol w:w="1473"/>
        <w:gridCol w:w="1050"/>
        <w:gridCol w:w="3054"/>
      </w:tblGrid>
      <w:tr>
        <w:trPr/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Тип данных</w:t>
            </w:r>
          </w:p>
        </w:tc>
        <w:tc>
          <w:tcPr>
            <w:tcW w:w="1268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Диапазон дат</w:t>
            </w:r>
          </w:p>
        </w:tc>
        <w:tc>
          <w:tcPr>
            <w:tcW w:w="1473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Точность</w:t>
            </w:r>
          </w:p>
        </w:tc>
        <w:tc>
          <w:tcPr>
            <w:tcW w:w="1050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Память</w:t>
            </w:r>
          </w:p>
        </w:tc>
        <w:tc>
          <w:tcPr>
            <w:tcW w:w="3054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Описание</w:t>
            </w:r>
          </w:p>
        </w:tc>
      </w:tr>
      <w:tr>
        <w:trPr/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DATE</w:t>
            </w:r>
          </w:p>
        </w:tc>
        <w:tc>
          <w:tcPr>
            <w:tcW w:w="1268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0001-01-01 до 9999-12-31</w:t>
            </w:r>
          </w:p>
        </w:tc>
        <w:tc>
          <w:tcPr>
            <w:tcW w:w="1473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1 день</w:t>
            </w:r>
          </w:p>
        </w:tc>
        <w:tc>
          <w:tcPr>
            <w:tcW w:w="1050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3 байта</w:t>
            </w:r>
          </w:p>
        </w:tc>
        <w:tc>
          <w:tcPr>
            <w:tcW w:w="3054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Хранит только дату (без времени).</w:t>
            </w:r>
          </w:p>
        </w:tc>
      </w:tr>
      <w:tr>
        <w:trPr/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TIME(n)</w:t>
            </w:r>
          </w:p>
        </w:tc>
        <w:tc>
          <w:tcPr>
            <w:tcW w:w="1268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--</w:t>
            </w:r>
          </w:p>
        </w:tc>
        <w:tc>
          <w:tcPr>
            <w:tcW w:w="1473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100 наносекунд</w:t>
            </w:r>
          </w:p>
        </w:tc>
        <w:tc>
          <w:tcPr>
            <w:tcW w:w="1050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3-5 байт</w:t>
            </w:r>
          </w:p>
        </w:tc>
        <w:tc>
          <w:tcPr>
            <w:tcW w:w="3054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Хранит только время (без даты). n — дробная точность (цифры после запятой у секунд).</w:t>
            </w:r>
          </w:p>
        </w:tc>
      </w:tr>
      <w:tr>
        <w:trPr/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SMALLDATETIME</w:t>
            </w:r>
          </w:p>
        </w:tc>
        <w:tc>
          <w:tcPr>
            <w:tcW w:w="1268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1900-01-01 до 2079-06-06</w:t>
            </w:r>
          </w:p>
        </w:tc>
        <w:tc>
          <w:tcPr>
            <w:tcW w:w="1473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1 минута</w:t>
            </w:r>
          </w:p>
        </w:tc>
        <w:tc>
          <w:tcPr>
            <w:tcW w:w="1050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4 байта</w:t>
            </w:r>
          </w:p>
        </w:tc>
        <w:tc>
          <w:tcPr>
            <w:tcW w:w="3054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Устаревает. Хранит дату и время с точностью до минуты.</w:t>
            </w:r>
          </w:p>
        </w:tc>
      </w:tr>
      <w:tr>
        <w:trPr/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DATETIME</w:t>
            </w:r>
          </w:p>
        </w:tc>
        <w:tc>
          <w:tcPr>
            <w:tcW w:w="1268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1753-01-01 до 9999-12-31</w:t>
            </w:r>
          </w:p>
        </w:tc>
        <w:tc>
          <w:tcPr>
            <w:tcW w:w="1473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3.33 мс</w:t>
            </w:r>
          </w:p>
        </w:tc>
        <w:tc>
          <w:tcPr>
            <w:tcW w:w="1050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8 байт</w:t>
            </w:r>
          </w:p>
        </w:tc>
        <w:tc>
          <w:tcPr>
            <w:tcW w:w="3054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Устаревает. Используйте DATETIME2.</w:t>
            </w:r>
          </w:p>
        </w:tc>
      </w:tr>
      <w:tr>
        <w:trPr/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DATETIME2(n)</w:t>
            </w:r>
          </w:p>
        </w:tc>
        <w:tc>
          <w:tcPr>
            <w:tcW w:w="1268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0001-01-01 до 9999-12-31</w:t>
            </w:r>
          </w:p>
        </w:tc>
        <w:tc>
          <w:tcPr>
            <w:tcW w:w="1473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100 наносекунд</w:t>
            </w:r>
          </w:p>
        </w:tc>
        <w:tc>
          <w:tcPr>
            <w:tcW w:w="1050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6-8 байт</w:t>
            </w:r>
          </w:p>
        </w:tc>
        <w:tc>
          <w:tcPr>
            <w:tcW w:w="3054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Рекомендуемый тип для хранения даты и времени. Более широкий диапазон и высокая точность.</w:t>
            </w:r>
          </w:p>
        </w:tc>
      </w:tr>
      <w:tr>
        <w:trPr/>
        <w:tc>
          <w:tcPr>
            <w:tcW w:w="25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DATETIMEOFFSET(n)</w:t>
            </w:r>
          </w:p>
        </w:tc>
        <w:tc>
          <w:tcPr>
            <w:tcW w:w="1268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--</w:t>
            </w:r>
          </w:p>
        </w:tc>
        <w:tc>
          <w:tcPr>
            <w:tcW w:w="1473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100 наносекунд</w:t>
            </w:r>
          </w:p>
        </w:tc>
        <w:tc>
          <w:tcPr>
            <w:tcW w:w="1050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8-10 байт</w:t>
            </w:r>
          </w:p>
        </w:tc>
        <w:tc>
          <w:tcPr>
            <w:tcW w:w="3054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Как DATETIME2, но содержит информацию о часовом поясе. Незаменим для глобальных приложений.</w:t>
            </w:r>
          </w:p>
        </w:tc>
      </w:tr>
    </w:tbl>
    <w:p>
      <w:pPr>
        <w:pStyle w:val="Normal"/>
        <w:pBdr/>
        <w:rPr>
          <w:rFonts w:ascii="FreeSerif" w:hAnsi="FreeSerif" w:eastAsia="FreeSerif" w:cs="FreeSerif"/>
          <w:bCs/>
          <w:i/>
          <w:i/>
          <w:sz w:val="28"/>
          <w:szCs w:val="28"/>
        </w:rPr>
      </w:pPr>
      <w:r>
        <w:rPr>
          <w:rFonts w:eastAsia="FreeSerif" w:cs="FreeSerif" w:ascii="FreeSerif" w:hAnsi="FreeSerif"/>
          <w:bCs/>
          <w:i/>
          <w:sz w:val="28"/>
          <w:szCs w:val="28"/>
        </w:rPr>
      </w:r>
      <w:r>
        <w:br w:type="page"/>
      </w:r>
    </w:p>
    <w:p>
      <w:pPr>
        <w:pStyle w:val="Normal"/>
        <w:spacing w:before="0" w:after="200"/>
        <w:jc w:val="center"/>
        <w:rPr>
          <w:rFonts w:ascii="FreeSerif" w:hAnsi="FreeSerif" w:eastAsia="FreeSerif" w:cs="FreeSerif"/>
          <w:bCs/>
          <w:i/>
          <w:i/>
          <w:sz w:val="28"/>
          <w:szCs w:val="28"/>
        </w:rPr>
      </w:pPr>
      <w:r>
        <w:rPr>
          <w:rFonts w:eastAsia="FreeSerif" w:cs="FreeSerif" w:ascii="FreeSerif" w:hAnsi="FreeSerif"/>
          <w:b/>
          <w:bCs/>
          <w:sz w:val="28"/>
          <w:szCs w:val="28"/>
        </w:rPr>
        <w:t>Двоичные типы данных (Binary)</w:t>
      </w:r>
    </w:p>
    <w:p>
      <w:pPr>
        <w:pStyle w:val="Normal"/>
        <w:pBdr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sz w:val="28"/>
          <w:szCs w:val="28"/>
        </w:rPr>
        <w:t>Для хранения неструктурированных данных в двоичном формате (например, файлы, изображения).</w:t>
      </w:r>
    </w:p>
    <w:tbl>
      <w:tblPr>
        <w:tblStyle w:val="ae"/>
        <w:tblW w:w="9345" w:type="dxa"/>
        <w:jc w:val="left"/>
        <w:tblInd w:w="0" w:type="dxa"/>
        <w:tblLayout w:type="fixed"/>
        <w:tblCellMar>
          <w:top w:w="150" w:type="dxa"/>
          <w:left w:w="0" w:type="dxa"/>
          <w:bottom w:w="150" w:type="dxa"/>
          <w:right w:w="150" w:type="dxa"/>
        </w:tblCellMar>
        <w:tblLook w:firstRow="1" w:noVBand="1" w:lastRow="0" w:firstColumn="1" w:lastColumn="0" w:noHBand="0" w:val="04a0"/>
      </w:tblPr>
      <w:tblGrid>
        <w:gridCol w:w="2654"/>
        <w:gridCol w:w="1313"/>
        <w:gridCol w:w="5378"/>
      </w:tblGrid>
      <w:tr>
        <w:trPr/>
        <w:tc>
          <w:tcPr>
            <w:tcW w:w="26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Тип данных</w:t>
            </w:r>
          </w:p>
        </w:tc>
        <w:tc>
          <w:tcPr>
            <w:tcW w:w="1313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Макс. длина</w:t>
            </w:r>
          </w:p>
        </w:tc>
        <w:tc>
          <w:tcPr>
            <w:tcW w:w="5378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Описание</w:t>
            </w:r>
          </w:p>
        </w:tc>
      </w:tr>
      <w:tr>
        <w:trPr/>
        <w:tc>
          <w:tcPr>
            <w:tcW w:w="26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BINARY(n)</w:t>
            </w:r>
          </w:p>
        </w:tc>
        <w:tc>
          <w:tcPr>
            <w:tcW w:w="1313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8000 байт</w:t>
            </w:r>
          </w:p>
        </w:tc>
        <w:tc>
          <w:tcPr>
            <w:tcW w:w="5378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Данные фиксированной длины.</w:t>
            </w:r>
          </w:p>
        </w:tc>
      </w:tr>
      <w:tr>
        <w:trPr/>
        <w:tc>
          <w:tcPr>
            <w:tcW w:w="26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VARBINARY(n)</w:t>
            </w:r>
          </w:p>
        </w:tc>
        <w:tc>
          <w:tcPr>
            <w:tcW w:w="1313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8000 байт</w:t>
            </w:r>
          </w:p>
        </w:tc>
        <w:tc>
          <w:tcPr>
            <w:tcW w:w="5378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Данные переменной длины.</w:t>
            </w:r>
          </w:p>
        </w:tc>
      </w:tr>
      <w:tr>
        <w:trPr/>
        <w:tc>
          <w:tcPr>
            <w:tcW w:w="26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VARBINARY(MAX)</w:t>
            </w:r>
          </w:p>
        </w:tc>
        <w:tc>
          <w:tcPr>
            <w:tcW w:w="1313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2^31-1 байт (2 ГБ)</w:t>
            </w:r>
          </w:p>
        </w:tc>
        <w:tc>
          <w:tcPr>
            <w:tcW w:w="5378" w:type="dxa"/>
            <w:tcBorders/>
            <w:tcMar>
              <w:left w:w="15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FreeSerif" w:hAnsi="FreeSerif" w:eastAsia="FreeSerif" w:cs="FreeSerif"/>
                <w:sz w:val="28"/>
                <w:szCs w:val="28"/>
              </w:rPr>
            </w:pPr>
            <w:r>
              <w:rPr>
                <w:rFonts w:eastAsia="FreeSerif" w:cs="FreeSerif" w:ascii="FreeSerif" w:hAnsi="FreeSerif"/>
                <w:kern w:val="0"/>
                <w:sz w:val="28"/>
                <w:szCs w:val="28"/>
                <w:lang w:val="ru-RU" w:eastAsia="en-US" w:bidi="ar-SA"/>
              </w:rPr>
              <w:t>Для хранения больших двоичных объектов (BLOB). Заменяет устаревший IMAGE.</w:t>
            </w:r>
          </w:p>
        </w:tc>
      </w:tr>
    </w:tbl>
    <w:p>
      <w:pPr>
        <w:pStyle w:val="Normal"/>
        <w:pBdr/>
        <w:rPr>
          <w:rFonts w:ascii="FreeSerif" w:hAnsi="FreeSerif" w:eastAsia="FreeSerif" w:cs="FreeSerif"/>
          <w:bCs/>
          <w:i/>
          <w:i/>
          <w:sz w:val="28"/>
          <w:szCs w:val="28"/>
        </w:rPr>
      </w:pPr>
      <w:r>
        <w:rPr>
          <w:rFonts w:eastAsia="FreeSerif" w:cs="FreeSerif" w:ascii="FreeSerif" w:hAnsi="FreeSerif"/>
          <w:bCs/>
          <w:i/>
          <w:sz w:val="28"/>
          <w:szCs w:val="28"/>
        </w:rPr>
      </w:r>
    </w:p>
    <w:p>
      <w:pPr>
        <w:pStyle w:val="Normal"/>
        <w:pBdr/>
        <w:rPr>
          <w:rFonts w:ascii="FreeSerif" w:hAnsi="FreeSerif" w:eastAsia="FreeSerif" w:cs="FreeSerif"/>
          <w:bCs/>
          <w:i/>
          <w:i/>
          <w:sz w:val="28"/>
          <w:szCs w:val="28"/>
        </w:rPr>
      </w:pPr>
      <w:r>
        <w:rPr>
          <w:rFonts w:eastAsia="FreeSerif" w:cs="FreeSerif" w:ascii="FreeSerif" w:hAnsi="FreeSerif"/>
          <w:i/>
          <w:iCs/>
          <w:sz w:val="28"/>
          <w:szCs w:val="28"/>
        </w:rPr>
        <w:t>Рекомендация: Часто лучше хранить файлы в файловой системе, а в базе данных держать только путь к ним. Но если нужно хранить в БД — используйте VARBINARY(MAX).</w:t>
      </w:r>
    </w:p>
    <w:p>
      <w:pPr>
        <w:pStyle w:val="Normal"/>
        <w:pBdr/>
        <w:rPr>
          <w:rFonts w:ascii="FreeSerif" w:hAnsi="FreeSerif" w:eastAsia="FreeSerif" w:cs="FreeSerif"/>
          <w:bCs/>
          <w:i/>
          <w:i/>
          <w:sz w:val="28"/>
          <w:szCs w:val="28"/>
        </w:rPr>
      </w:pPr>
      <w:r>
        <w:rPr>
          <w:rFonts w:eastAsia="FreeSerif" w:cs="FreeSerif" w:ascii="FreeSerif" w:hAnsi="FreeSerif"/>
          <w:bCs/>
          <w:i/>
          <w:sz w:val="28"/>
          <w:szCs w:val="28"/>
        </w:rPr>
      </w:r>
    </w:p>
    <w:p>
      <w:pPr>
        <w:pStyle w:val="Normal"/>
        <w:pBdr/>
        <w:rPr>
          <w:rFonts w:ascii="FreeSerif" w:hAnsi="FreeSerif" w:eastAsia="FreeSerif" w:cs="FreeSerif"/>
          <w:bCs/>
          <w:i/>
          <w:i/>
          <w:sz w:val="28"/>
          <w:szCs w:val="28"/>
        </w:rPr>
      </w:pPr>
      <w:r>
        <w:rPr>
          <w:rFonts w:eastAsia="FreeSerif" w:cs="FreeSerif" w:ascii="FreeSerif" w:hAnsi="FreeSerif"/>
          <w:bCs/>
          <w:i/>
          <w:sz w:val="28"/>
          <w:szCs w:val="28"/>
        </w:rPr>
      </w:r>
    </w:p>
    <w:p>
      <w:pPr>
        <w:pStyle w:val="Normal"/>
        <w:jc w:val="center"/>
        <w:rPr>
          <w:rFonts w:ascii="FreeSerif" w:hAnsi="FreeSerif" w:eastAsia="FreeSerif" w:cs="FreeSerif"/>
          <w:b/>
          <w:bCs/>
          <w:sz w:val="28"/>
          <w:szCs w:val="28"/>
        </w:rPr>
      </w:pPr>
      <w:r>
        <w:rPr>
          <w:rFonts w:eastAsia="FreeSerif" w:cs="FreeSerif" w:ascii="FreeSerif" w:hAnsi="FreeSerif"/>
          <w:b/>
          <w:bCs/>
          <w:sz w:val="28"/>
          <w:szCs w:val="28"/>
        </w:rPr>
        <w:t>Ключевые принципы выбора типа данных</w:t>
      </w:r>
    </w:p>
    <w:p>
      <w:pPr>
        <w:pStyle w:val="Normal"/>
        <w:pBdr/>
        <w:ind w:firstLine="709"/>
        <w:jc w:val="both"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sz w:val="28"/>
          <w:szCs w:val="28"/>
        </w:rPr>
        <w:t>Принцип наименьшей достаточности: Выбирайте самый маленький тип, который подходит для ваших данных. SMALLINT лучше INT, если чисел больше 32 тысяч не будет. Это экономит память и ускоряет работу.</w:t>
      </w:r>
    </w:p>
    <w:p>
      <w:pPr>
        <w:pStyle w:val="Normal"/>
        <w:pBdr/>
        <w:ind w:firstLine="709"/>
        <w:jc w:val="both"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sz w:val="28"/>
          <w:szCs w:val="28"/>
        </w:rPr>
        <w:t>Вопрос денег: Для финансовых расчетов используйте DECIMAL с нужной точностью. Избегайте FLOAT и REAL.</w:t>
      </w:r>
    </w:p>
    <w:p>
      <w:pPr>
        <w:pStyle w:val="Normal"/>
        <w:pBdr/>
        <w:ind w:firstLine="709"/>
        <w:jc w:val="both"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sz w:val="28"/>
          <w:szCs w:val="28"/>
        </w:rPr>
        <w:t>Вопрос текста: Для текста на английском языке хватит VARCHAR. Для интернациональных проектов — NVARCHAR.</w:t>
      </w:r>
    </w:p>
    <w:p>
      <w:pPr>
        <w:pStyle w:val="Normal"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sz w:val="28"/>
          <w:szCs w:val="28"/>
        </w:rPr>
      </w:r>
      <w:r>
        <w:br w:type="page"/>
      </w:r>
    </w:p>
    <w:p>
      <w:pPr>
        <w:pStyle w:val="Normal"/>
        <w:spacing w:before="0" w:after="200"/>
        <w:ind w:firstLine="709"/>
        <w:jc w:val="right"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sz w:val="28"/>
          <w:szCs w:val="28"/>
        </w:rPr>
        <w:t>Приложение 2 – Ограничения к атрибутам в SQL Server</w:t>
      </w:r>
    </w:p>
    <w:p>
      <w:pPr>
        <w:pStyle w:val="Normal"/>
        <w:ind w:firstLine="708"/>
        <w:rPr>
          <w:rFonts w:ascii="FreeSerif" w:hAnsi="FreeSerif" w:eastAsia="FreeSerif" w:cs="FreeSerif"/>
          <w:b/>
          <w:sz w:val="28"/>
          <w:szCs w:val="28"/>
        </w:rPr>
      </w:pPr>
      <w:r>
        <w:rPr>
          <w:rFonts w:eastAsia="FreeSerif" w:cs="FreeSerif" w:ascii="FreeSerif" w:hAnsi="FreeSerif"/>
          <w:b/>
          <w:sz w:val="28"/>
          <w:szCs w:val="28"/>
        </w:rPr>
      </w:r>
    </w:p>
    <w:p>
      <w:pPr>
        <w:pStyle w:val="Normal"/>
        <w:ind w:firstLine="708"/>
        <w:rPr>
          <w:rFonts w:ascii="FreeSerif" w:hAnsi="FreeSerif" w:eastAsia="FreeSerif" w:cs="FreeSerif"/>
          <w:b/>
          <w:sz w:val="28"/>
          <w:szCs w:val="28"/>
        </w:rPr>
      </w:pPr>
      <w:r>
        <w:rPr>
          <w:rFonts w:eastAsia="FreeSerif" w:cs="FreeSerif" w:ascii="FreeSerif" w:hAnsi="FreeSerif"/>
          <w:b/>
          <w:bCs/>
          <w:sz w:val="28"/>
          <w:szCs w:val="28"/>
        </w:rPr>
        <w:t>Ограничение первичного ключа (PRIMARY KEY)</w:t>
      </w:r>
    </w:p>
    <w:p>
      <w:pPr>
        <w:pStyle w:val="Normal"/>
        <w:ind w:firstLine="708"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b/>
          <w:bCs/>
          <w:sz w:val="28"/>
          <w:szCs w:val="28"/>
        </w:rPr>
        <w:t>Назначение</w:t>
      </w:r>
      <w:r>
        <w:rPr>
          <w:rFonts w:eastAsia="FreeSerif" w:cs="FreeSerif" w:ascii="FreeSerif" w:hAnsi="FreeSerif"/>
          <w:sz w:val="28"/>
          <w:szCs w:val="28"/>
        </w:rPr>
        <w:t>: Однозначно идентифицирует каждую строку в таблице. Столбец с PRIMARY KEY не может содержать NULL значения и дубликаты.</w:t>
      </w:r>
    </w:p>
    <w:p>
      <w:pPr>
        <w:pStyle w:val="Normal"/>
        <w:ind w:firstLine="708"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b/>
          <w:bCs/>
          <w:sz w:val="28"/>
          <w:szCs w:val="28"/>
        </w:rPr>
        <w:t>Особенности</w:t>
      </w:r>
      <w:r>
        <w:rPr>
          <w:rFonts w:eastAsia="FreeSerif" w:cs="FreeSerif" w:ascii="FreeSerif" w:hAnsi="FreeSerif"/>
          <w:sz w:val="28"/>
          <w:szCs w:val="28"/>
        </w:rPr>
        <w:t>: В таблице может быть только один первичный ключ.</w:t>
      </w:r>
    </w:p>
    <w:p>
      <w:pPr>
        <w:pStyle w:val="Normal"/>
        <w:ind w:firstLine="708"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sz w:val="28"/>
          <w:szCs w:val="28"/>
        </w:rPr>
        <w:t>Первичный ключ может состоять из одного столбца (Простой ключ) или из нескольких (Составной ключ).</w:t>
      </w:r>
    </w:p>
    <w:p>
      <w:pPr>
        <w:pStyle w:val="Normal"/>
        <w:ind w:firstLine="708"/>
        <w:rPr>
          <w:rFonts w:ascii="FreeSerif" w:hAnsi="FreeSerif" w:eastAsia="FreeSerif" w:cs="FreeSerif"/>
          <w:b/>
          <w:sz w:val="28"/>
          <w:szCs w:val="28"/>
        </w:rPr>
      </w:pPr>
      <w:r>
        <w:rPr>
          <w:rFonts w:eastAsia="FreeSerif" w:cs="FreeSerif" w:ascii="FreeSerif" w:hAnsi="FreeSerif"/>
          <w:b/>
          <w:sz w:val="28"/>
          <w:szCs w:val="28"/>
        </w:rPr>
      </w:r>
    </w:p>
    <w:p>
      <w:pPr>
        <w:pStyle w:val="Normal"/>
        <w:ind w:firstLine="708"/>
        <w:rPr>
          <w:rFonts w:ascii="FreeSerif" w:hAnsi="FreeSerif" w:eastAsia="FreeSerif" w:cs="FreeSerif"/>
          <w:b/>
          <w:sz w:val="28"/>
          <w:szCs w:val="28"/>
        </w:rPr>
      </w:pPr>
      <w:r>
        <w:rPr>
          <w:rFonts w:eastAsia="FreeSerif" w:cs="FreeSerif" w:ascii="FreeSerif" w:hAnsi="FreeSerif"/>
          <w:b/>
          <w:bCs/>
          <w:sz w:val="28"/>
          <w:szCs w:val="28"/>
        </w:rPr>
        <w:t>Ограничение уникальности (UNIQUE)</w:t>
      </w:r>
    </w:p>
    <w:p>
      <w:pPr>
        <w:pStyle w:val="Normal"/>
        <w:ind w:firstLine="708"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b/>
          <w:bCs/>
          <w:sz w:val="28"/>
          <w:szCs w:val="28"/>
        </w:rPr>
        <w:t>Назначение</w:t>
      </w:r>
      <w:r>
        <w:rPr>
          <w:rFonts w:eastAsia="FreeSerif" w:cs="FreeSerif" w:ascii="FreeSerif" w:hAnsi="FreeSerif"/>
          <w:sz w:val="28"/>
          <w:szCs w:val="28"/>
        </w:rPr>
        <w:t>: Гарантирует, что все значения в столбце (или комбинации столбцов) будут разными. Может содержать один NULL в столбце.</w:t>
      </w:r>
    </w:p>
    <w:p>
      <w:pPr>
        <w:pStyle w:val="Normal"/>
        <w:ind w:firstLine="708"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b/>
          <w:bCs/>
          <w:sz w:val="28"/>
          <w:szCs w:val="28"/>
        </w:rPr>
        <w:t xml:space="preserve">Отличие </w:t>
      </w:r>
      <w:r>
        <w:rPr>
          <w:rFonts w:eastAsia="FreeSerif" w:cs="FreeSerif" w:ascii="FreeSerif" w:hAnsi="FreeSerif"/>
          <w:sz w:val="28"/>
          <w:szCs w:val="28"/>
        </w:rPr>
        <w:t>от PRIMARY KEY: В таблице может быть несколько ограничений UNIQUE. PRIMARY KEY — это ваш главный уникальный идентификатор, а UNIQUE гарантирует уникальность других атрибутов (например, email, паспортные данные).</w:t>
      </w:r>
    </w:p>
    <w:p>
      <w:pPr>
        <w:pStyle w:val="Normal"/>
        <w:ind w:firstLine="708"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sz w:val="28"/>
          <w:szCs w:val="28"/>
        </w:rPr>
      </w:r>
    </w:p>
    <w:p>
      <w:pPr>
        <w:pStyle w:val="Normal"/>
        <w:ind w:firstLine="708"/>
        <w:rPr>
          <w:rFonts w:ascii="FreeSerif" w:hAnsi="FreeSerif" w:eastAsia="FreeSerif" w:cs="FreeSerif"/>
          <w:b/>
          <w:bCs/>
          <w:sz w:val="28"/>
          <w:szCs w:val="28"/>
        </w:rPr>
      </w:pPr>
      <w:r>
        <w:rPr>
          <w:rFonts w:eastAsia="FreeSerif" w:cs="FreeSerif" w:ascii="FreeSerif" w:hAnsi="FreeSerif"/>
          <w:b/>
          <w:bCs/>
          <w:sz w:val="28"/>
          <w:szCs w:val="28"/>
        </w:rPr>
        <w:t>Ограничение проверки значения (CHECK)</w:t>
      </w:r>
    </w:p>
    <w:p>
      <w:pPr>
        <w:pStyle w:val="Normal"/>
        <w:ind w:firstLine="708"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b/>
          <w:bCs/>
          <w:sz w:val="28"/>
          <w:szCs w:val="28"/>
        </w:rPr>
        <w:t>Назначение</w:t>
      </w:r>
      <w:r>
        <w:rPr>
          <w:rFonts w:eastAsia="FreeSerif" w:cs="FreeSerif" w:ascii="FreeSerif" w:hAnsi="FreeSerif"/>
          <w:sz w:val="28"/>
          <w:szCs w:val="28"/>
        </w:rPr>
        <w:t>: Проверяет, что значение в столбце удовлетворяет заданному логическому условию. Это ваш основной инструмент для валидации данных на уровне БД.</w:t>
      </w:r>
    </w:p>
    <w:p>
      <w:pPr>
        <w:pStyle w:val="Normal"/>
        <w:ind w:firstLine="708"/>
        <w:rPr>
          <w:rFonts w:ascii="FreeSerif" w:hAnsi="FreeSerif" w:eastAsia="FreeSerif" w:cs="FreeSerif"/>
          <w:sz w:val="28"/>
          <w:szCs w:val="28"/>
          <w:lang w:val="en-US"/>
        </w:rPr>
      </w:pPr>
      <w:r>
        <w:rPr>
          <w:rFonts w:eastAsia="FreeSerif" w:cs="FreeSerif" w:ascii="FreeSerif" w:hAnsi="FreeSerif"/>
          <w:b/>
          <w:bCs/>
          <w:sz w:val="28"/>
          <w:szCs w:val="28"/>
        </w:rPr>
        <w:t>Примеры</w:t>
      </w:r>
      <w:r>
        <w:rPr>
          <w:rFonts w:eastAsia="FreeSerif" w:cs="FreeSerif" w:ascii="FreeSerif" w:hAnsi="FreeSerif"/>
          <w:b/>
          <w:bCs/>
          <w:sz w:val="28"/>
          <w:szCs w:val="28"/>
          <w:lang w:val="en-US"/>
        </w:rPr>
        <w:t xml:space="preserve"> </w:t>
      </w:r>
      <w:r>
        <w:rPr>
          <w:rFonts w:eastAsia="FreeSerif" w:cs="FreeSerif" w:ascii="FreeSerif" w:hAnsi="FreeSerif"/>
          <w:b/>
          <w:bCs/>
          <w:sz w:val="28"/>
          <w:szCs w:val="28"/>
        </w:rPr>
        <w:t>условий</w:t>
      </w:r>
      <w:r>
        <w:rPr>
          <w:rFonts w:eastAsia="FreeSerif" w:cs="FreeSerif" w:ascii="FreeSerif" w:hAnsi="FreeSerif"/>
          <w:sz w:val="28"/>
          <w:szCs w:val="28"/>
          <w:lang w:val="en-US"/>
        </w:rPr>
        <w:t>: Age &gt;= 0, Salary &lt; 1000000, Status IN ('Active', 'Inactive', 'Pending'), Email LIKE '%@%.%'.</w:t>
      </w:r>
    </w:p>
    <w:p>
      <w:pPr>
        <w:pStyle w:val="Normal"/>
        <w:ind w:firstLine="708"/>
        <w:rPr>
          <w:rFonts w:ascii="FreeSerif" w:hAnsi="FreeSerif" w:eastAsia="FreeSerif" w:cs="FreeSerif"/>
          <w:sz w:val="28"/>
          <w:szCs w:val="28"/>
          <w:lang w:val="en-US"/>
        </w:rPr>
      </w:pPr>
      <w:r>
        <w:rPr>
          <w:rFonts w:eastAsia="FreeSerif" w:cs="FreeSerif" w:ascii="FreeSerif" w:hAnsi="FreeSerif"/>
          <w:sz w:val="28"/>
          <w:szCs w:val="28"/>
          <w:lang w:val="en-US"/>
        </w:rPr>
      </w:r>
    </w:p>
    <w:p>
      <w:pPr>
        <w:pStyle w:val="Normal"/>
        <w:ind w:firstLine="708"/>
        <w:rPr>
          <w:rFonts w:ascii="FreeSerif" w:hAnsi="FreeSerif" w:eastAsia="FreeSerif" w:cs="FreeSerif"/>
          <w:b/>
          <w:bCs/>
          <w:sz w:val="28"/>
          <w:szCs w:val="28"/>
        </w:rPr>
      </w:pPr>
      <w:r>
        <w:rPr>
          <w:rFonts w:eastAsia="FreeSerif" w:cs="FreeSerif" w:ascii="FreeSerif" w:hAnsi="FreeSerif"/>
          <w:b/>
          <w:bCs/>
          <w:sz w:val="28"/>
          <w:szCs w:val="28"/>
        </w:rPr>
        <w:t>Ограничение внешнего ключа (FOREIGN KEY)</w:t>
      </w:r>
    </w:p>
    <w:p>
      <w:pPr>
        <w:pStyle w:val="Normal"/>
        <w:ind w:firstLine="708"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b/>
          <w:bCs/>
          <w:sz w:val="28"/>
          <w:szCs w:val="28"/>
        </w:rPr>
        <w:t>Назначение</w:t>
      </w:r>
      <w:r>
        <w:rPr>
          <w:rFonts w:eastAsia="FreeSerif" w:cs="FreeSerif" w:ascii="FreeSerif" w:hAnsi="FreeSerif"/>
          <w:sz w:val="28"/>
          <w:szCs w:val="28"/>
        </w:rPr>
        <w:t>: Обеспечивает ссылочную целостность. Связывает столбец в одной таблице (Дочерняя) с первичным ключом в другой таблице (Родительская). Значение во внешнем ключе должно либо существовать в родительской таблице, либо быть NULL (если столбец допускает NULL).</w:t>
      </w:r>
    </w:p>
    <w:p>
      <w:pPr>
        <w:pStyle w:val="Normal"/>
        <w:ind w:firstLine="708"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sz w:val="28"/>
          <w:szCs w:val="28"/>
        </w:rPr>
      </w:r>
    </w:p>
    <w:p>
      <w:pPr>
        <w:pStyle w:val="Normal"/>
        <w:ind w:firstLine="708"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sz w:val="28"/>
          <w:szCs w:val="28"/>
        </w:rPr>
      </w:r>
    </w:p>
    <w:p>
      <w:pPr>
        <w:pStyle w:val="Normal"/>
        <w:ind w:firstLine="708"/>
        <w:rPr>
          <w:rFonts w:ascii="FreeSerif" w:hAnsi="FreeSerif" w:eastAsia="FreeSerif" w:cs="FreeSerif"/>
          <w:b/>
          <w:bCs/>
          <w:sz w:val="28"/>
          <w:szCs w:val="28"/>
        </w:rPr>
      </w:pPr>
      <w:r>
        <w:rPr>
          <w:rFonts w:eastAsia="FreeSerif" w:cs="FreeSerif" w:ascii="FreeSerif" w:hAnsi="FreeSerif"/>
          <w:b/>
          <w:bCs/>
          <w:sz w:val="28"/>
          <w:szCs w:val="28"/>
        </w:rPr>
        <w:t>Ограничение на наличие NULL (NULL / NOT NULL)</w:t>
      </w:r>
    </w:p>
    <w:p>
      <w:pPr>
        <w:pStyle w:val="Normal"/>
        <w:ind w:firstLine="708"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b/>
          <w:bCs/>
          <w:sz w:val="28"/>
          <w:szCs w:val="28"/>
        </w:rPr>
        <w:t>Назначение</w:t>
      </w:r>
      <w:r>
        <w:rPr>
          <w:rFonts w:eastAsia="FreeSerif" w:cs="FreeSerif" w:ascii="FreeSerif" w:hAnsi="FreeSerif"/>
          <w:sz w:val="28"/>
          <w:szCs w:val="28"/>
        </w:rPr>
        <w:t>: Указывает, может ли столбец содержать пустые (NULL) значения. NULL — это отсутствие данных, это не ноль и не пустая строка.</w:t>
      </w:r>
    </w:p>
    <w:p>
      <w:pPr>
        <w:pStyle w:val="Normal"/>
        <w:ind w:firstLine="708"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b/>
          <w:bCs/>
          <w:sz w:val="28"/>
          <w:szCs w:val="28"/>
        </w:rPr>
        <w:t>Важность</w:t>
      </w:r>
      <w:r>
        <w:rPr>
          <w:rFonts w:eastAsia="FreeSerif" w:cs="FreeSerif" w:ascii="FreeSerif" w:hAnsi="FreeSerif"/>
          <w:sz w:val="28"/>
          <w:szCs w:val="28"/>
        </w:rPr>
        <w:t>: Это самое базовое и критически важное ограничение. Всегда явно указывайте его для каждого столбца.</w:t>
      </w:r>
    </w:p>
    <w:p>
      <w:pPr>
        <w:pStyle w:val="Normal"/>
        <w:ind w:firstLine="708"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sz w:val="28"/>
          <w:szCs w:val="28"/>
        </w:rPr>
      </w:r>
    </w:p>
    <w:p>
      <w:pPr>
        <w:pStyle w:val="Normal"/>
        <w:ind w:firstLine="708"/>
        <w:rPr>
          <w:rFonts w:ascii="FreeSerif" w:hAnsi="FreeSerif" w:eastAsia="FreeSerif" w:cs="FreeSerif"/>
          <w:b/>
          <w:bCs/>
          <w:sz w:val="28"/>
          <w:szCs w:val="28"/>
        </w:rPr>
      </w:pPr>
      <w:r>
        <w:rPr>
          <w:rFonts w:eastAsia="FreeSerif" w:cs="FreeSerif" w:ascii="FreeSerif" w:hAnsi="FreeSerif"/>
          <w:b/>
          <w:bCs/>
          <w:sz w:val="28"/>
          <w:szCs w:val="28"/>
        </w:rPr>
        <w:t>Ограничение по умолчанию (DEFAULT)</w:t>
      </w:r>
    </w:p>
    <w:p>
      <w:pPr>
        <w:pStyle w:val="Normal"/>
        <w:spacing w:before="0" w:after="200"/>
        <w:ind w:firstLine="709"/>
        <w:rPr>
          <w:rFonts w:ascii="FreeSerif" w:hAnsi="FreeSerif" w:eastAsia="FreeSerif" w:cs="FreeSerif"/>
          <w:sz w:val="28"/>
          <w:szCs w:val="28"/>
        </w:rPr>
      </w:pPr>
      <w:r>
        <w:rPr>
          <w:rFonts w:eastAsia="FreeSerif" w:cs="FreeSerif" w:ascii="FreeSerif" w:hAnsi="FreeSerif"/>
          <w:b/>
          <w:bCs/>
          <w:sz w:val="28"/>
          <w:szCs w:val="28"/>
        </w:rPr>
        <w:t>Назначение</w:t>
      </w:r>
      <w:r>
        <w:rPr>
          <w:rFonts w:eastAsia="FreeSerif" w:cs="FreeSerif" w:ascii="FreeSerif" w:hAnsi="FreeSerif"/>
          <w:sz w:val="28"/>
          <w:szCs w:val="28"/>
        </w:rPr>
        <w:t>: Устанавливает значение по умолчанию для столбца, если при вставке строки значение для этого столбца не было указано.</w:t>
      </w:r>
    </w:p>
    <w:sectPr>
      <w:headerReference w:type="default" r:id="rId3"/>
      <w:type w:val="nextPage"/>
      <w:pgSz w:w="11906" w:h="16838"/>
      <w:pgMar w:left="1701" w:right="850" w:gutter="0" w:header="709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FreeSerif">
    <w:charset w:val="cc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rFonts w:ascii="FreeSerif" w:hAnsi="FreeSerif" w:cs="FreeSerif"/>
        <w:sz w:val="24"/>
        <w:szCs w:val="24"/>
      </w:rPr>
    </w:pPr>
    <w:r>
      <w:rPr>
        <w:rFonts w:cs="FreeSerif" w:ascii="FreeSerif" w:hAnsi="FreeSerif"/>
        <w:sz w:val="24"/>
        <w:szCs w:val="24"/>
      </w:rPr>
      <w:t>ТРиЗБД</w:t>
    </w:r>
  </w:p>
</w:hdr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Liberation Sans" w:hAnsi="Liberation Sans" w:eastAsia="Liberation Sans" w:cs="Liberation Sans"/>
      <w:color w:val="auto"/>
      <w:kern w:val="0"/>
      <w:sz w:val="20"/>
      <w:szCs w:val="20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spacing w:before="480" w:after="200"/>
      <w:outlineLvl w:val="0"/>
    </w:pPr>
    <w:rPr>
      <w:sz w:val="40"/>
      <w:szCs w:val="40"/>
    </w:rPr>
  </w:style>
  <w:style w:type="paragraph" w:styleId="Heading2">
    <w:name w:val="Heading 2"/>
    <w:basedOn w:val="Heading1"/>
    <w:next w:val="Normal"/>
    <w:link w:val="2"/>
    <w:uiPriority w:val="9"/>
    <w:unhideWhenUsed/>
    <w:qFormat/>
    <w:pPr>
      <w:outlineLvl w:val="1"/>
    </w:pPr>
    <w:rPr/>
  </w:style>
  <w:style w:type="paragraph" w:styleId="Heading3">
    <w:name w:val="Heading 3"/>
    <w:basedOn w:val="Normal"/>
    <w:next w:val="Normal"/>
    <w:link w:val="3"/>
    <w:uiPriority w:val="9"/>
    <w:unhideWhenUsed/>
    <w:qFormat/>
    <w:pPr>
      <w:keepNext w:val="true"/>
      <w:keepLines/>
      <w:spacing w:before="320" w:after="200"/>
      <w:outlineLvl w:val="2"/>
    </w:pPr>
    <w:rPr>
      <w:rFonts w:eastAsia="Arial"/>
      <w:sz w:val="30"/>
      <w:szCs w:val="30"/>
    </w:rPr>
  </w:style>
  <w:style w:type="paragraph" w:styleId="Heading4">
    <w:name w:val="Heading 4"/>
    <w:basedOn w:val="Normal"/>
    <w:next w:val="Normal"/>
    <w:link w:val="4"/>
    <w:uiPriority w:val="9"/>
    <w:unhideWhenUsed/>
    <w:qFormat/>
    <w:pPr>
      <w:keepNext w:val="true"/>
      <w:keepLines/>
      <w:spacing w:before="320" w:after="200"/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next w:val="Normal"/>
    <w:link w:val="5"/>
    <w:uiPriority w:val="9"/>
    <w:unhideWhenUsed/>
    <w:qFormat/>
    <w:pPr>
      <w:keepNext w:val="true"/>
      <w:keepLines/>
      <w:spacing w:before="320" w:after="200"/>
      <w:outlineLvl w:val="4"/>
    </w:pPr>
    <w:rPr>
      <w:b/>
      <w:bCs/>
      <w:sz w:val="24"/>
      <w:szCs w:val="24"/>
    </w:rPr>
  </w:style>
  <w:style w:type="paragraph" w:styleId="Heading6">
    <w:name w:val="Heading 6"/>
    <w:basedOn w:val="Normal"/>
    <w:next w:val="Normal"/>
    <w:link w:val="6"/>
    <w:uiPriority w:val="9"/>
    <w:unhideWhenUsed/>
    <w:qFormat/>
    <w:pPr>
      <w:keepNext w:val="true"/>
      <w:keepLines/>
      <w:spacing w:before="320" w:after="20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7"/>
    <w:uiPriority w:val="9"/>
    <w:unhideWhenUsed/>
    <w:qFormat/>
    <w:pPr>
      <w:keepNext w:val="true"/>
      <w:keepLines/>
      <w:spacing w:before="320" w:after="200"/>
      <w:outlineLvl w:val="6"/>
    </w:pPr>
    <w:rPr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8"/>
    <w:uiPriority w:val="9"/>
    <w:unhideWhenUsed/>
    <w:qFormat/>
    <w:pPr>
      <w:keepNext w:val="true"/>
      <w:keepLines/>
      <w:spacing w:before="320" w:after="200"/>
      <w:outlineLvl w:val="7"/>
    </w:pPr>
    <w:rPr>
      <w:i/>
      <w:iCs/>
      <w:sz w:val="22"/>
      <w:szCs w:val="22"/>
    </w:rPr>
  </w:style>
  <w:style w:type="paragraph" w:styleId="Heading9">
    <w:name w:val="Heading 9"/>
    <w:basedOn w:val="Normal"/>
    <w:next w:val="Normal"/>
    <w:link w:val="9"/>
    <w:uiPriority w:val="9"/>
    <w:unhideWhenUsed/>
    <w:qFormat/>
    <w:pPr>
      <w:keepNext w:val="true"/>
      <w:keepLines/>
      <w:spacing w:before="320" w:after="200"/>
      <w:outlineLvl w:val="8"/>
    </w:pPr>
    <w:rPr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uiPriority w:val="9"/>
    <w:qFormat/>
    <w:rPr>
      <w:rFonts w:ascii="Liberation Sans" w:hAnsi="Liberation Sans" w:eastAsia="Liberation Sans" w:cs="Liberation Sans"/>
    </w:rPr>
  </w:style>
  <w:style w:type="character" w:styleId="2" w:customStyle="1">
    <w:name w:val="Заголовок 2 Знак"/>
    <w:uiPriority w:val="9"/>
    <w:qFormat/>
    <w:rPr>
      <w:rFonts w:ascii="Liberation Sans" w:hAnsi="Liberation Sans" w:eastAsia="Liberation Sans" w:cs="Liberation Sans"/>
      <w:sz w:val="34"/>
    </w:rPr>
  </w:style>
  <w:style w:type="character" w:styleId="3" w:customStyle="1">
    <w:name w:val="Заголовок 3 Знак"/>
    <w:uiPriority w:val="9"/>
    <w:qFormat/>
    <w:rPr>
      <w:rFonts w:ascii="Liberation Sans" w:hAnsi="Liberation Sans" w:cs="Liberation Sans"/>
    </w:rPr>
  </w:style>
  <w:style w:type="character" w:styleId="4" w:customStyle="1">
    <w:name w:val="Заголовок 4 Знак"/>
    <w:uiPriority w:val="9"/>
    <w:qFormat/>
    <w:rPr>
      <w:rFonts w:ascii="Liberation Sans" w:hAnsi="Liberation Sans" w:eastAsia="Liberation Sans" w:cs="Liberation Sans"/>
    </w:rPr>
  </w:style>
  <w:style w:type="character" w:styleId="5" w:customStyle="1">
    <w:name w:val="Заголовок 5 Знак"/>
    <w:uiPriority w:val="9"/>
    <w:qFormat/>
    <w:rPr>
      <w:rFonts w:ascii="Liberation Sans" w:hAnsi="Liberation Sans" w:eastAsia="Liberation Sans" w:cs="Liberation Sans"/>
    </w:rPr>
  </w:style>
  <w:style w:type="character" w:styleId="6" w:customStyle="1">
    <w:name w:val="Заголовок 6 Знак"/>
    <w:uiPriority w:val="9"/>
    <w:qFormat/>
    <w:rPr>
      <w:rFonts w:ascii="Liberation Sans" w:hAnsi="Liberation Sans" w:eastAsia="Liberation Sans" w:cs="Liberation Sans"/>
    </w:rPr>
  </w:style>
  <w:style w:type="character" w:styleId="7" w:customStyle="1">
    <w:name w:val="Заголовок 7 Знак"/>
    <w:uiPriority w:val="9"/>
    <w:qFormat/>
    <w:rPr>
      <w:rFonts w:ascii="Liberation Sans" w:hAnsi="Liberation Sans" w:eastAsia="Liberation Sans" w:cs="Liberation Sans"/>
    </w:rPr>
  </w:style>
  <w:style w:type="character" w:styleId="8" w:customStyle="1">
    <w:name w:val="Заголовок 8 Знак"/>
    <w:uiPriority w:val="9"/>
    <w:qFormat/>
    <w:rPr>
      <w:rFonts w:ascii="Liberation Sans" w:hAnsi="Liberation Sans" w:eastAsia="Liberation Sans" w:cs="Liberation Sans"/>
    </w:rPr>
  </w:style>
  <w:style w:type="character" w:styleId="9" w:customStyle="1">
    <w:name w:val="Заголовок 9 Знак"/>
    <w:uiPriority w:val="9"/>
    <w:qFormat/>
    <w:rPr>
      <w:rFonts w:ascii="Liberation Sans" w:hAnsi="Liberation Sans" w:eastAsia="Liberation Sans" w:cs="Liberation Sans"/>
    </w:rPr>
  </w:style>
  <w:style w:type="character" w:styleId="Style5" w:customStyle="1">
    <w:name w:val="Заголовок Знак"/>
    <w:uiPriority w:val="10"/>
    <w:qFormat/>
    <w:rPr>
      <w:sz w:val="48"/>
      <w:szCs w:val="48"/>
    </w:rPr>
  </w:style>
  <w:style w:type="character" w:styleId="Style6" w:customStyle="1">
    <w:name w:val="Подзаголовок Знак"/>
    <w:uiPriority w:val="11"/>
    <w:qFormat/>
    <w:rPr>
      <w:sz w:val="24"/>
      <w:szCs w:val="24"/>
    </w:rPr>
  </w:style>
  <w:style w:type="character" w:styleId="21" w:customStyle="1">
    <w:name w:val="Цитата 2 Знак"/>
    <w:link w:val="Quote"/>
    <w:uiPriority w:val="29"/>
    <w:qFormat/>
    <w:rPr>
      <w:i/>
    </w:rPr>
  </w:style>
  <w:style w:type="character" w:styleId="Style7" w:customStyle="1">
    <w:name w:val="Выделенная цитата Знак"/>
    <w:link w:val="IntenseQuote"/>
    <w:uiPriority w:val="30"/>
    <w:qFormat/>
    <w:rPr>
      <w:i/>
    </w:rPr>
  </w:style>
  <w:style w:type="character" w:styleId="Style8" w:customStyle="1">
    <w:name w:val="Верхний колонтитул Знак"/>
    <w:uiPriority w:val="99"/>
    <w:qFormat/>
    <w:rPr/>
  </w:style>
  <w:style w:type="character" w:styleId="FooterChar" w:customStyle="1">
    <w:name w:val="Footer Char"/>
    <w:uiPriority w:val="99"/>
    <w:qFormat/>
    <w:rPr/>
  </w:style>
  <w:style w:type="character" w:styleId="Style9" w:customStyle="1">
    <w:name w:val="Нижний колонтитул Знак"/>
    <w:uiPriority w:val="99"/>
    <w:qFormat/>
    <w:rPr/>
  </w:style>
  <w:style w:type="character" w:styleId="Hyperlink">
    <w:name w:val="Hyperlink"/>
    <w:uiPriority w:val="99"/>
    <w:unhideWhenUsed/>
    <w:rPr>
      <w:color w:themeColor="hyperlink" w:val="0563C1"/>
      <w:u w:val="single"/>
    </w:rPr>
  </w:style>
  <w:style w:type="character" w:styleId="Style10" w:customStyle="1">
    <w:name w:val="Текст сноски Знак"/>
    <w:uiPriority w:val="99"/>
    <w:qFormat/>
    <w:rPr>
      <w:sz w:val="18"/>
    </w:rPr>
  </w:style>
  <w:style w:type="character" w:styleId="Style11">
    <w:name w:val="Символ сноски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2" w:customStyle="1">
    <w:name w:val="Текст концевой сноски Знак"/>
    <w:uiPriority w:val="99"/>
    <w:qFormat/>
    <w:rPr>
      <w:sz w:val="20"/>
    </w:rPr>
  </w:style>
  <w:style w:type="character" w:styleId="Style13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next w:val="Normal"/>
    <w:link w:val="Style6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next w:val="Normal"/>
    <w:link w:val="21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Style16">
    <w:name w:val="Колонтитул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Caption1">
    <w:name w:val="caption1"/>
    <w:basedOn w:val="Normal"/>
    <w:next w:val="Normal"/>
    <w:uiPriority w:val="35"/>
    <w:semiHidden/>
    <w:unhideWhenUsed/>
    <w:qFormat/>
    <w:pPr/>
    <w:rPr>
      <w:b/>
      <w:bCs/>
      <w:color w:themeColor="accent1" w:val="5B9BD5"/>
      <w:sz w:val="18"/>
      <w:szCs w:val="18"/>
    </w:rPr>
  </w:style>
  <w:style w:type="paragraph" w:styleId="FootnoteText">
    <w:name w:val="Footnote Text"/>
    <w:basedOn w:val="Normal"/>
    <w:link w:val="Style10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link w:val="Style12"/>
    <w:uiPriority w:val="99"/>
    <w:semiHidden/>
    <w:unhideWhenUsed/>
    <w:pPr>
      <w:spacing w:lineRule="auto" w:line="240" w:before="0" w:after="0"/>
    </w:pPr>
    <w:rPr/>
  </w:style>
  <w:style w:type="paragraph" w:styleId="TOC1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57"/>
      <w:ind w:left="283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57"/>
      <w:ind w:left="567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57"/>
      <w:ind w:left="85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57"/>
      <w:ind w:left="1134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57"/>
      <w:ind w:left="1417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57"/>
      <w:ind w:left="1701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57"/>
      <w:ind w:left="1984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57"/>
      <w:ind w:left="2268"/>
    </w:pPr>
    <w:rPr/>
  </w:style>
  <w:style w:type="paragraph" w:styleId="IndexHeading">
    <w:name w:val="Index Heading"/>
    <w:basedOn w:val="Style14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="0"/>
    </w:pPr>
    <w:rPr/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</w:rPr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</w:rPr>
      <w:tblPr/>
      <w:tcPr>
        <w:tcBorders>
          <w:bottom w:val="single" w:color="9EC4E6" w:themeColor="accen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CD6EE" w:themeColor="accent1" w:sz="4" w:space="0"/>
          <w:left w:val="single" w:color="BCD6EE" w:themeColor="accent1" w:sz="4" w:space="0"/>
          <w:bottom w:val="single" w:color="BCD6EE" w:themeColor="accent1" w:sz="4" w:space="0"/>
          <w:right w:val="single" w:color="BCD6EE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</w:rPr>
      <w:tblPr/>
      <w:tcPr>
        <w:tcBorders>
          <w:bottom w:val="single" w:color="F4B286" w:themeColor="accent2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</w:rPr>
      <w:tblPr/>
      <w:tcPr>
        <w:tcBorders>
          <w:bottom w:val="single" w:color="CACACA" w:themeColor="accent3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b/>
      </w:rPr>
      <w:tblPr/>
      <w:tcPr>
        <w:tcBorders>
          <w:bottom w:val="single" w:color="FFDA6A" w:themeColor="accent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firstRow">
      <w:rPr>
        <w:b/>
      </w:rPr>
      <w:tblPr/>
      <w:tcPr>
        <w:tcBorders>
          <w:bottom w:val="single" w:color="91ACDC" w:themeColor="accent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3C5E7" w:themeColor="accent5" w:sz="4" w:space="0"/>
          <w:left w:val="single" w:color="B3C5E7" w:themeColor="accent5" w:sz="4" w:space="0"/>
          <w:bottom w:val="single" w:color="B3C5E7" w:themeColor="accent5" w:sz="4" w:space="0"/>
          <w:right w:val="single" w:color="B3C5E7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</w:rPr>
      <w:tblPr/>
      <w:tcPr>
        <w:tcBorders>
          <w:bottom w:val="single" w:color="AAD190" w:themeColor="accent6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8A2D8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68A2D8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68A2D8" w:themeColor="accent1" w:sz="4" w:space="0"/>
          <w:left w:val="single" w:color="68A2D8" w:themeColor="accent1" w:sz="4" w:space="0"/>
          <w:bottom w:val="single" w:color="68A2D8" w:themeColor="accent1" w:sz="4" w:space="0"/>
          <w:right w:val="single" w:color="68A2D8" w:themeColor="accent1" w:sz="4" w:space="0"/>
        </w:tcBorders>
        <w:shd w:val="clear" w:color="68A2D8" w:fill="68A2D8" w:themeFill="accent1" w:themeFillTint="ea"/>
      </w:tcPr>
    </w:tblStylePr>
    <w:tblStylePr w:type="lastRow">
      <w:rPr>
        <w:b/>
      </w:rPr>
      <w:tblPr/>
      <w:tcPr>
        <w:tcBorders>
          <w:top w:val="single" w:color="68A2D8" w:themeColor="accen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EEBF6" w:fill="DEEBF6" w:themeFill="accent1" w:themeFillTint="32"/>
      </w:tcPr>
    </w:tblStylePr>
    <w:tblStylePr w:type="band1Horz">
      <w:rPr>
        <w:sz w:val="22"/>
      </w:rPr>
      <w:tblPr/>
      <w:tcPr>
        <w:shd w:val="clear" w:color="DEEBF6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4B184" w:themeColor="accent2" w:sz="4" w:space="0"/>
          <w:left w:val="single" w:color="F4B184" w:themeColor="accent2" w:sz="4" w:space="0"/>
          <w:bottom w:val="single" w:color="F4B184" w:themeColor="accent2" w:sz="4" w:space="0"/>
          <w:right w:val="single" w:color="F4B184" w:themeColor="accent2" w:sz="4" w:space="0"/>
        </w:tcBorders>
        <w:shd w:val="clear" w:color="F4B184" w:fill="F4B184" w:themeFill="accent2" w:themeFillTint="97"/>
      </w:tcPr>
    </w:tblStylePr>
    <w:tblStylePr w:type="lastRow">
      <w:rPr>
        <w:b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  <w:shd w:val="clear" w:color="A5A5A5" w:fill="A5A5A5" w:themeFill="accent3" w:themeFillTint="fe"/>
      </w:tcPr>
    </w:tblStylePr>
    <w:tblStylePr w:type="lastRow">
      <w:rPr>
        <w:b/>
      </w:rPr>
      <w:tblPr/>
      <w:tcPr>
        <w:tcBorders>
          <w:top w:val="single" w:color="A5A5A5" w:themeColor="accent3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FD865" w:themeColor="accent4" w:sz="4" w:space="0"/>
          <w:left w:val="single" w:color="FFD865" w:themeColor="accent4" w:sz="4" w:space="0"/>
          <w:bottom w:val="single" w:color="FFD865" w:themeColor="accent4" w:sz="4" w:space="0"/>
          <w:right w:val="single" w:color="FFD865" w:themeColor="accent4" w:sz="4" w:space="0"/>
        </w:tcBorders>
        <w:shd w:val="clear" w:color="FFD865" w:fill="FFD865" w:themeFill="accent4" w:themeFillTint="9a"/>
      </w:tcPr>
    </w:tblStylePr>
    <w:tblStylePr w:type="lastRow">
      <w:rPr>
        <w:b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fill="4472C4" w:themeFill="accent5"/>
      </w:tcPr>
    </w:tblStylePr>
    <w:tblStylePr w:type="lastRow">
      <w:rPr>
        <w:b/>
      </w:rPr>
      <w:tblPr/>
      <w:tcPr>
        <w:tcBorders>
          <w:top w:val="single" w:color="4472C4" w:themeColor="accent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fill="70AD47" w:themeFill="accent6"/>
      </w:tcPr>
    </w:tblStylePr>
    <w:tblStylePr w:type="lastRow">
      <w:rPr>
        <w:b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  <w:tcPr>
        <w:shd w:val="clear" w:color="E1EFD8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5B9BD5" w:fill="5B9BD5" w:themeFill="accent1"/>
      </w:tcPr>
    </w:tblStylePr>
    <w:tblStylePr w:type="firstCol">
      <w:rPr>
        <w:b/>
        <w:sz w:val="22"/>
      </w:rPr>
      <w:tblPr/>
      <w:tcPr>
        <w:shd w:val="clear" w:color="5B9BD5" w:fill="5B9BD5" w:themeFill="accent1"/>
      </w:tcPr>
    </w:tblStylePr>
    <w:tblStylePr w:type="lastCol">
      <w:rPr>
        <w:b/>
        <w:sz w:val="22"/>
      </w:rPr>
      <w:tblPr/>
      <w:tcPr>
        <w:shd w:val="clear" w:color="5B9BD5" w:fill="5B9BD5" w:themeFill="accent1"/>
      </w:tcPr>
    </w:tblStylePr>
    <w:tblStylePr w:type="band1Vert">
      <w:tblPr/>
      <w:tcPr>
        <w:shd w:val="clear" w:color="B3D0EB" w:fill="B3D0EB" w:themeFill="accent1" w:themeFillTint="75"/>
      </w:tcPr>
    </w:tblStylePr>
    <w:tblStylePr w:type="band1Horz">
      <w:tblPr/>
      <w:tcPr>
        <w:shd w:val="clear" w:color="B3D0EB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ED7D31" w:fill="ED7D31" w:themeFill="accent2"/>
      </w:tcPr>
    </w:tblStylePr>
    <w:tblStylePr w:type="firstCol">
      <w:rPr>
        <w:b/>
        <w:sz w:val="22"/>
      </w:rPr>
      <w:tblPr/>
      <w:tcPr>
        <w:shd w:val="clear" w:color="ED7D31" w:fill="ED7D31" w:themeFill="accent2"/>
      </w:tcPr>
    </w:tblStylePr>
    <w:tblStylePr w:type="lastCol">
      <w:rPr>
        <w:b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5A5A5" w:fill="A5A5A5" w:themeFill="accent3"/>
      </w:tcPr>
    </w:tblStylePr>
    <w:tblStylePr w:type="firstCol">
      <w:rPr>
        <w:b/>
        <w:sz w:val="22"/>
      </w:rPr>
      <w:tblPr/>
      <w:tcPr>
        <w:shd w:val="clear" w:color="A5A5A5" w:fill="A5A5A5" w:themeFill="accent3"/>
      </w:tcPr>
    </w:tblStylePr>
    <w:tblStylePr w:type="lastCol">
      <w:rPr>
        <w:b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FC000" w:fill="FFC000" w:themeFill="accent4"/>
      </w:tcPr>
    </w:tblStylePr>
    <w:tblStylePr w:type="firstCol">
      <w:rPr>
        <w:b/>
        <w:sz w:val="22"/>
      </w:rPr>
      <w:tblPr/>
      <w:tcPr>
        <w:shd w:val="clear" w:color="FFC000" w:fill="FFC000" w:themeFill="accent4"/>
      </w:tcPr>
    </w:tblStylePr>
    <w:tblStylePr w:type="lastCol">
      <w:rPr>
        <w:b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472C4" w:fill="4472C4" w:themeFill="accent5"/>
      </w:tcPr>
    </w:tblStylePr>
    <w:tblStylePr w:type="firstCol">
      <w:rPr>
        <w:b/>
        <w:sz w:val="22"/>
      </w:rPr>
      <w:tblPr/>
      <w:tcPr>
        <w:shd w:val="clear" w:color="4472C4" w:fill="4472C4" w:themeFill="accent5"/>
      </w:tcPr>
    </w:tblStylePr>
    <w:tblStylePr w:type="lastCol">
      <w:rPr>
        <w:b/>
        <w:sz w:val="22"/>
      </w:rPr>
      <w:tblPr/>
      <w:tcPr>
        <w:shd w:val="clear" w:color="4472C4" w:fill="4472C4" w:themeFill="accent5"/>
      </w:tcPr>
    </w:tblStylePr>
    <w:tblStylePr w:type="band1Vert">
      <w:tblPr/>
      <w:tcPr>
        <w:shd w:val="clear" w:color="A9BEE4" w:fill="A9BEE4" w:themeFill="accent5" w:themeFillTint="75"/>
      </w:tcPr>
    </w:tblStylePr>
    <w:tblStylePr w:type="band1Horz">
      <w:tblPr/>
      <w:tcPr>
        <w:shd w:val="clear" w:color="A9BEE4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70AD47" w:fill="70AD47" w:themeFill="accent6"/>
      </w:tcPr>
    </w:tblStylePr>
    <w:tblStylePr w:type="firstCol">
      <w:rPr>
        <w:b/>
        <w:sz w:val="22"/>
      </w:rPr>
      <w:tblPr/>
      <w:tcPr>
        <w:shd w:val="clear" w:color="70AD47" w:fill="70AD47" w:themeFill="accent6"/>
      </w:tcPr>
    </w:tblStylePr>
    <w:tblStylePr w:type="lastCol">
      <w:rPr>
        <w:b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themeColor="text1" w:themeTint="80" w:themeShade="95"/>
      </w:rPr>
      <w:tblPr/>
    </w:tblStylePr>
    <w:tblStylePr w:type="firstCol">
      <w:rPr>
        <w:b/>
        <w:color w:themeColor="text1" w:themeTint="80" w:themeShade="95"/>
      </w:rPr>
      <w:tblPr/>
    </w:tblStylePr>
    <w:tblStylePr w:type="lastCol">
      <w:rPr>
        <w:b/>
        <w:color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firstRow">
      <w:rPr>
        <w:b/>
        <w:color w:themeColor="accent1" w:themeTint="80" w:themeShade="95"/>
      </w:rPr>
      <w:tblPr/>
      <w:tcPr>
        <w:tcBorders>
          <w:bottom w:val="single" w:color="ACCCEA" w:themeColor="accent1" w:sz="12" w:space="0"/>
        </w:tcBorders>
      </w:tcPr>
    </w:tblStylePr>
    <w:tblStylePr w:type="lastRow">
      <w:rPr>
        <w:b/>
        <w:color w:themeColor="accent1" w:themeTint="80" w:themeShade="95"/>
      </w:rPr>
      <w:tblPr/>
    </w:tblStylePr>
    <w:tblStylePr w:type="firstCol">
      <w:rPr>
        <w:b/>
        <w:color w:themeColor="accent1" w:themeTint="80" w:themeShade="95"/>
      </w:rPr>
      <w:tblPr/>
    </w:tblStylePr>
    <w:tblStylePr w:type="lastCol">
      <w:rPr>
        <w:b/>
        <w:color w:themeColor="accent1" w:themeTint="80" w:themeShade="95"/>
      </w:rPr>
      <w:tblPr/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themeColor="accent2" w:themeTint="97" w:themeShade="95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b/>
        <w:color w:themeColor="accent2" w:themeTint="97" w:themeShade="95"/>
      </w:rPr>
      <w:tblPr/>
    </w:tblStylePr>
    <w:tblStylePr w:type="firstCol">
      <w:rPr>
        <w:b/>
        <w:color w:themeColor="accent2" w:themeTint="97" w:themeShade="95"/>
      </w:rPr>
      <w:tblPr/>
    </w:tblStylePr>
    <w:tblStylePr w:type="lastCol">
      <w:rPr>
        <w:b/>
        <w:color w:themeColor="accent2" w:themeTint="97" w:themeShade="95"/>
      </w:rPr>
      <w:tblPr/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themeColor="accent3" w:themeTint="fe" w:themeShade="95"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b/>
        <w:color w:themeColor="accent3" w:themeTint="fe" w:themeShade="95"/>
      </w:rPr>
      <w:tblPr/>
    </w:tblStylePr>
    <w:tblStylePr w:type="firstCol">
      <w:rPr>
        <w:b/>
        <w:color w:themeColor="accent3" w:themeTint="fe" w:themeShade="95"/>
      </w:rPr>
      <w:tblPr/>
    </w:tblStylePr>
    <w:tblStylePr w:type="lastCol">
      <w:rPr>
        <w:b/>
        <w:color w:themeColor="accent3" w:themeTint="fe" w:themeShade="95"/>
      </w:rPr>
      <w:tblPr/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themeColor="accent4" w:themeTint="9a" w:themeShade="95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b/>
        <w:color w:themeColor="accent4" w:themeTint="9a" w:themeShade="95"/>
      </w:rPr>
      <w:tblPr/>
    </w:tblStylePr>
    <w:tblStylePr w:type="firstCol">
      <w:rPr>
        <w:b/>
        <w:color w:themeColor="accent4" w:themeTint="9a" w:themeShade="95"/>
      </w:rPr>
      <w:tblPr/>
    </w:tblStylePr>
    <w:tblStylePr w:type="lastCol">
      <w:rPr>
        <w:b/>
        <w:color w:themeColor="accent4" w:themeTint="9a" w:themeShade="95"/>
      </w:rPr>
      <w:tblPr/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themeColor="accent5" w:themeShade="95"/>
      </w:rPr>
      <w:tblPr/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themeColor="accent5" w:themeShade="95"/>
      </w:rPr>
      <w:tblPr/>
    </w:tblStylePr>
    <w:tblStylePr w:type="firstCol">
      <w:rPr>
        <w:b/>
        <w:color w:themeColor="accent5" w:themeShade="95"/>
      </w:rPr>
      <w:tblPr/>
    </w:tblStylePr>
    <w:tblStylePr w:type="lastCol">
      <w:rPr>
        <w:b/>
        <w:color w:themeColor="accent5" w:themeShade="95"/>
      </w:rPr>
      <w:tblPr/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themeColor="accent5" w:themeShade="95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themeColor="accent5" w:themeShade="95"/>
      </w:rPr>
      <w:tblPr/>
    </w:tblStylePr>
    <w:tblStylePr w:type="firstCol">
      <w:rPr>
        <w:b/>
        <w:color w:themeColor="accent5" w:themeShade="95"/>
      </w:rPr>
      <w:tblPr/>
    </w:tblStylePr>
    <w:tblStylePr w:type="lastCol">
      <w:rPr>
        <w:b/>
        <w:color w:themeColor="accent5" w:themeShade="95"/>
      </w:rPr>
      <w:tblPr/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firstRow">
      <w:rPr>
        <w:b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CCCEA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ACCCEA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single" w:color="ACCCEA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F4B184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single" w:color="A5A5A5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FFD865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b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5AFDD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95AFDD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single" w:color="95AFDD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single" w:color="ADD394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themeColor="accent6" w:themeShade="95"/>
        <w:sz w:val="22"/>
      </w:rPr>
      <w:tblPr/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tblPr/>
      <w:tcPr>
        <w:shd w:val="clear" w:color="D5E5F4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tblPr/>
      <w:tcPr>
        <w:shd w:val="clear" w:color="CFDBF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2C6E7" w:themeColor="accent1" w:sz="4" w:space="0"/>
          <w:left w:val="none" w:color="000000" w:sz="4" w:space="0"/>
          <w:bottom w:val="single" w:color="A2C6E7" w:themeColor="accen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A2C6E7" w:themeColor="accent1" w:sz="4" w:space="0"/>
          <w:left w:val="none" w:color="000000" w:sz="4" w:space="0"/>
          <w:bottom w:val="single" w:color="A2C6E7" w:themeColor="accen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5AFDD" w:themeColor="accent5" w:sz="4" w:space="0"/>
          <w:left w:val="none" w:color="000000" w:sz="4" w:space="0"/>
          <w:bottom w:val="single" w:color="95AFDD" w:themeColor="accent5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95AFDD" w:themeColor="accent5" w:sz="4" w:space="0"/>
          <w:left w:val="none" w:color="000000" w:sz="4" w:space="0"/>
          <w:bottom w:val="single" w:color="95AFDD" w:themeColor="accent5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sz w:val="22"/>
      </w:rPr>
      <w:tblPr/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firstRow">
      <w:rPr>
        <w:b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4B184" w:themeColor="accent2" w:sz="4" w:space="0"/>
          <w:right w:val="single" w:color="F4B184" w:themeColor="accent2" w:sz="4" w:space="0"/>
        </w:tcBorders>
      </w:tcPr>
    </w:tblStylePr>
    <w:tblStylePr w:type="band1Horz">
      <w:rPr>
        <w:sz w:val="22"/>
      </w:rPr>
      <w:tblPr/>
      <w:tcPr>
        <w:tcBorders>
          <w:top w:val="single" w:color="F4B184" w:themeColor="accent2" w:sz="4" w:space="0"/>
          <w:bottom w:val="single" w:color="F4B184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b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C9C9C9" w:themeColor="accent3" w:sz="4" w:space="0"/>
          <w:right w:val="single" w:color="C9C9C9" w:themeColor="accent3" w:sz="4" w:space="0"/>
        </w:tcBorders>
      </w:tcPr>
    </w:tblStylePr>
    <w:tblStylePr w:type="band1Horz">
      <w:rPr>
        <w:sz w:val="22"/>
      </w:rPr>
      <w:tblPr/>
      <w:tcPr>
        <w:tcBorders>
          <w:top w:val="single" w:color="C9C9C9" w:themeColor="accent3" w:sz="4" w:space="0"/>
          <w:bottom w:val="single" w:color="C9C9C9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firstRow">
      <w:rPr>
        <w:b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FD865" w:themeColor="accent4" w:sz="4" w:space="0"/>
          <w:right w:val="single" w:color="FFD865" w:themeColor="accent4" w:sz="4" w:space="0"/>
        </w:tcBorders>
      </w:tcPr>
    </w:tblStylePr>
    <w:tblStylePr w:type="band1Horz">
      <w:rPr>
        <w:sz w:val="22"/>
      </w:rPr>
      <w:tblPr/>
      <w:tcPr>
        <w:tcBorders>
          <w:top w:val="single" w:color="FFD865" w:themeColor="accent4" w:sz="4" w:space="0"/>
          <w:bottom w:val="single" w:color="FFD865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firstRow">
      <w:rPr>
        <w:b/>
        <w:sz w:val="22"/>
      </w:rPr>
      <w:tblPr/>
      <w:tcPr>
        <w:shd w:val="clear" w:color="8DA9DB" w:fill="8DA9DB" w:themeFill="accent5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8DA9DB" w:themeColor="accent5" w:sz="4" w:space="0"/>
          <w:right w:val="single" w:color="8DA9DB" w:themeColor="accent5" w:sz="4" w:space="0"/>
        </w:tcBorders>
      </w:tcPr>
    </w:tblStylePr>
    <w:tblStylePr w:type="band1Horz">
      <w:rPr>
        <w:sz w:val="22"/>
      </w:rPr>
      <w:tblPr/>
      <w:tcPr>
        <w:tcBorders>
          <w:top w:val="single" w:color="8DA9DB" w:themeColor="accent5" w:sz="4" w:space="0"/>
          <w:bottom w:val="single" w:color="8DA9DB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b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A9D08E" w:themeColor="accent6" w:sz="4" w:space="0"/>
          <w:right w:val="single" w:color="A9D08E" w:themeColor="accent6" w:sz="4" w:space="0"/>
        </w:tcBorders>
      </w:tcPr>
    </w:tblStylePr>
    <w:tblStylePr w:type="band1Horz">
      <w:rPr>
        <w:sz w:val="22"/>
      </w:rPr>
      <w:tblPr/>
      <w:tcPr>
        <w:tcBorders>
          <w:top w:val="single" w:color="A9D08E" w:themeColor="accent6" w:sz="4" w:space="0"/>
          <w:bottom w:val="single" w:color="A9D08E" w:themeColor="accent6" w:sz="4" w:space="0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b/>
        <w:sz w:val="22"/>
      </w:rPr>
      <w:tblPr/>
      <w:tcPr>
        <w:shd w:val="clear" w:color="5B9BD5" w:fill="5B9BD5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sz w:val="22"/>
      </w:rPr>
      <w:tblPr/>
      <w:tcPr>
        <w:shd w:val="clear" w:color="ED7D31" w:fill="ED7D31" w:themeFill="accent2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sz w:val="22"/>
      </w:rPr>
      <w:tblPr/>
      <w:tcPr>
        <w:shd w:val="clear" w:color="A5A5A5" w:fill="A5A5A5" w:themeFill="accent3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sz w:val="22"/>
      </w:rPr>
      <w:tblPr/>
      <w:tcPr>
        <w:shd w:val="clear" w:color="FFC000" w:fill="FFC000" w:themeFill="accent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b/>
        <w:sz w:val="22"/>
      </w:rPr>
      <w:tblPr/>
      <w:tcPr>
        <w:shd w:val="clear" w:color="4472C4" w:fill="4472C4" w:themeFill="accent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sz w:val="22"/>
      </w:rPr>
      <w:tblPr/>
      <w:tcPr>
        <w:shd w:val="clear" w:color="70AD47" w:fill="70AD47" w:themeFill="accent6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sz w:val="22"/>
      </w:rPr>
      <w:tblPr/>
      <w:tcPr>
        <w:shd w:val="clear" w:color="DAEBCF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fill="5B9BD5" w:themeFill="accent1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fill="5B9BD5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F4B184" w:themeColor="accent2" w:sz="32" w:space="0"/>
          <w:bottom w:val="single" w:color="FFFFFF" w:themeColor="light1" w:sz="12" w:space="0"/>
        </w:tcBorders>
        <w:shd w:val="clear" w:color="F4B184" w:fill="F4B184" w:themeFill="accent2" w:themeFillTint="97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F4B184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4B184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C9C9C9" w:themeColor="accent3" w:sz="32" w:space="0"/>
          <w:bottom w:val="single" w:color="FFFFFF" w:themeColor="light1" w:sz="12" w:space="0"/>
        </w:tcBorders>
        <w:shd w:val="clear" w:color="C9C9C9" w:fill="C9C9C9" w:themeFill="accent3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C9C9C9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9C9C9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FFD865" w:themeColor="accent4" w:sz="32" w:space="0"/>
          <w:bottom w:val="single" w:color="FFFFFF" w:themeColor="light1" w:sz="12" w:space="0"/>
        </w:tcBorders>
        <w:shd w:val="clear" w:color="FFD865" w:fill="FFD865" w:themeFill="accent4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FFD865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FD865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8DA9DB" w:themeColor="accent5" w:sz="32" w:space="0"/>
          <w:bottom w:val="single" w:color="FFFFFF" w:themeColor="light1" w:sz="12" w:space="0"/>
        </w:tcBorders>
        <w:shd w:val="clear" w:color="8DA9DB" w:fill="8DA9DB" w:themeFill="accent5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8DA9DB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DA9DB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DA9DB" w:fill="8DA9D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DA9D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b/>
        <w:color w:themeColor="light1"/>
        <w:sz w:val="22"/>
      </w:rPr>
      <w:tblPr/>
      <w:tcPr>
        <w:tcBorders>
          <w:top w:val="single" w:color="A9D08E" w:themeColor="accent6" w:sz="32" w:space="0"/>
          <w:bottom w:val="single" w:color="FFFFFF" w:themeColor="light1" w:sz="12" w:space="0"/>
        </w:tcBorders>
        <w:shd w:val="clear" w:color="A9D08E" w:fill="A9D08E" w:themeFill="accent6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A9D08E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9D08E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themeColor="text1"/>
      </w:rPr>
      <w:tblPr/>
    </w:tblStylePr>
    <w:tblStylePr w:type="lastCol">
      <w:rPr>
        <w:b/>
        <w:color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themeColor="accent1" w:themeShade="95"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themeColor="accent1" w:themeShade="95"/>
      </w:rPr>
      <w:tblPr/>
      <w:tcPr>
        <w:tcBorders>
          <w:top w:val="single" w:color="5B9BD5" w:themeColor="accent1" w:sz="4" w:space="0"/>
        </w:tcBorders>
      </w:tcPr>
    </w:tblStylePr>
    <w:tblStylePr w:type="firstCol">
      <w:rPr>
        <w:b/>
        <w:color w:themeColor="accent1" w:themeShade="95"/>
      </w:rPr>
      <w:tblPr/>
    </w:tblStylePr>
    <w:tblStylePr w:type="lastCol">
      <w:rPr>
        <w:b/>
        <w:color w:themeColor="accent1" w:themeShade="95"/>
      </w:rPr>
      <w:tblPr/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firstRow">
      <w:rPr>
        <w:b/>
        <w:color w:themeColor="accent2" w:themeTint="97" w:themeShade="95"/>
      </w:rPr>
      <w:tblPr/>
      <w:tcPr>
        <w:tcBorders>
          <w:bottom w:val="single" w:color="F4B184" w:themeColor="accent2" w:sz="4" w:space="0"/>
        </w:tcBorders>
      </w:tcPr>
    </w:tblStylePr>
    <w:tblStylePr w:type="lastRow">
      <w:rPr>
        <w:b/>
        <w:color w:themeColor="accent2" w:themeTint="97" w:themeShade="95"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  <w:color w:themeColor="accent2" w:themeTint="97" w:themeShade="95"/>
      </w:rPr>
      <w:tblPr/>
    </w:tblStylePr>
    <w:tblStylePr w:type="lastCol">
      <w:rPr>
        <w:b/>
        <w:color w:themeColor="accent2" w:themeTint="97" w:themeShade="95"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themeColor="accent3" w:themeTint="98" w:themeShade="95"/>
      </w:rPr>
      <w:tblPr/>
      <w:tcPr>
        <w:tcBorders>
          <w:bottom w:val="single" w:color="C9C9C9" w:themeColor="accent3" w:sz="4" w:space="0"/>
        </w:tcBorders>
      </w:tcPr>
    </w:tblStylePr>
    <w:tblStylePr w:type="lastRow">
      <w:rPr>
        <w:b/>
        <w:color w:themeColor="accent3" w:themeTint="98" w:themeShade="95"/>
      </w:rPr>
      <w:tblPr/>
      <w:tcPr>
        <w:tcBorders>
          <w:top w:val="single" w:color="C9C9C9" w:themeColor="accent3" w:sz="4" w:space="0"/>
        </w:tcBorders>
      </w:tcPr>
    </w:tblStylePr>
    <w:tblStylePr w:type="firstCol">
      <w:rPr>
        <w:b/>
        <w:color w:themeColor="accent3" w:themeTint="98" w:themeShade="95"/>
      </w:rPr>
      <w:tblPr/>
    </w:tblStylePr>
    <w:tblStylePr w:type="lastCol">
      <w:rPr>
        <w:b/>
        <w:color w:themeColor="accent3" w:themeTint="98" w:themeShade="95"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firstRow">
      <w:rPr>
        <w:b/>
        <w:color w:themeColor="accent4" w:themeTint="9a" w:themeShade="95"/>
      </w:rPr>
      <w:tblPr/>
      <w:tcPr>
        <w:tcBorders>
          <w:bottom w:val="single" w:color="FFD865" w:themeColor="accent4" w:sz="4" w:space="0"/>
        </w:tcBorders>
      </w:tcPr>
    </w:tblStylePr>
    <w:tblStylePr w:type="lastRow">
      <w:rPr>
        <w:b/>
        <w:color w:themeColor="accent4" w:themeTint="9a" w:themeShade="95"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  <w:color w:themeColor="accent4" w:themeTint="9a" w:themeShade="95"/>
      </w:rPr>
      <w:tblPr/>
    </w:tblStylePr>
    <w:tblStylePr w:type="lastCol">
      <w:rPr>
        <w:b/>
        <w:color w:themeColor="accent4" w:themeTint="9a" w:themeShade="95"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firstRow">
      <w:rPr>
        <w:b/>
        <w:color w:themeColor="accent5" w:themeTint="9a" w:themeShade="95"/>
      </w:rPr>
      <w:tblPr/>
      <w:tcPr>
        <w:tcBorders>
          <w:bottom w:val="single" w:color="8DA9DB" w:themeColor="accent5" w:sz="4" w:space="0"/>
        </w:tcBorders>
      </w:tcPr>
    </w:tblStylePr>
    <w:tblStylePr w:type="lastRow">
      <w:rPr>
        <w:b/>
        <w:color w:themeColor="accent5" w:themeTint="9a" w:themeShade="95"/>
      </w:rPr>
      <w:tblPr/>
      <w:tcPr>
        <w:tcBorders>
          <w:top w:val="single" w:color="8DA9DB" w:themeColor="accent5" w:sz="4" w:space="0"/>
        </w:tcBorders>
      </w:tcPr>
    </w:tblStylePr>
    <w:tblStylePr w:type="firstCol">
      <w:rPr>
        <w:b/>
        <w:color w:themeColor="accent5" w:themeTint="9a" w:themeShade="95"/>
      </w:rPr>
      <w:tblPr/>
    </w:tblStylePr>
    <w:tblStylePr w:type="lastCol">
      <w:rPr>
        <w:b/>
        <w:color w:themeColor="accent5" w:themeTint="9a" w:themeShade="95"/>
      </w:rPr>
      <w:tblPr/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themeColor="accent6" w:themeTint="98" w:themeShade="95"/>
      </w:rPr>
      <w:tblPr/>
      <w:tcPr>
        <w:tcBorders>
          <w:bottom w:val="single" w:color="A9D08E" w:themeColor="accent6" w:sz="4" w:space="0"/>
        </w:tcBorders>
      </w:tcPr>
    </w:tblStylePr>
    <w:tblStylePr w:type="lastRow">
      <w:rPr>
        <w:b/>
        <w:color w:themeColor="accent6" w:themeTint="98" w:themeShade="95"/>
      </w:rPr>
      <w:tblPr/>
      <w:tcPr>
        <w:tcBorders>
          <w:top w:val="single" w:color="A9D08E" w:themeColor="accent6" w:sz="4" w:space="0"/>
        </w:tcBorders>
      </w:tcPr>
    </w:tblStylePr>
    <w:tblStylePr w:type="firstCol">
      <w:rPr>
        <w:b/>
        <w:color w:themeColor="accent6" w:themeTint="98" w:themeShade="95"/>
      </w:rPr>
      <w:tblPr/>
    </w:tblStylePr>
    <w:tblStylePr w:type="lastCol">
      <w:rPr>
        <w:b/>
        <w:color w:themeColor="accent6" w:themeTint="98" w:themeShade="95"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firstRow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firstRow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F4B184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firstRow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9C9C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C9C9C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sz="4" w:space="0"/>
        </w:tcBorders>
        <w:shd w:val="clear" w:color="FFFFFF" w:fill="auto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single" w:color="C9C9C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firstRow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FFD865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firstRow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DA9DB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8DA9DB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single" w:color="8DA9DB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firstRow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9D08E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A9D08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single" w:color="A9D08E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245A8D" w:themeColor="accent1" w:sz="4" w:space="0"/>
        <w:left w:val="single" w:color="245A8D" w:themeColor="accent1" w:sz="4" w:space="0"/>
        <w:bottom w:val="single" w:color="245A8D" w:themeColor="accent1" w:sz="4" w:space="0"/>
        <w:right w:val="single" w:color="245A8D" w:themeColor="accent1" w:sz="4" w:space="0"/>
        <w:insideH w:val="single" w:color="245A8D" w:themeColor="accent1" w:sz="4" w:space="0"/>
        <w:insideV w:val="single" w:color="245A8D" w:themeColor="accent1" w:sz="4" w:space="0"/>
      </w:tblBorders>
    </w:tblPr>
    <w:tblStylePr w:type="firstRow">
      <w:rPr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99460D" w:themeColor="accent2" w:sz="4" w:space="0"/>
        <w:left w:val="single" w:color="99460D" w:themeColor="accent2" w:sz="4" w:space="0"/>
        <w:bottom w:val="single" w:color="99460D" w:themeColor="accent2" w:sz="4" w:space="0"/>
        <w:right w:val="single" w:color="99460D" w:themeColor="accent2" w:sz="4" w:space="0"/>
        <w:insideH w:val="single" w:color="99460D" w:themeColor="accent2" w:sz="4" w:space="0"/>
        <w:insideV w:val="single" w:color="99460D" w:themeColor="accent2" w:sz="4" w:space="0"/>
      </w:tblBorders>
    </w:tblPr>
    <w:tblStylePr w:type="firstRow">
      <w:rPr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606060" w:themeColor="accent3" w:sz="4" w:space="0"/>
        <w:left w:val="single" w:color="606060" w:themeColor="accent3" w:sz="4" w:space="0"/>
        <w:bottom w:val="single" w:color="606060" w:themeColor="accent3" w:sz="4" w:space="0"/>
        <w:right w:val="single" w:color="606060" w:themeColor="accent3" w:sz="4" w:space="0"/>
        <w:insideH w:val="single" w:color="606060" w:themeColor="accent3" w:sz="4" w:space="0"/>
        <w:insideV w:val="single" w:color="606060" w:themeColor="accent3" w:sz="4" w:space="0"/>
      </w:tblBorders>
    </w:tblPr>
    <w:tblStylePr w:type="firstRow">
      <w:rPr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957000" w:themeColor="accent4" w:sz="4" w:space="0"/>
        <w:left w:val="single" w:color="957000" w:themeColor="accent4" w:sz="4" w:space="0"/>
        <w:bottom w:val="single" w:color="957000" w:themeColor="accent4" w:sz="4" w:space="0"/>
        <w:right w:val="single" w:color="957000" w:themeColor="accent4" w:sz="4" w:space="0"/>
        <w:insideH w:val="single" w:color="957000" w:themeColor="accent4" w:sz="4" w:space="0"/>
        <w:insideV w:val="single" w:color="957000" w:themeColor="accent4" w:sz="4" w:space="0"/>
      </w:tblBorders>
    </w:tblPr>
    <w:tblStylePr w:type="firstRow">
      <w:rPr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254175" w:themeColor="accent5" w:sz="4" w:space="0"/>
        <w:left w:val="single" w:color="254175" w:themeColor="accent5" w:sz="4" w:space="0"/>
        <w:bottom w:val="single" w:color="254175" w:themeColor="accent5" w:sz="4" w:space="0"/>
        <w:right w:val="single" w:color="254175" w:themeColor="accent5" w:sz="4" w:space="0"/>
        <w:insideH w:val="single" w:color="254175" w:themeColor="accent5" w:sz="4" w:space="0"/>
        <w:insideV w:val="single" w:color="254175" w:themeColor="accent5" w:sz="4" w:space="0"/>
      </w:tblBorders>
    </w:tblPr>
    <w:tblStylePr w:type="firstRow">
      <w:rPr>
        <w:sz w:val="22"/>
      </w:rPr>
      <w:tblPr/>
      <w:tcPr>
        <w:shd w:val="clear" w:color="4472C4" w:fill="4472C4" w:themeFill="accent5"/>
      </w:tcPr>
    </w:tblStylePr>
    <w:tblStylePr w:type="lastRow">
      <w:rPr>
        <w:sz w:val="22"/>
      </w:rPr>
      <w:tblPr/>
      <w:tcPr>
        <w:shd w:val="clear" w:color="4472C4" w:fill="4472C4" w:themeFill="accent5"/>
      </w:tcPr>
    </w:tblStylePr>
    <w:tblStylePr w:type="firstCol">
      <w:rPr>
        <w:sz w:val="22"/>
      </w:rPr>
      <w:tblPr/>
      <w:tcPr>
        <w:shd w:val="clear" w:color="4472C4" w:fill="4472C4" w:themeFill="accent5"/>
      </w:tcPr>
    </w:tblStylePr>
    <w:tblStylePr w:type="lastCol">
      <w:rPr>
        <w:sz w:val="22"/>
      </w:rPr>
      <w:tblPr/>
      <w:tcPr>
        <w:shd w:val="clear" w:color="4472C4" w:fill="4472C4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416429" w:themeColor="accent6" w:sz="4" w:space="0"/>
        <w:left w:val="single" w:color="416429" w:themeColor="accent6" w:sz="4" w:space="0"/>
        <w:bottom w:val="single" w:color="416429" w:themeColor="accent6" w:sz="4" w:space="0"/>
        <w:right w:val="single" w:color="416429" w:themeColor="accent6" w:sz="4" w:space="0"/>
        <w:insideH w:val="single" w:color="416429" w:themeColor="accent6" w:sz="4" w:space="0"/>
        <w:insideV w:val="single" w:color="416429" w:themeColor="accent6" w:sz="4" w:space="0"/>
      </w:tblBorders>
    </w:tblPr>
    <w:tblStylePr w:type="firstRow">
      <w:rPr>
        <w:sz w:val="22"/>
      </w:rPr>
      <w:tblPr/>
      <w:tcPr>
        <w:shd w:val="clear" w:color="70AD47" w:fill="70AD47" w:themeFill="accent6"/>
      </w:tcPr>
    </w:tblStylePr>
    <w:tblStylePr w:type="lastRow">
      <w:rPr>
        <w:sz w:val="22"/>
      </w:rPr>
      <w:tblPr/>
      <w:tcPr>
        <w:shd w:val="clear" w:color="70AD47" w:fill="70AD47" w:themeFill="accent6"/>
      </w:tcPr>
    </w:tblStylePr>
    <w:tblStylePr w:type="firstCol">
      <w:rPr>
        <w:sz w:val="22"/>
      </w:rPr>
      <w:tblPr/>
      <w:tcPr>
        <w:shd w:val="clear" w:color="70AD47" w:fill="70AD47" w:themeFill="accent6"/>
      </w:tcPr>
    </w:tblStylePr>
    <w:tblStylePr w:type="lastCol">
      <w:rPr>
        <w:sz w:val="22"/>
      </w:rPr>
      <w:tblPr/>
      <w:tcPr>
        <w:shd w:val="clear" w:color="70AD47" w:fill="70AD47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sz w:val="22"/>
      </w:rPr>
      <w:tblPr/>
      <w:tcPr>
        <w:tcBorders>
          <w:bottom w:val="single" w:color="5B9BD5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5B9BD5" w:themeColor="accen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5B9BD5" w:themeColor="accent1" w:sz="12" w:space="0"/>
        </w:tcBorders>
      </w:tcPr>
    </w:tblStylePr>
    <w:tblStylePr w:type="band1Horz">
      <w:rPr>
        <w:sz w:val="22"/>
      </w:rPr>
      <w:tblPr/>
      <w:tcPr>
        <w:tcBorders>
          <w:top w:val="single" w:color="BCD6EE" w:themeColor="accent1" w:sz="4" w:space="0"/>
          <w:left w:val="single" w:color="BCD6EE" w:themeColor="accent1" w:sz="4" w:space="0"/>
          <w:bottom w:val="single" w:color="BCD6EE" w:themeColor="accent1" w:sz="4" w:space="0"/>
          <w:right w:val="single" w:color="BCD6EE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sz w:val="22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F4B184" w:themeColor="accent2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4B184" w:themeColor="accent2" w:sz="12" w:space="0"/>
        </w:tcBorders>
      </w:tcPr>
    </w:tblStylePr>
    <w:tblStylePr w:type="band1Horz">
      <w:rPr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sz w:val="22"/>
      </w:rPr>
      <w:tblPr/>
      <w:tcPr>
        <w:tcBorders>
          <w:bottom w:val="single" w:color="C9C9C9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C9C9C9" w:themeColor="accent3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C9C9C9" w:themeColor="accent3" w:sz="12" w:space="0"/>
        </w:tcBorders>
      </w:tcPr>
    </w:tblStylePr>
    <w:tblStylePr w:type="band1Horz">
      <w:rPr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sz w:val="22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FFD865" w:themeColor="accent4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FD865" w:themeColor="accent4" w:sz="12" w:space="0"/>
        </w:tcBorders>
      </w:tcPr>
    </w:tblStylePr>
    <w:tblStylePr w:type="band1Horz">
      <w:rPr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firstRow">
      <w:rPr>
        <w:sz w:val="22"/>
      </w:rPr>
      <w:tblPr/>
      <w:tcPr>
        <w:tcBorders>
          <w:bottom w:val="single" w:color="8DA9DB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8DA9DB" w:themeColor="accent5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8DA9DB" w:themeColor="accent5" w:sz="12" w:space="0"/>
        </w:tcBorders>
      </w:tcPr>
    </w:tblStylePr>
    <w:tblStylePr w:type="band1Horz">
      <w:rPr>
        <w:sz w:val="22"/>
      </w:rPr>
      <w:tblPr/>
      <w:tcPr>
        <w:tcBorders>
          <w:top w:val="single" w:color="B3C5E7" w:themeColor="accent5" w:sz="4" w:space="0"/>
          <w:left w:val="single" w:color="B3C5E7" w:themeColor="accent5" w:sz="4" w:space="0"/>
          <w:bottom w:val="single" w:color="B3C5E7" w:themeColor="accent5" w:sz="4" w:space="0"/>
          <w:right w:val="single" w:color="B3C5E7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sz w:val="22"/>
      </w:rPr>
      <w:tblPr/>
      <w:tcPr>
        <w:tcBorders>
          <w:bottom w:val="single" w:color="A9D08E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A9D08E" w:themeColor="accent6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A9D08E" w:themeColor="accent6" w:sz="12" w:space="0"/>
        </w:tcBorders>
      </w:tcPr>
    </w:tblStylePr>
    <w:tblStylePr w:type="band1Horz">
      <w:rPr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Application>LibreOffice/7.6.4.1$Windows_X86_64 LibreOffice_project/e19e193f88cd6c0525a17fb7a176ed8e6a3e2aa1</Application>
  <AppVersion>15.0000</AppVersion>
  <Pages>13</Pages>
  <Words>1434</Words>
  <Characters>8958</Characters>
  <CharactersWithSpaces>10215</CharactersWithSpaces>
  <Paragraphs>195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2025-09-04T06:21:00Z</dcterms:created>
  <dc:creator/>
  <dc:description/>
  <dc:language>ru-RU</dc:language>
  <cp:lastModifiedBy/>
  <dcterms:modified xsi:type="dcterms:W3CDTF">2025-09-04T14:19:06Z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